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charts/chart7.xml" ContentType="application/vnd.openxmlformats-officedocument.drawingml.chart+xml"/>
  <Override PartName="/word/theme/themeOverride4.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theme/themeOverride5.xml" ContentType="application/vnd.openxmlformats-officedocument.themeOverride+xml"/>
  <Override PartName="/word/charts/chart10.xml" ContentType="application/vnd.openxmlformats-officedocument.drawingml.chart+xml"/>
  <Override PartName="/word/theme/themeOverride6.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word/theme/themeOverride7.xml" ContentType="application/vnd.openxmlformats-officedocument.themeOverride+xml"/>
  <Override PartName="/word/charts/chart13.xml" ContentType="application/vnd.openxmlformats-officedocument.drawingml.chart+xml"/>
  <Override PartName="/word/theme/themeOverride8.xml" ContentType="application/vnd.openxmlformats-officedocument.themeOverride+xml"/>
  <Override PartName="/word/charts/chart14.xml" ContentType="application/vnd.openxmlformats-officedocument.drawingml.chart+xml"/>
  <Override PartName="/word/theme/themeOverride9.xml" ContentType="application/vnd.openxmlformats-officedocument.themeOverride+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BE799" w14:textId="77777777" w:rsidR="00995676" w:rsidRDefault="009605F9" w:rsidP="00333C9D">
      <w:pPr>
        <w:pStyle w:val="Prophuvudrubrik"/>
      </w:pPr>
      <w:sdt>
        <w:sdtPr>
          <w:alias w:val="Publikation"/>
          <w:tag w:val="Publikation"/>
          <w:id w:val="577641782"/>
          <w:lock w:val="contentLocked"/>
          <w:text/>
        </w:sdtPr>
        <w:sdtEndPr/>
        <w:sdtContent>
          <w:r w:rsidR="00995676">
            <w:t>Regeringens skrivelse</w:t>
          </w:r>
        </w:sdtContent>
      </w:sdt>
      <w:r w:rsidR="00995676">
        <w:rPr>
          <w:noProof/>
          <w:lang w:eastAsia="sv-SE"/>
        </w:rPr>
        <mc:AlternateContent>
          <mc:Choice Requires="wps">
            <w:drawing>
              <wp:anchor distT="0" distB="0" distL="114300" distR="114300" simplePos="0" relativeHeight="251657216" behindDoc="1" locked="0" layoutInCell="1" allowOverlap="1" wp14:anchorId="69F03AA0" wp14:editId="40060A88">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001BE8B0" w14:textId="77777777" w:rsidR="00995676" w:rsidRPr="00811BB8" w:rsidRDefault="00995676" w:rsidP="00F572D9">
                                <w:pPr>
                                  <w:pStyle w:val="Brdtext"/>
                                </w:pPr>
                                <w:r>
                                  <w:rPr>
                                    <w:noProof/>
                                    <w:lang w:eastAsia="sv-SE"/>
                                  </w:rPr>
                                  <w:drawing>
                                    <wp:inline distT="0" distB="0" distL="0" distR="0" wp14:anchorId="0DF87BAF" wp14:editId="10ADA126">
                                      <wp:extent cx="514155" cy="921598"/>
                                      <wp:effectExtent l="0" t="0" r="635" b="0"/>
                                      <wp:docPr id="988570298"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F03AA0"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001BE8B0" w14:textId="77777777" w:rsidR="00995676" w:rsidRPr="00811BB8" w:rsidRDefault="00995676" w:rsidP="00F572D9">
                          <w:pPr>
                            <w:pStyle w:val="Brdtext"/>
                          </w:pPr>
                          <w:r>
                            <w:rPr>
                              <w:noProof/>
                              <w:lang w:eastAsia="sv-SE"/>
                            </w:rPr>
                            <w:drawing>
                              <wp:inline distT="0" distB="0" distL="0" distR="0" wp14:anchorId="0DF87BAF" wp14:editId="10ADA126">
                                <wp:extent cx="514155" cy="921598"/>
                                <wp:effectExtent l="0" t="0" r="635" b="0"/>
                                <wp:docPr id="988570298"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13C0CCA6" w14:textId="39CE8536" w:rsidR="00995676" w:rsidRDefault="00063A24" w:rsidP="00333C9D">
          <w:pPr>
            <w:pStyle w:val="Prophuvudrubrik"/>
          </w:pPr>
          <w:r>
            <w:t>2025/26:104</w:t>
          </w:r>
        </w:p>
      </w:sdtContent>
    </w:sdt>
    <w:p w14:paraId="6677BDB7" w14:textId="77777777" w:rsidR="00995676" w:rsidRPr="00D01F17" w:rsidRDefault="00995676"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DF7D1D" w14:paraId="61BB178B" w14:textId="77777777">
        <w:sdt>
          <w:sdtPr>
            <w:alias w:val="Rubrik"/>
            <w:tag w:val="Rubrik"/>
            <w:id w:val="-2000570357"/>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1AB60547" w14:textId="615B00B3" w:rsidR="00995676" w:rsidRDefault="00063A24" w:rsidP="00FC17EB">
                <w:pPr>
                  <w:pStyle w:val="Proprubrik"/>
                  <w:spacing w:after="20"/>
                </w:pPr>
                <w:r>
                  <w:t>Utvärdering av statens upplåning och skuldförvaltning 2021–2025</w:t>
                </w:r>
              </w:p>
            </w:tc>
          </w:sdtContent>
        </w:sdt>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53F52891" w14:textId="32D258E1" w:rsidR="00995676" w:rsidRDefault="00063A24"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7F223038" w14:textId="0CFCB0D8" w:rsidR="00995676" w:rsidRPr="00141F91" w:rsidRDefault="00063A24" w:rsidP="00333C9D">
                <w:pPr>
                  <w:pStyle w:val="Proprubrik"/>
                  <w:rPr>
                    <w:szCs w:val="26"/>
                  </w:rPr>
                </w:pPr>
                <w:r>
                  <w:rPr>
                    <w:szCs w:val="26"/>
                  </w:rPr>
                  <w:t>2025/26:104</w:t>
                </w:r>
              </w:p>
            </w:sdtContent>
          </w:sdt>
        </w:tc>
      </w:tr>
    </w:tbl>
    <w:p w14:paraId="7B7D2DD5" w14:textId="77777777" w:rsidR="00995676" w:rsidRDefault="00995676" w:rsidP="00333C9D">
      <w:pPr>
        <w:pStyle w:val="Brdtext"/>
        <w:spacing w:before="60"/>
      </w:pPr>
    </w:p>
    <w:p w14:paraId="0C542F61" w14:textId="77777777" w:rsidR="00995676" w:rsidRDefault="00995676" w:rsidP="00333C9D">
      <w:pPr>
        <w:pStyle w:val="Brdtext"/>
      </w:pPr>
      <w:r>
        <w:t>Regeringen överlämnar denna skrivelse till riksdagen.</w:t>
      </w:r>
    </w:p>
    <w:p w14:paraId="14AA5E67" w14:textId="77777777" w:rsidR="00995676" w:rsidRDefault="00995676" w:rsidP="00333C9D">
      <w:pPr>
        <w:pStyle w:val="Brdtext"/>
      </w:pPr>
    </w:p>
    <w:p w14:paraId="66F457CD" w14:textId="6799AD55" w:rsidR="00995676" w:rsidRPr="00AC4C2C" w:rsidRDefault="00995676" w:rsidP="00333C9D">
      <w:pPr>
        <w:pStyle w:val="Brdtext"/>
      </w:pPr>
      <w:r w:rsidRPr="00AC4C2C">
        <w:t xml:space="preserve">Stockholm </w:t>
      </w:r>
      <w:sdt>
        <w:sdtPr>
          <w:alias w:val="Datum"/>
          <w:tag w:val="Datum"/>
          <w:id w:val="750776800"/>
          <w:date w:fullDate="2026-04-23T00:00:00Z">
            <w:dateFormat w:val="'den' d MMMM yyyy"/>
            <w:lid w:val="sv-SE"/>
            <w:storeMappedDataAs w:val="dateTime"/>
            <w:calendar w:val="gregorian"/>
          </w:date>
        </w:sdtPr>
        <w:sdtEndPr/>
        <w:sdtContent>
          <w:r w:rsidR="00063A24" w:rsidRPr="00AC4C2C">
            <w:t>den 23 april 2026</w:t>
          </w:r>
        </w:sdtContent>
      </w:sdt>
    </w:p>
    <w:p w14:paraId="46D95121" w14:textId="77777777" w:rsidR="00995676" w:rsidRPr="00AC4C2C" w:rsidRDefault="00995676" w:rsidP="00333C9D">
      <w:pPr>
        <w:pStyle w:val="Brdtextmedindrag"/>
      </w:pPr>
    </w:p>
    <w:sdt>
      <w:sdtPr>
        <w:alias w:val="Namnunderskrift1"/>
        <w:tag w:val="Namnunderskrift1"/>
        <w:id w:val="146416067"/>
        <w:placeholder>
          <w:docPart w:val="31EC13F9087145DF8CC3FD3F08BC314A"/>
        </w:placeholder>
        <w:dataBinding w:prefixMappings="xmlns:ns0='http://rkdhs/mallar/lagstiftning/Skr/Skr.xsd'" w:xpath="/ns0:dokumentvärden[1]/ns0:namnunderskrift1[1]" w:storeItemID="{068625C3-B546-44A5-B525-B7CC092E5AD6}"/>
        <w:text/>
      </w:sdtPr>
      <w:sdtEndPr/>
      <w:sdtContent>
        <w:p w14:paraId="1A0A29EB" w14:textId="3FBBE826" w:rsidR="00995676" w:rsidRPr="00AC4C2C" w:rsidRDefault="006F29B7" w:rsidP="00333C9D">
          <w:pPr>
            <w:pStyle w:val="Propnamnunderskrift1"/>
          </w:pPr>
          <w:r w:rsidRPr="00AC4C2C">
            <w:t>Ulf Kristersson</w:t>
          </w:r>
        </w:p>
      </w:sdtContent>
    </w:sdt>
    <w:p w14:paraId="12F6E86D" w14:textId="1879F541" w:rsidR="00995676" w:rsidRDefault="00995676" w:rsidP="00333C9D">
      <w:pPr>
        <w:pStyle w:val="Propnamnunderskrift2"/>
        <w:tabs>
          <w:tab w:val="clear" w:pos="2693"/>
          <w:tab w:val="clear" w:pos="7474"/>
          <w:tab w:val="left" w:pos="2126"/>
        </w:tabs>
      </w:pPr>
      <w:r w:rsidRPr="00AC4C2C">
        <w:tab/>
      </w:r>
      <w:sdt>
        <w:sdtPr>
          <w:alias w:val="Namnunderskrift2"/>
          <w:tag w:val="Namnunderskrift2"/>
          <w:id w:val="-873931827"/>
          <w:placeholder>
            <w:docPart w:val="DE84E8E45B7F41DDBBD1CBB5E6B86B16"/>
          </w:placeholder>
          <w:text/>
        </w:sdtPr>
        <w:sdtEndPr/>
        <w:sdtContent>
          <w:r w:rsidR="00671C97">
            <w:t>Niklas Wykman</w:t>
          </w:r>
        </w:sdtContent>
      </w:sdt>
    </w:p>
    <w:p w14:paraId="253F5F16" w14:textId="477DC7D3" w:rsidR="00995676" w:rsidRPr="008C3EC0" w:rsidRDefault="00995676"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063A24">
            <w:rPr>
              <w:i w:val="0"/>
            </w:rPr>
            <w:t>Finansdepartementet</w:t>
          </w:r>
        </w:sdtContent>
      </w:sdt>
      <w:r w:rsidRPr="008C3EC0">
        <w:rPr>
          <w:i w:val="0"/>
          <w:iCs w:val="0"/>
        </w:rPr>
        <w:t>)</w:t>
      </w:r>
    </w:p>
    <w:p w14:paraId="0B2F9F65" w14:textId="77777777" w:rsidR="00995676" w:rsidRDefault="00995676" w:rsidP="00FC17EB">
      <w:pPr>
        <w:pStyle w:val="Proprubrik"/>
        <w:spacing w:before="80" w:after="400"/>
      </w:pPr>
      <w:r>
        <w:t>Skrivelsens huvudsakliga innehåll</w:t>
      </w:r>
    </w:p>
    <w:p w14:paraId="64E86642" w14:textId="514CB62B" w:rsidR="00374D58" w:rsidRDefault="00374D58" w:rsidP="00374D58">
      <w:pPr>
        <w:pStyle w:val="Brdtext"/>
      </w:pPr>
      <w:r>
        <w:t>I skrivelsen utvärderar regeringen statens upplåning och skuldförvaltning under perioden 20</w:t>
      </w:r>
      <w:r w:rsidR="00B459D2">
        <w:t>21</w:t>
      </w:r>
      <w:r>
        <w:t>–202</w:t>
      </w:r>
      <w:r w:rsidR="00B459D2">
        <w:t>5</w:t>
      </w:r>
      <w:r>
        <w:t xml:space="preserve">. Utgångspunkten för utvärderingen är </w:t>
      </w:r>
      <w:r w:rsidR="00FA7E9D" w:rsidRPr="00FA7E9D">
        <w:t>det mål som riksdagen har beslutat</w:t>
      </w:r>
      <w:r>
        <w:t xml:space="preserve"> för statsskuldspolitiken:</w:t>
      </w:r>
    </w:p>
    <w:p w14:paraId="74769874" w14:textId="07BCB121" w:rsidR="00374D58" w:rsidRDefault="00374D58" w:rsidP="002F0853">
      <w:pPr>
        <w:pStyle w:val="Punktlista"/>
      </w:pPr>
      <w:r>
        <w:t>Statens skuld ska förvaltas så att kostnaden för skulden långsiktigt minimeras samtidigt som risken i förvaltningen beaktas.</w:t>
      </w:r>
    </w:p>
    <w:p w14:paraId="3D029559" w14:textId="06E2A342" w:rsidR="00995676" w:rsidRDefault="00374D58" w:rsidP="002F0853">
      <w:pPr>
        <w:pStyle w:val="Punktlista"/>
      </w:pPr>
      <w:r>
        <w:t xml:space="preserve">Förvaltningen ska ske inom ramen för de krav </w:t>
      </w:r>
      <w:r w:rsidR="00087C22">
        <w:t xml:space="preserve">som </w:t>
      </w:r>
      <w:r>
        <w:t>penningpolitiken ställer.</w:t>
      </w:r>
    </w:p>
    <w:p w14:paraId="1E715205" w14:textId="2C577C15" w:rsidR="00374D58" w:rsidRDefault="00374D58" w:rsidP="00374D58">
      <w:pPr>
        <w:pStyle w:val="Brdtextefterpunktlista"/>
      </w:pPr>
      <w:r>
        <w:t>Utvärderingen avser såväl regeringens styrning som Riksgäldskontorets förvaltning av statsskulden. Målet för statsskuldspolitiken är långsiktigt och utvärderas därför över rullande femårsperioder. Skrivelsen ska överlämnas till riksdagen senast den 25 april vartannat år.</w:t>
      </w:r>
    </w:p>
    <w:p w14:paraId="560A467A" w14:textId="2427E7F9" w:rsidR="00374D58" w:rsidRDefault="00374D58" w:rsidP="00374D58">
      <w:pPr>
        <w:pStyle w:val="Brdtextmedindrag"/>
      </w:pPr>
      <w:r>
        <w:t>När det gäller den nu aktuella utvärderingsperioden kan följande noteras.</w:t>
      </w:r>
    </w:p>
    <w:p w14:paraId="5DAFEFE5" w14:textId="065398F2" w:rsidR="00374D58" w:rsidRDefault="00374D58" w:rsidP="00374D58">
      <w:pPr>
        <w:pStyle w:val="Punktlista"/>
      </w:pPr>
      <w:r>
        <w:t>De</w:t>
      </w:r>
      <w:r w:rsidRPr="00374D58">
        <w:t xml:space="preserve">n okonsoliderade statsskulden minskade </w:t>
      </w:r>
      <w:r w:rsidR="007158B1">
        <w:t xml:space="preserve">sett till hela </w:t>
      </w:r>
      <w:r w:rsidRPr="00374D58">
        <w:t>utvärderings</w:t>
      </w:r>
      <w:r w:rsidR="00D03717">
        <w:softHyphen/>
      </w:r>
      <w:r w:rsidRPr="00374D58">
        <w:t>perioden från 22 procent till 1</w:t>
      </w:r>
      <w:r w:rsidR="007158B1">
        <w:t>9</w:t>
      </w:r>
      <w:r w:rsidRPr="00374D58">
        <w:t xml:space="preserve"> procent av BNP.</w:t>
      </w:r>
      <w:r w:rsidR="009265E3">
        <w:t xml:space="preserve"> </w:t>
      </w:r>
      <w:r w:rsidR="009265E3" w:rsidRPr="009265E3">
        <w:t>Skulden minskade till 17 procent av BNP vid mitten av utvärderingsperioden för att sedan öka något.</w:t>
      </w:r>
    </w:p>
    <w:p w14:paraId="0745AB54" w14:textId="36E3C63D" w:rsidR="002632A7" w:rsidRDefault="003F2724" w:rsidP="009265E3">
      <w:pPr>
        <w:pStyle w:val="Punktlista"/>
      </w:pPr>
      <w:r w:rsidRPr="003F2724">
        <w:t>Lånebehovet ökade i slutet av utvärderingsperioden och staten gick från flera år av överskott till underskott.</w:t>
      </w:r>
      <w:r w:rsidR="009265E3">
        <w:t xml:space="preserve"> </w:t>
      </w:r>
    </w:p>
    <w:p w14:paraId="78AD7B44" w14:textId="06F56651" w:rsidR="009265E3" w:rsidRPr="00457193" w:rsidRDefault="009265E3" w:rsidP="009265E3">
      <w:pPr>
        <w:pStyle w:val="Punktlista"/>
      </w:pPr>
      <w:r>
        <w:t xml:space="preserve">Kostnaden för statsskulden har under utvärderingsperioden </w:t>
      </w:r>
      <w:r w:rsidR="00087C22">
        <w:t xml:space="preserve">ökat </w:t>
      </w:r>
      <w:r>
        <w:t xml:space="preserve">från </w:t>
      </w:r>
      <w:r w:rsidRPr="00457193">
        <w:t xml:space="preserve">historiskt låga nivåer, med en kraftig ökning under 2022 som främst berodde på den höga inflationen och en svagare krona, till att åter sjunka något under </w:t>
      </w:r>
      <w:r w:rsidR="003F2724" w:rsidRPr="00457193">
        <w:t>de senare utvärderingsåren</w:t>
      </w:r>
      <w:r w:rsidRPr="00457193">
        <w:t>.</w:t>
      </w:r>
      <w:r w:rsidR="00404B61" w:rsidRPr="00457193">
        <w:t xml:space="preserve"> </w:t>
      </w:r>
    </w:p>
    <w:p w14:paraId="25979098" w14:textId="0F750E69" w:rsidR="009709B7" w:rsidRPr="00C50F9A" w:rsidRDefault="009709B7" w:rsidP="009709B7">
      <w:pPr>
        <w:pStyle w:val="Punktlista"/>
      </w:pPr>
      <w:r w:rsidRPr="00457193">
        <w:lastRenderedPageBreak/>
        <w:t>Regeringen har under utvärderingsperioden beslutat om två större ändringar i riktlinjerna – att avveckla valutaexponeringen i stats</w:t>
      </w:r>
      <w:r w:rsidR="007829AF">
        <w:softHyphen/>
      </w:r>
      <w:r w:rsidRPr="00457193">
        <w:t>skulden och att minska den del av skulden som utgörs av realobligationer</w:t>
      </w:r>
      <w:r w:rsidR="00E3330F">
        <w:t>.</w:t>
      </w:r>
      <w:r w:rsidRPr="00457193">
        <w:t xml:space="preserve"> Regeringen beslutade även i riktlinjerna för 2025 att byta mått för statsskuldens</w:t>
      </w:r>
      <w:r w:rsidR="00A9019E">
        <w:t xml:space="preserve"> </w:t>
      </w:r>
      <w:r w:rsidRPr="00457193">
        <w:t xml:space="preserve">löptid och samtidigt lämna styrintervallet oförändrat. </w:t>
      </w:r>
      <w:r w:rsidRPr="00C50F9A">
        <w:t>Regeringens beslut har varit i enlighet med målet för statsskuldspolitiken.</w:t>
      </w:r>
    </w:p>
    <w:p w14:paraId="0FE59489" w14:textId="36A56E85" w:rsidR="009709B7" w:rsidRPr="00457193" w:rsidRDefault="009709B7" w:rsidP="009709B7">
      <w:pPr>
        <w:pStyle w:val="Punktlista"/>
      </w:pPr>
      <w:r w:rsidRPr="00457193">
        <w:t>Riksgäldskontorets styrning</w:t>
      </w:r>
      <w:r w:rsidR="00A92384" w:rsidRPr="00457193">
        <w:t xml:space="preserve"> och beslut om den operativa förvaltningen</w:t>
      </w:r>
      <w:r w:rsidRPr="00457193">
        <w:t xml:space="preserve"> avseende statsskuldens löptid</w:t>
      </w:r>
      <w:r w:rsidR="00A92384" w:rsidRPr="00457193">
        <w:t xml:space="preserve">, statsskuldens </w:t>
      </w:r>
      <w:r w:rsidRPr="00457193">
        <w:t>sammansättning</w:t>
      </w:r>
      <w:r w:rsidR="00A92384" w:rsidRPr="00457193">
        <w:t>, refinansieringsrisker, låneberedskap och marknads- och skuldvård</w:t>
      </w:r>
      <w:r w:rsidRPr="00457193">
        <w:t xml:space="preserve"> har varit i enlighet med regeringens riktlinjer</w:t>
      </w:r>
      <w:r w:rsidR="000A6732" w:rsidRPr="00457193">
        <w:t xml:space="preserve"> </w:t>
      </w:r>
      <w:r w:rsidR="000A6732" w:rsidRPr="00C50F9A">
        <w:t>och målet för statsskulds</w:t>
      </w:r>
      <w:r w:rsidR="009A59D8">
        <w:softHyphen/>
      </w:r>
      <w:r w:rsidR="000A6732" w:rsidRPr="00C50F9A">
        <w:t>politiken</w:t>
      </w:r>
      <w:r w:rsidRPr="00C50F9A">
        <w:t>.</w:t>
      </w:r>
    </w:p>
    <w:p w14:paraId="1D555791" w14:textId="0BAEF4AE" w:rsidR="004215C2" w:rsidRPr="00457193" w:rsidRDefault="004215C2" w:rsidP="004215C2">
      <w:pPr>
        <w:pStyle w:val="Brdtextefterpunktlista"/>
      </w:pPr>
      <w:r w:rsidRPr="00457193">
        <w:t xml:space="preserve">Sammantaget bedömer regeringen att såväl regeringens riktlinjer som Riksgäldskontorets </w:t>
      </w:r>
      <w:r w:rsidR="00F5694C">
        <w:t xml:space="preserve">operativa förvaltning och </w:t>
      </w:r>
      <w:r w:rsidRPr="00457193">
        <w:t>tillämpning av riktlinjerna i allt väsentligt har legat i linje med målet för statsskuldspolitiken.</w:t>
      </w:r>
    </w:p>
    <w:p w14:paraId="27283EE4" w14:textId="77777777" w:rsidR="00995676" w:rsidRPr="008F2013" w:rsidRDefault="00995676" w:rsidP="00362009">
      <w:pPr>
        <w:pStyle w:val="Innehllsfrteckning"/>
        <w:pageBreakBefore/>
        <w:rPr>
          <w:sz w:val="30"/>
          <w:szCs w:val="30"/>
        </w:rPr>
      </w:pPr>
      <w:r>
        <w:rPr>
          <w:rFonts w:eastAsiaTheme="minorHAnsi"/>
        </w:rPr>
        <w:lastRenderedPageBreak/>
        <w:t>Innehållsförteckning</w:t>
      </w:r>
    </w:p>
    <w:p w14:paraId="22985903" w14:textId="641B355F" w:rsidR="002F44B6" w:rsidRDefault="00995676">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7766858" w:history="1">
        <w:r w:rsidR="002F44B6" w:rsidRPr="00300EDB">
          <w:rPr>
            <w:rStyle w:val="Hyperlnk"/>
          </w:rPr>
          <w:t>1</w:t>
        </w:r>
        <w:r w:rsidR="002F44B6">
          <w:rPr>
            <w:rFonts w:asciiTheme="minorHAnsi" w:eastAsiaTheme="minorEastAsia" w:hAnsiTheme="minorHAnsi"/>
            <w:kern w:val="2"/>
            <w:sz w:val="24"/>
            <w:szCs w:val="24"/>
            <w:lang w:eastAsia="sv-SE"/>
            <w14:ligatures w14:val="standardContextual"/>
          </w:rPr>
          <w:tab/>
        </w:r>
        <w:r w:rsidR="002F44B6" w:rsidRPr="00300EDB">
          <w:rPr>
            <w:rStyle w:val="Hyperlnk"/>
          </w:rPr>
          <w:t>Mål, ramverk och process för statsskuldsförvaltningen</w:t>
        </w:r>
        <w:r w:rsidR="002F44B6">
          <w:rPr>
            <w:webHidden/>
          </w:rPr>
          <w:tab/>
        </w:r>
        <w:r w:rsidR="002F44B6">
          <w:rPr>
            <w:webHidden/>
          </w:rPr>
          <w:fldChar w:fldCharType="begin"/>
        </w:r>
        <w:r w:rsidR="002F44B6">
          <w:rPr>
            <w:webHidden/>
          </w:rPr>
          <w:instrText xml:space="preserve"> PAGEREF _Toc227766858 \h </w:instrText>
        </w:r>
        <w:r w:rsidR="002F44B6">
          <w:rPr>
            <w:webHidden/>
          </w:rPr>
        </w:r>
        <w:r w:rsidR="002F44B6">
          <w:rPr>
            <w:webHidden/>
          </w:rPr>
          <w:fldChar w:fldCharType="separate"/>
        </w:r>
        <w:r w:rsidR="002F44B6">
          <w:rPr>
            <w:webHidden/>
          </w:rPr>
          <w:t>4</w:t>
        </w:r>
        <w:r w:rsidR="002F44B6">
          <w:rPr>
            <w:webHidden/>
          </w:rPr>
          <w:fldChar w:fldCharType="end"/>
        </w:r>
      </w:hyperlink>
    </w:p>
    <w:p w14:paraId="499B90D8" w14:textId="35BE11D5" w:rsidR="002F44B6" w:rsidRDefault="002F44B6">
      <w:pPr>
        <w:pStyle w:val="Innehll1"/>
        <w:rPr>
          <w:rFonts w:asciiTheme="minorHAnsi" w:eastAsiaTheme="minorEastAsia" w:hAnsiTheme="minorHAnsi"/>
          <w:kern w:val="2"/>
          <w:sz w:val="24"/>
          <w:szCs w:val="24"/>
          <w:lang w:eastAsia="sv-SE"/>
          <w14:ligatures w14:val="standardContextual"/>
        </w:rPr>
      </w:pPr>
      <w:hyperlink w:anchor="_Toc227766859" w:history="1">
        <w:r w:rsidRPr="00300EDB">
          <w:rPr>
            <w:rStyle w:val="Hyperlnk"/>
          </w:rPr>
          <w:t>2</w:t>
        </w:r>
        <w:r>
          <w:rPr>
            <w:rFonts w:asciiTheme="minorHAnsi" w:eastAsiaTheme="minorEastAsia" w:hAnsiTheme="minorHAnsi"/>
            <w:kern w:val="2"/>
            <w:sz w:val="24"/>
            <w:szCs w:val="24"/>
            <w:lang w:eastAsia="sv-SE"/>
            <w14:ligatures w14:val="standardContextual"/>
          </w:rPr>
          <w:tab/>
        </w:r>
        <w:r w:rsidRPr="00300EDB">
          <w:rPr>
            <w:rStyle w:val="Hyperlnk"/>
          </w:rPr>
          <w:t>Finanspolitisk och makroekonomisk utveckling</w:t>
        </w:r>
        <w:r>
          <w:rPr>
            <w:webHidden/>
          </w:rPr>
          <w:tab/>
        </w:r>
        <w:r>
          <w:rPr>
            <w:webHidden/>
          </w:rPr>
          <w:fldChar w:fldCharType="begin"/>
        </w:r>
        <w:r>
          <w:rPr>
            <w:webHidden/>
          </w:rPr>
          <w:instrText xml:space="preserve"> PAGEREF _Toc227766859 \h </w:instrText>
        </w:r>
        <w:r>
          <w:rPr>
            <w:webHidden/>
          </w:rPr>
        </w:r>
        <w:r>
          <w:rPr>
            <w:webHidden/>
          </w:rPr>
          <w:fldChar w:fldCharType="separate"/>
        </w:r>
        <w:r>
          <w:rPr>
            <w:webHidden/>
          </w:rPr>
          <w:t>6</w:t>
        </w:r>
        <w:r>
          <w:rPr>
            <w:webHidden/>
          </w:rPr>
          <w:fldChar w:fldCharType="end"/>
        </w:r>
      </w:hyperlink>
    </w:p>
    <w:p w14:paraId="7010969E" w14:textId="50235C44"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60" w:history="1">
        <w:r w:rsidRPr="00300EDB">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Statsskuld och statens lånebehov</w:t>
        </w:r>
        <w:r>
          <w:rPr>
            <w:webHidden/>
          </w:rPr>
          <w:tab/>
        </w:r>
        <w:r>
          <w:rPr>
            <w:webHidden/>
          </w:rPr>
          <w:fldChar w:fldCharType="begin"/>
        </w:r>
        <w:r>
          <w:rPr>
            <w:webHidden/>
          </w:rPr>
          <w:instrText xml:space="preserve"> PAGEREF _Toc227766860 \h </w:instrText>
        </w:r>
        <w:r>
          <w:rPr>
            <w:webHidden/>
          </w:rPr>
        </w:r>
        <w:r>
          <w:rPr>
            <w:webHidden/>
          </w:rPr>
          <w:fldChar w:fldCharType="separate"/>
        </w:r>
        <w:r>
          <w:rPr>
            <w:webHidden/>
          </w:rPr>
          <w:t>7</w:t>
        </w:r>
        <w:r>
          <w:rPr>
            <w:webHidden/>
          </w:rPr>
          <w:fldChar w:fldCharType="end"/>
        </w:r>
      </w:hyperlink>
    </w:p>
    <w:p w14:paraId="476F17AB" w14:textId="06E278BC"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61" w:history="1">
        <w:r w:rsidRPr="00300EDB">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Riksbankens innehav av statspapper</w:t>
        </w:r>
        <w:r>
          <w:rPr>
            <w:webHidden/>
          </w:rPr>
          <w:tab/>
        </w:r>
        <w:r>
          <w:rPr>
            <w:webHidden/>
          </w:rPr>
          <w:fldChar w:fldCharType="begin"/>
        </w:r>
        <w:r>
          <w:rPr>
            <w:webHidden/>
          </w:rPr>
          <w:instrText xml:space="preserve"> PAGEREF _Toc227766861 \h </w:instrText>
        </w:r>
        <w:r>
          <w:rPr>
            <w:webHidden/>
          </w:rPr>
        </w:r>
        <w:r>
          <w:rPr>
            <w:webHidden/>
          </w:rPr>
          <w:fldChar w:fldCharType="separate"/>
        </w:r>
        <w:r>
          <w:rPr>
            <w:webHidden/>
          </w:rPr>
          <w:t>9</w:t>
        </w:r>
        <w:r>
          <w:rPr>
            <w:webHidden/>
          </w:rPr>
          <w:fldChar w:fldCharType="end"/>
        </w:r>
      </w:hyperlink>
    </w:p>
    <w:p w14:paraId="0BEBE719" w14:textId="2CED33F3"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62" w:history="1">
        <w:r w:rsidRPr="00300EDB">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Högre räntor under utvärderingsperioden</w:t>
        </w:r>
        <w:r>
          <w:rPr>
            <w:webHidden/>
          </w:rPr>
          <w:tab/>
        </w:r>
        <w:r>
          <w:rPr>
            <w:webHidden/>
          </w:rPr>
          <w:fldChar w:fldCharType="begin"/>
        </w:r>
        <w:r>
          <w:rPr>
            <w:webHidden/>
          </w:rPr>
          <w:instrText xml:space="preserve"> PAGEREF _Toc227766862 \h </w:instrText>
        </w:r>
        <w:r>
          <w:rPr>
            <w:webHidden/>
          </w:rPr>
        </w:r>
        <w:r>
          <w:rPr>
            <w:webHidden/>
          </w:rPr>
          <w:fldChar w:fldCharType="separate"/>
        </w:r>
        <w:r>
          <w:rPr>
            <w:webHidden/>
          </w:rPr>
          <w:t>10</w:t>
        </w:r>
        <w:r>
          <w:rPr>
            <w:webHidden/>
          </w:rPr>
          <w:fldChar w:fldCharType="end"/>
        </w:r>
      </w:hyperlink>
    </w:p>
    <w:p w14:paraId="740D53BD" w14:textId="38E589C5"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63" w:history="1">
        <w:r w:rsidRPr="00300EDB">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Högre inflation under utvärderingsperioden</w:t>
        </w:r>
        <w:r>
          <w:rPr>
            <w:webHidden/>
          </w:rPr>
          <w:tab/>
        </w:r>
        <w:r>
          <w:rPr>
            <w:webHidden/>
          </w:rPr>
          <w:fldChar w:fldCharType="begin"/>
        </w:r>
        <w:r>
          <w:rPr>
            <w:webHidden/>
          </w:rPr>
          <w:instrText xml:space="preserve"> PAGEREF _Toc227766863 \h </w:instrText>
        </w:r>
        <w:r>
          <w:rPr>
            <w:webHidden/>
          </w:rPr>
        </w:r>
        <w:r>
          <w:rPr>
            <w:webHidden/>
          </w:rPr>
          <w:fldChar w:fldCharType="separate"/>
        </w:r>
        <w:r>
          <w:rPr>
            <w:webHidden/>
          </w:rPr>
          <w:t>12</w:t>
        </w:r>
        <w:r>
          <w:rPr>
            <w:webHidden/>
          </w:rPr>
          <w:fldChar w:fldCharType="end"/>
        </w:r>
      </w:hyperlink>
    </w:p>
    <w:p w14:paraId="3E527990" w14:textId="191BA7F2"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64" w:history="1">
        <w:r w:rsidRPr="00300EDB">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Kronan stärktes under den senare delen av utvärderingsperioden</w:t>
        </w:r>
        <w:r>
          <w:rPr>
            <w:webHidden/>
          </w:rPr>
          <w:tab/>
        </w:r>
        <w:r>
          <w:rPr>
            <w:webHidden/>
          </w:rPr>
          <w:fldChar w:fldCharType="begin"/>
        </w:r>
        <w:r>
          <w:rPr>
            <w:webHidden/>
          </w:rPr>
          <w:instrText xml:space="preserve"> PAGEREF _Toc227766864 \h </w:instrText>
        </w:r>
        <w:r>
          <w:rPr>
            <w:webHidden/>
          </w:rPr>
        </w:r>
        <w:r>
          <w:rPr>
            <w:webHidden/>
          </w:rPr>
          <w:fldChar w:fldCharType="separate"/>
        </w:r>
        <w:r>
          <w:rPr>
            <w:webHidden/>
          </w:rPr>
          <w:t>13</w:t>
        </w:r>
        <w:r>
          <w:rPr>
            <w:webHidden/>
          </w:rPr>
          <w:fldChar w:fldCharType="end"/>
        </w:r>
      </w:hyperlink>
    </w:p>
    <w:p w14:paraId="7D0E658C" w14:textId="7A3A6BE0" w:rsidR="002F44B6" w:rsidRDefault="002F44B6">
      <w:pPr>
        <w:pStyle w:val="Innehll1"/>
        <w:rPr>
          <w:rFonts w:asciiTheme="minorHAnsi" w:eastAsiaTheme="minorEastAsia" w:hAnsiTheme="minorHAnsi"/>
          <w:kern w:val="2"/>
          <w:sz w:val="24"/>
          <w:szCs w:val="24"/>
          <w:lang w:eastAsia="sv-SE"/>
          <w14:ligatures w14:val="standardContextual"/>
        </w:rPr>
      </w:pPr>
      <w:hyperlink w:anchor="_Toc227766865" w:history="1">
        <w:r w:rsidRPr="00300EDB">
          <w:rPr>
            <w:rStyle w:val="Hyperlnk"/>
          </w:rPr>
          <w:t>3</w:t>
        </w:r>
        <w:r>
          <w:rPr>
            <w:rFonts w:asciiTheme="minorHAnsi" w:eastAsiaTheme="minorEastAsia" w:hAnsiTheme="minorHAnsi"/>
            <w:kern w:val="2"/>
            <w:sz w:val="24"/>
            <w:szCs w:val="24"/>
            <w:lang w:eastAsia="sv-SE"/>
            <w14:ligatures w14:val="standardContextual"/>
          </w:rPr>
          <w:tab/>
        </w:r>
        <w:r w:rsidRPr="00300EDB">
          <w:rPr>
            <w:rStyle w:val="Hyperlnk"/>
          </w:rPr>
          <w:t>Regeringens riktlinjer för statsskuldens förvaltning</w:t>
        </w:r>
        <w:r>
          <w:rPr>
            <w:webHidden/>
          </w:rPr>
          <w:tab/>
        </w:r>
        <w:r>
          <w:rPr>
            <w:webHidden/>
          </w:rPr>
          <w:fldChar w:fldCharType="begin"/>
        </w:r>
        <w:r>
          <w:rPr>
            <w:webHidden/>
          </w:rPr>
          <w:instrText xml:space="preserve"> PAGEREF _Toc227766865 \h </w:instrText>
        </w:r>
        <w:r>
          <w:rPr>
            <w:webHidden/>
          </w:rPr>
        </w:r>
        <w:r>
          <w:rPr>
            <w:webHidden/>
          </w:rPr>
          <w:fldChar w:fldCharType="separate"/>
        </w:r>
        <w:r>
          <w:rPr>
            <w:webHidden/>
          </w:rPr>
          <w:t>14</w:t>
        </w:r>
        <w:r>
          <w:rPr>
            <w:webHidden/>
          </w:rPr>
          <w:fldChar w:fldCharType="end"/>
        </w:r>
      </w:hyperlink>
    </w:p>
    <w:p w14:paraId="2C5A9CB4" w14:textId="53A7218B" w:rsidR="002F44B6" w:rsidRDefault="002F44B6">
      <w:pPr>
        <w:pStyle w:val="Innehll1"/>
        <w:rPr>
          <w:rFonts w:asciiTheme="minorHAnsi" w:eastAsiaTheme="minorEastAsia" w:hAnsiTheme="minorHAnsi"/>
          <w:kern w:val="2"/>
          <w:sz w:val="24"/>
          <w:szCs w:val="24"/>
          <w:lang w:eastAsia="sv-SE"/>
          <w14:ligatures w14:val="standardContextual"/>
        </w:rPr>
      </w:pPr>
      <w:hyperlink w:anchor="_Toc227766866" w:history="1">
        <w:r w:rsidRPr="00300EDB">
          <w:rPr>
            <w:rStyle w:val="Hyperlnk"/>
          </w:rPr>
          <w:t>4</w:t>
        </w:r>
        <w:r>
          <w:rPr>
            <w:rFonts w:asciiTheme="minorHAnsi" w:eastAsiaTheme="minorEastAsia" w:hAnsiTheme="minorHAnsi"/>
            <w:kern w:val="2"/>
            <w:sz w:val="24"/>
            <w:szCs w:val="24"/>
            <w:lang w:eastAsia="sv-SE"/>
            <w14:ligatures w14:val="standardContextual"/>
          </w:rPr>
          <w:tab/>
        </w:r>
        <w:r w:rsidRPr="00300EDB">
          <w:rPr>
            <w:rStyle w:val="Hyperlnk"/>
          </w:rPr>
          <w:t>Riksgäldskontorets operativa förvaltning och tillämpning av riktlinjerna</w:t>
        </w:r>
        <w:r>
          <w:rPr>
            <w:webHidden/>
          </w:rPr>
          <w:tab/>
        </w:r>
        <w:r>
          <w:rPr>
            <w:webHidden/>
          </w:rPr>
          <w:fldChar w:fldCharType="begin"/>
        </w:r>
        <w:r>
          <w:rPr>
            <w:webHidden/>
          </w:rPr>
          <w:instrText xml:space="preserve"> PAGEREF _Toc227766866 \h </w:instrText>
        </w:r>
        <w:r>
          <w:rPr>
            <w:webHidden/>
          </w:rPr>
        </w:r>
        <w:r>
          <w:rPr>
            <w:webHidden/>
          </w:rPr>
          <w:fldChar w:fldCharType="separate"/>
        </w:r>
        <w:r>
          <w:rPr>
            <w:webHidden/>
          </w:rPr>
          <w:t>19</w:t>
        </w:r>
        <w:r>
          <w:rPr>
            <w:webHidden/>
          </w:rPr>
          <w:fldChar w:fldCharType="end"/>
        </w:r>
      </w:hyperlink>
    </w:p>
    <w:p w14:paraId="2B3A6E26" w14:textId="2A044E48"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67" w:history="1">
        <w:r w:rsidRPr="00300EDB">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Statsskuldens sammansättning – skuldandelar</w:t>
        </w:r>
        <w:r>
          <w:rPr>
            <w:webHidden/>
          </w:rPr>
          <w:tab/>
        </w:r>
        <w:r>
          <w:rPr>
            <w:webHidden/>
          </w:rPr>
          <w:fldChar w:fldCharType="begin"/>
        </w:r>
        <w:r>
          <w:rPr>
            <w:webHidden/>
          </w:rPr>
          <w:instrText xml:space="preserve"> PAGEREF _Toc227766867 \h </w:instrText>
        </w:r>
        <w:r>
          <w:rPr>
            <w:webHidden/>
          </w:rPr>
        </w:r>
        <w:r>
          <w:rPr>
            <w:webHidden/>
          </w:rPr>
          <w:fldChar w:fldCharType="separate"/>
        </w:r>
        <w:r>
          <w:rPr>
            <w:webHidden/>
          </w:rPr>
          <w:t>19</w:t>
        </w:r>
        <w:r>
          <w:rPr>
            <w:webHidden/>
          </w:rPr>
          <w:fldChar w:fldCharType="end"/>
        </w:r>
      </w:hyperlink>
    </w:p>
    <w:p w14:paraId="7BA06997" w14:textId="5062EF49"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68" w:history="1">
        <w:r w:rsidRPr="00300EDB">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Statsskuldens löptid</w:t>
        </w:r>
        <w:r>
          <w:rPr>
            <w:webHidden/>
          </w:rPr>
          <w:tab/>
        </w:r>
        <w:r>
          <w:rPr>
            <w:webHidden/>
          </w:rPr>
          <w:fldChar w:fldCharType="begin"/>
        </w:r>
        <w:r>
          <w:rPr>
            <w:webHidden/>
          </w:rPr>
          <w:instrText xml:space="preserve"> PAGEREF _Toc227766868 \h </w:instrText>
        </w:r>
        <w:r>
          <w:rPr>
            <w:webHidden/>
          </w:rPr>
        </w:r>
        <w:r>
          <w:rPr>
            <w:webHidden/>
          </w:rPr>
          <w:fldChar w:fldCharType="separate"/>
        </w:r>
        <w:r>
          <w:rPr>
            <w:webHidden/>
          </w:rPr>
          <w:t>23</w:t>
        </w:r>
        <w:r>
          <w:rPr>
            <w:webHidden/>
          </w:rPr>
          <w:fldChar w:fldCharType="end"/>
        </w:r>
      </w:hyperlink>
    </w:p>
    <w:p w14:paraId="53FFB220" w14:textId="7365E065"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69" w:history="1">
        <w:r w:rsidRPr="00300EDB">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Låneberedskap och refinansieringsrisk</w:t>
        </w:r>
        <w:r>
          <w:rPr>
            <w:webHidden/>
          </w:rPr>
          <w:tab/>
        </w:r>
        <w:r>
          <w:rPr>
            <w:webHidden/>
          </w:rPr>
          <w:fldChar w:fldCharType="begin"/>
        </w:r>
        <w:r>
          <w:rPr>
            <w:webHidden/>
          </w:rPr>
          <w:instrText xml:space="preserve"> PAGEREF _Toc227766869 \h </w:instrText>
        </w:r>
        <w:r>
          <w:rPr>
            <w:webHidden/>
          </w:rPr>
        </w:r>
        <w:r>
          <w:rPr>
            <w:webHidden/>
          </w:rPr>
          <w:fldChar w:fldCharType="separate"/>
        </w:r>
        <w:r>
          <w:rPr>
            <w:webHidden/>
          </w:rPr>
          <w:t>25</w:t>
        </w:r>
        <w:r>
          <w:rPr>
            <w:webHidden/>
          </w:rPr>
          <w:fldChar w:fldCharType="end"/>
        </w:r>
      </w:hyperlink>
    </w:p>
    <w:p w14:paraId="1361619A" w14:textId="13B65298"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70" w:history="1">
        <w:r w:rsidRPr="00300EDB">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Marknads- och skuldvård</w:t>
        </w:r>
        <w:r>
          <w:rPr>
            <w:webHidden/>
          </w:rPr>
          <w:tab/>
        </w:r>
        <w:r>
          <w:rPr>
            <w:webHidden/>
          </w:rPr>
          <w:fldChar w:fldCharType="begin"/>
        </w:r>
        <w:r>
          <w:rPr>
            <w:webHidden/>
          </w:rPr>
          <w:instrText xml:space="preserve"> PAGEREF _Toc227766870 \h </w:instrText>
        </w:r>
        <w:r>
          <w:rPr>
            <w:webHidden/>
          </w:rPr>
        </w:r>
        <w:r>
          <w:rPr>
            <w:webHidden/>
          </w:rPr>
          <w:fldChar w:fldCharType="separate"/>
        </w:r>
        <w:r>
          <w:rPr>
            <w:webHidden/>
          </w:rPr>
          <w:t>28</w:t>
        </w:r>
        <w:r>
          <w:rPr>
            <w:webHidden/>
          </w:rPr>
          <w:fldChar w:fldCharType="end"/>
        </w:r>
      </w:hyperlink>
    </w:p>
    <w:p w14:paraId="19E9FA9C" w14:textId="01272C30"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71" w:history="1">
        <w:r w:rsidRPr="00300EDB">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Positionstagande</w:t>
        </w:r>
        <w:r>
          <w:rPr>
            <w:webHidden/>
          </w:rPr>
          <w:tab/>
        </w:r>
        <w:r>
          <w:rPr>
            <w:webHidden/>
          </w:rPr>
          <w:fldChar w:fldCharType="begin"/>
        </w:r>
        <w:r>
          <w:rPr>
            <w:webHidden/>
          </w:rPr>
          <w:instrText xml:space="preserve"> PAGEREF _Toc227766871 \h </w:instrText>
        </w:r>
        <w:r>
          <w:rPr>
            <w:webHidden/>
          </w:rPr>
        </w:r>
        <w:r>
          <w:rPr>
            <w:webHidden/>
          </w:rPr>
          <w:fldChar w:fldCharType="separate"/>
        </w:r>
        <w:r>
          <w:rPr>
            <w:webHidden/>
          </w:rPr>
          <w:t>33</w:t>
        </w:r>
        <w:r>
          <w:rPr>
            <w:webHidden/>
          </w:rPr>
          <w:fldChar w:fldCharType="end"/>
        </w:r>
      </w:hyperlink>
    </w:p>
    <w:p w14:paraId="403FE5D9" w14:textId="0E370EE6"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72" w:history="1">
        <w:r w:rsidRPr="00300EDB">
          <w:rPr>
            <w:rStyle w:val="Hyperlnk"/>
            <w:rFonts w:eastAsiaTheme="majorEastAsia"/>
          </w:rPr>
          <w:t>4.6</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Upplåning på privatmarknaden</w:t>
        </w:r>
        <w:r>
          <w:rPr>
            <w:webHidden/>
          </w:rPr>
          <w:tab/>
        </w:r>
        <w:r>
          <w:rPr>
            <w:webHidden/>
          </w:rPr>
          <w:fldChar w:fldCharType="begin"/>
        </w:r>
        <w:r>
          <w:rPr>
            <w:webHidden/>
          </w:rPr>
          <w:instrText xml:space="preserve"> PAGEREF _Toc227766872 \h </w:instrText>
        </w:r>
        <w:r>
          <w:rPr>
            <w:webHidden/>
          </w:rPr>
        </w:r>
        <w:r>
          <w:rPr>
            <w:webHidden/>
          </w:rPr>
          <w:fldChar w:fldCharType="separate"/>
        </w:r>
        <w:r>
          <w:rPr>
            <w:webHidden/>
          </w:rPr>
          <w:t>34</w:t>
        </w:r>
        <w:r>
          <w:rPr>
            <w:webHidden/>
          </w:rPr>
          <w:fldChar w:fldCharType="end"/>
        </w:r>
      </w:hyperlink>
    </w:p>
    <w:p w14:paraId="6E6191FE" w14:textId="3B482B68"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73" w:history="1">
        <w:r w:rsidRPr="00300EDB">
          <w:rPr>
            <w:rStyle w:val="Hyperlnk"/>
            <w:rFonts w:eastAsiaTheme="majorEastAsia"/>
          </w:rPr>
          <w:t>4.7</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Lån för att tillgodose behovet av statslån</w:t>
        </w:r>
        <w:r>
          <w:rPr>
            <w:webHidden/>
          </w:rPr>
          <w:tab/>
        </w:r>
        <w:r>
          <w:rPr>
            <w:webHidden/>
          </w:rPr>
          <w:fldChar w:fldCharType="begin"/>
        </w:r>
        <w:r>
          <w:rPr>
            <w:webHidden/>
          </w:rPr>
          <w:instrText xml:space="preserve"> PAGEREF _Toc227766873 \h </w:instrText>
        </w:r>
        <w:r>
          <w:rPr>
            <w:webHidden/>
          </w:rPr>
        </w:r>
        <w:r>
          <w:rPr>
            <w:webHidden/>
          </w:rPr>
          <w:fldChar w:fldCharType="separate"/>
        </w:r>
        <w:r>
          <w:rPr>
            <w:webHidden/>
          </w:rPr>
          <w:t>34</w:t>
        </w:r>
        <w:r>
          <w:rPr>
            <w:webHidden/>
          </w:rPr>
          <w:fldChar w:fldCharType="end"/>
        </w:r>
      </w:hyperlink>
    </w:p>
    <w:p w14:paraId="302AA726" w14:textId="1641B117" w:rsidR="002F44B6" w:rsidRDefault="002F44B6">
      <w:pPr>
        <w:pStyle w:val="Innehll1"/>
        <w:rPr>
          <w:rFonts w:asciiTheme="minorHAnsi" w:eastAsiaTheme="minorEastAsia" w:hAnsiTheme="minorHAnsi"/>
          <w:kern w:val="2"/>
          <w:sz w:val="24"/>
          <w:szCs w:val="24"/>
          <w:lang w:eastAsia="sv-SE"/>
          <w14:ligatures w14:val="standardContextual"/>
        </w:rPr>
      </w:pPr>
      <w:hyperlink w:anchor="_Toc227766874" w:history="1">
        <w:r w:rsidRPr="00300EDB">
          <w:rPr>
            <w:rStyle w:val="Hyperlnk"/>
          </w:rPr>
          <w:t>5</w:t>
        </w:r>
        <w:r>
          <w:rPr>
            <w:rFonts w:asciiTheme="minorHAnsi" w:eastAsiaTheme="minorEastAsia" w:hAnsiTheme="minorHAnsi"/>
            <w:kern w:val="2"/>
            <w:sz w:val="24"/>
            <w:szCs w:val="24"/>
            <w:lang w:eastAsia="sv-SE"/>
            <w14:ligatures w14:val="standardContextual"/>
          </w:rPr>
          <w:tab/>
        </w:r>
        <w:r w:rsidRPr="00300EDB">
          <w:rPr>
            <w:rStyle w:val="Hyperlnk"/>
          </w:rPr>
          <w:t>Utvärdering av statsskuldsförvaltningens mål</w:t>
        </w:r>
        <w:r>
          <w:rPr>
            <w:webHidden/>
          </w:rPr>
          <w:tab/>
        </w:r>
        <w:r>
          <w:rPr>
            <w:webHidden/>
          </w:rPr>
          <w:fldChar w:fldCharType="begin"/>
        </w:r>
        <w:r>
          <w:rPr>
            <w:webHidden/>
          </w:rPr>
          <w:instrText xml:space="preserve"> PAGEREF _Toc227766874 \h </w:instrText>
        </w:r>
        <w:r>
          <w:rPr>
            <w:webHidden/>
          </w:rPr>
        </w:r>
        <w:r>
          <w:rPr>
            <w:webHidden/>
          </w:rPr>
          <w:fldChar w:fldCharType="separate"/>
        </w:r>
        <w:r>
          <w:rPr>
            <w:webHidden/>
          </w:rPr>
          <w:t>35</w:t>
        </w:r>
        <w:r>
          <w:rPr>
            <w:webHidden/>
          </w:rPr>
          <w:fldChar w:fldCharType="end"/>
        </w:r>
      </w:hyperlink>
    </w:p>
    <w:p w14:paraId="6F5B299B" w14:textId="600DCCED"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75" w:history="1">
        <w:r w:rsidRPr="00300EDB">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Statsskuldens kostnad</w:t>
        </w:r>
        <w:r>
          <w:rPr>
            <w:webHidden/>
          </w:rPr>
          <w:tab/>
        </w:r>
        <w:r>
          <w:rPr>
            <w:webHidden/>
          </w:rPr>
          <w:fldChar w:fldCharType="begin"/>
        </w:r>
        <w:r>
          <w:rPr>
            <w:webHidden/>
          </w:rPr>
          <w:instrText xml:space="preserve"> PAGEREF _Toc227766875 \h </w:instrText>
        </w:r>
        <w:r>
          <w:rPr>
            <w:webHidden/>
          </w:rPr>
        </w:r>
        <w:r>
          <w:rPr>
            <w:webHidden/>
          </w:rPr>
          <w:fldChar w:fldCharType="separate"/>
        </w:r>
        <w:r>
          <w:rPr>
            <w:webHidden/>
          </w:rPr>
          <w:t>35</w:t>
        </w:r>
        <w:r>
          <w:rPr>
            <w:webHidden/>
          </w:rPr>
          <w:fldChar w:fldCharType="end"/>
        </w:r>
      </w:hyperlink>
    </w:p>
    <w:p w14:paraId="1758001E" w14:textId="79AB2AB7"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76" w:history="1">
        <w:r w:rsidRPr="00300EDB">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Risker i statsskuldsförvaltningen</w:t>
        </w:r>
        <w:r>
          <w:rPr>
            <w:webHidden/>
          </w:rPr>
          <w:tab/>
        </w:r>
        <w:r>
          <w:rPr>
            <w:webHidden/>
          </w:rPr>
          <w:fldChar w:fldCharType="begin"/>
        </w:r>
        <w:r>
          <w:rPr>
            <w:webHidden/>
          </w:rPr>
          <w:instrText xml:space="preserve"> PAGEREF _Toc227766876 \h </w:instrText>
        </w:r>
        <w:r>
          <w:rPr>
            <w:webHidden/>
          </w:rPr>
        </w:r>
        <w:r>
          <w:rPr>
            <w:webHidden/>
          </w:rPr>
          <w:fldChar w:fldCharType="separate"/>
        </w:r>
        <w:r>
          <w:rPr>
            <w:webHidden/>
          </w:rPr>
          <w:t>40</w:t>
        </w:r>
        <w:r>
          <w:rPr>
            <w:webHidden/>
          </w:rPr>
          <w:fldChar w:fldCharType="end"/>
        </w:r>
      </w:hyperlink>
    </w:p>
    <w:p w14:paraId="26094C73" w14:textId="34C87B5F" w:rsidR="002F44B6" w:rsidRDefault="002F44B6">
      <w:pPr>
        <w:pStyle w:val="Innehll2"/>
        <w:rPr>
          <w:rFonts w:asciiTheme="minorHAnsi" w:eastAsiaTheme="minorEastAsia" w:hAnsiTheme="minorHAnsi" w:cstheme="minorBidi"/>
          <w:kern w:val="2"/>
          <w:sz w:val="24"/>
          <w:szCs w:val="24"/>
          <w:lang w:eastAsia="sv-SE"/>
          <w14:ligatures w14:val="standardContextual"/>
        </w:rPr>
      </w:pPr>
      <w:hyperlink w:anchor="_Toc227766877" w:history="1">
        <w:r w:rsidRPr="00300EDB">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300EDB">
          <w:rPr>
            <w:rStyle w:val="Hyperlnk"/>
            <w:rFonts w:eastAsiaTheme="majorEastAsia"/>
          </w:rPr>
          <w:t>Sammantagen bedömning av kostnaderna och riskerna i förvaltningen av statsskulden</w:t>
        </w:r>
        <w:r>
          <w:rPr>
            <w:webHidden/>
          </w:rPr>
          <w:tab/>
        </w:r>
        <w:r>
          <w:rPr>
            <w:webHidden/>
          </w:rPr>
          <w:fldChar w:fldCharType="begin"/>
        </w:r>
        <w:r>
          <w:rPr>
            <w:webHidden/>
          </w:rPr>
          <w:instrText xml:space="preserve"> PAGEREF _Toc227766877 \h </w:instrText>
        </w:r>
        <w:r>
          <w:rPr>
            <w:webHidden/>
          </w:rPr>
        </w:r>
        <w:r>
          <w:rPr>
            <w:webHidden/>
          </w:rPr>
          <w:fldChar w:fldCharType="separate"/>
        </w:r>
        <w:r>
          <w:rPr>
            <w:webHidden/>
          </w:rPr>
          <w:t>44</w:t>
        </w:r>
        <w:r>
          <w:rPr>
            <w:webHidden/>
          </w:rPr>
          <w:fldChar w:fldCharType="end"/>
        </w:r>
      </w:hyperlink>
    </w:p>
    <w:p w14:paraId="4DC6B18A" w14:textId="243CA67A" w:rsidR="002F44B6" w:rsidRDefault="00AC4C2C" w:rsidP="00AC4C2C">
      <w:pPr>
        <w:pStyle w:val="Innehll1"/>
        <w:rPr>
          <w:rFonts w:asciiTheme="minorHAnsi" w:eastAsiaTheme="minorEastAsia" w:hAnsiTheme="minorHAnsi"/>
          <w:kern w:val="2"/>
          <w:sz w:val="24"/>
          <w:szCs w:val="24"/>
          <w:lang w:eastAsia="sv-SE"/>
          <w14:ligatures w14:val="standardContextual"/>
        </w:rPr>
      </w:pPr>
      <w:r>
        <w:t>6</w:t>
      </w:r>
      <w:r>
        <w:tab/>
      </w:r>
      <w:hyperlink w:anchor="_Toc227766878" w:history="1">
        <w:r w:rsidR="002F44B6" w:rsidRPr="00300EDB">
          <w:rPr>
            <w:rStyle w:val="Hyperlnk"/>
          </w:rPr>
          <w:t>Penningpolitik och statsskuldspolitik</w:t>
        </w:r>
        <w:r w:rsidR="002F44B6">
          <w:rPr>
            <w:webHidden/>
          </w:rPr>
          <w:tab/>
        </w:r>
        <w:r w:rsidR="002F44B6">
          <w:rPr>
            <w:webHidden/>
          </w:rPr>
          <w:fldChar w:fldCharType="begin"/>
        </w:r>
        <w:r w:rsidR="002F44B6">
          <w:rPr>
            <w:webHidden/>
          </w:rPr>
          <w:instrText xml:space="preserve"> PAGEREF _Toc227766878 \h </w:instrText>
        </w:r>
        <w:r w:rsidR="002F44B6">
          <w:rPr>
            <w:webHidden/>
          </w:rPr>
        </w:r>
        <w:r w:rsidR="002F44B6">
          <w:rPr>
            <w:webHidden/>
          </w:rPr>
          <w:fldChar w:fldCharType="separate"/>
        </w:r>
        <w:r w:rsidR="002F44B6">
          <w:rPr>
            <w:webHidden/>
          </w:rPr>
          <w:t>47</w:t>
        </w:r>
        <w:r w:rsidR="002F44B6">
          <w:rPr>
            <w:webHidden/>
          </w:rPr>
          <w:fldChar w:fldCharType="end"/>
        </w:r>
      </w:hyperlink>
    </w:p>
    <w:p w14:paraId="5A95EC33" w14:textId="53F3014D" w:rsidR="002F44B6" w:rsidRDefault="00AC4C2C" w:rsidP="00AC4C2C">
      <w:pPr>
        <w:pStyle w:val="Innehll4"/>
        <w:numPr>
          <w:ilvl w:val="0"/>
          <w:numId w:val="0"/>
        </w:numPr>
        <w:ind w:left="1134" w:hanging="1134"/>
        <w:rPr>
          <w:rFonts w:asciiTheme="minorHAnsi" w:eastAsiaTheme="minorEastAsia" w:hAnsiTheme="minorHAnsi"/>
          <w:noProof/>
          <w:kern w:val="2"/>
          <w:sz w:val="24"/>
          <w:szCs w:val="24"/>
          <w:lang w:eastAsia="sv-SE"/>
          <w14:ligatures w14:val="standardContextual"/>
        </w:rPr>
      </w:pPr>
      <w:r>
        <w:t>Bilaga</w:t>
      </w:r>
      <w:r>
        <w:tab/>
      </w:r>
      <w:hyperlink w:anchor="_Toc227766879" w:history="1">
        <w:r w:rsidR="002F44B6" w:rsidRPr="00300EDB">
          <w:rPr>
            <w:rStyle w:val="Hyperlnk"/>
            <w:noProof/>
          </w:rPr>
          <w:t>Statskontorets rapport Utvärdering av statens upplåning och skuldförvaltning 2021–2025</w:t>
        </w:r>
        <w:r w:rsidR="002F44B6">
          <w:rPr>
            <w:noProof/>
            <w:webHidden/>
          </w:rPr>
          <w:tab/>
        </w:r>
        <w:r w:rsidR="002F44B6">
          <w:rPr>
            <w:noProof/>
            <w:webHidden/>
          </w:rPr>
          <w:fldChar w:fldCharType="begin"/>
        </w:r>
        <w:r w:rsidR="002F44B6">
          <w:rPr>
            <w:noProof/>
            <w:webHidden/>
          </w:rPr>
          <w:instrText xml:space="preserve"> PAGEREF _Toc227766879 \h </w:instrText>
        </w:r>
        <w:r w:rsidR="002F44B6">
          <w:rPr>
            <w:noProof/>
            <w:webHidden/>
          </w:rPr>
        </w:r>
        <w:r w:rsidR="002F44B6">
          <w:rPr>
            <w:noProof/>
            <w:webHidden/>
          </w:rPr>
          <w:fldChar w:fldCharType="separate"/>
        </w:r>
        <w:r w:rsidR="002F44B6">
          <w:rPr>
            <w:noProof/>
            <w:webHidden/>
          </w:rPr>
          <w:t>48</w:t>
        </w:r>
        <w:r w:rsidR="002F44B6">
          <w:rPr>
            <w:noProof/>
            <w:webHidden/>
          </w:rPr>
          <w:fldChar w:fldCharType="end"/>
        </w:r>
      </w:hyperlink>
    </w:p>
    <w:p w14:paraId="44933E0A" w14:textId="6E49353F" w:rsidR="002F44B6" w:rsidRDefault="002F44B6">
      <w:pPr>
        <w:pStyle w:val="Innehll5"/>
        <w:rPr>
          <w:rFonts w:asciiTheme="minorHAnsi" w:eastAsiaTheme="minorEastAsia" w:hAnsiTheme="minorHAnsi"/>
          <w:noProof/>
          <w:kern w:val="2"/>
          <w:sz w:val="24"/>
          <w:szCs w:val="24"/>
          <w:lang w:eastAsia="sv-SE"/>
          <w14:ligatures w14:val="standardContextual"/>
        </w:rPr>
      </w:pPr>
      <w:hyperlink w:anchor="_Toc227766880" w:history="1">
        <w:r w:rsidRPr="00300EDB">
          <w:rPr>
            <w:rStyle w:val="Hyperlnk"/>
            <w:noProof/>
          </w:rPr>
          <w:t>Utdrag ur protokoll vid regeringssammanträde den 23 april 2026</w:t>
        </w:r>
        <w:r>
          <w:rPr>
            <w:noProof/>
            <w:webHidden/>
          </w:rPr>
          <w:tab/>
        </w:r>
        <w:r>
          <w:rPr>
            <w:noProof/>
            <w:webHidden/>
          </w:rPr>
          <w:fldChar w:fldCharType="begin"/>
        </w:r>
        <w:r>
          <w:rPr>
            <w:noProof/>
            <w:webHidden/>
          </w:rPr>
          <w:instrText xml:space="preserve"> PAGEREF _Toc227766880 \h </w:instrText>
        </w:r>
        <w:r>
          <w:rPr>
            <w:noProof/>
            <w:webHidden/>
          </w:rPr>
        </w:r>
        <w:r>
          <w:rPr>
            <w:noProof/>
            <w:webHidden/>
          </w:rPr>
          <w:fldChar w:fldCharType="separate"/>
        </w:r>
        <w:r>
          <w:rPr>
            <w:noProof/>
            <w:webHidden/>
          </w:rPr>
          <w:t>49</w:t>
        </w:r>
        <w:r>
          <w:rPr>
            <w:noProof/>
            <w:webHidden/>
          </w:rPr>
          <w:fldChar w:fldCharType="end"/>
        </w:r>
      </w:hyperlink>
    </w:p>
    <w:p w14:paraId="2920D71A" w14:textId="5FBFD37B" w:rsidR="00995676" w:rsidRDefault="00995676" w:rsidP="00362009">
      <w:pPr>
        <w:pStyle w:val="Brdtextmedindrag"/>
      </w:pPr>
      <w:r>
        <w:fldChar w:fldCharType="end"/>
      </w:r>
    </w:p>
    <w:p w14:paraId="6414E076" w14:textId="12ACC1D3" w:rsidR="00DB62B9" w:rsidRDefault="00995676" w:rsidP="00FC17EB">
      <w:pPr>
        <w:pStyle w:val="Rubrik1"/>
      </w:pPr>
      <w:r>
        <w:br w:type="page"/>
      </w:r>
      <w:bookmarkStart w:id="0" w:name="_Toc337537303"/>
      <w:bookmarkStart w:id="1" w:name="_Ref224117283"/>
      <w:bookmarkStart w:id="2" w:name="_Toc227766858"/>
      <w:bookmarkEnd w:id="0"/>
      <w:r w:rsidR="00CD75A7" w:rsidRPr="00CD75A7">
        <w:lastRenderedPageBreak/>
        <w:t>Mål, ramverk och process för statsskuldsförvaltningen</w:t>
      </w:r>
      <w:bookmarkEnd w:id="1"/>
      <w:bookmarkEnd w:id="2"/>
    </w:p>
    <w:p w14:paraId="14036A4F" w14:textId="53BB4914" w:rsidR="00CD75A7" w:rsidRDefault="00CD75A7" w:rsidP="00FC17EB">
      <w:pPr>
        <w:pStyle w:val="Rubrik4ram"/>
        <w:outlineLvl w:val="1"/>
      </w:pPr>
      <w:r>
        <w:t>Sammanfattning</w:t>
      </w:r>
    </w:p>
    <w:p w14:paraId="045C6FE3" w14:textId="68CA282F" w:rsidR="00CD75A7" w:rsidRDefault="00CD75A7" w:rsidP="00CD75A7">
      <w:pPr>
        <w:pStyle w:val="Brdtextram"/>
      </w:pPr>
      <w:r w:rsidRPr="00CD75A7">
        <w:t>Regeringen fattar årligen beslut om riktlinjer för statsskuldens förvaltning. Riktlinjerna ska vara i enlighet med målet för statsskulds</w:t>
      </w:r>
      <w:r w:rsidR="00352A29">
        <w:softHyphen/>
      </w:r>
      <w:r w:rsidRPr="00CD75A7">
        <w:t>politiken. Riksgäldskontoret ansvarar för att upplåning och förvaltning görs inom ramen för regeringens riktlinjer och i enlighet med målet för statsskuldspolitiken. Regeringen utvärderar vartannat år förvaltningen av statsskulden i en skrivelse, som lämnas till riksdagen.</w:t>
      </w:r>
    </w:p>
    <w:p w14:paraId="4943D560" w14:textId="77777777" w:rsidR="00CD75A7" w:rsidRDefault="00CD75A7" w:rsidP="00FC17EB">
      <w:pPr>
        <w:pStyle w:val="Rubrik2utannumrering"/>
      </w:pPr>
      <w:r>
        <w:t>Målet för statsskuldspolitiken</w:t>
      </w:r>
    </w:p>
    <w:p w14:paraId="3085B1D1" w14:textId="4A5DA74E" w:rsidR="00CD75A7" w:rsidRDefault="00CD75A7" w:rsidP="00CD75A7">
      <w:pPr>
        <w:pStyle w:val="Brdtext"/>
      </w:pPr>
      <w:r>
        <w:t>Målet för statsskuldspolitiken är att statens skuld ska förvaltas så att kostnaden för skulden långsiktigt minimeras samtidigt som risken i förvaltningen beaktas. Förvaltningen ska ske inom ramen för de krav som penningpolitiken ställer (5 kap. 5 § budgetlagen [2011:203]).</w:t>
      </w:r>
      <w:r w:rsidRPr="00CD75A7">
        <w:t xml:space="preserve">  </w:t>
      </w:r>
    </w:p>
    <w:p w14:paraId="4B4BF007" w14:textId="564DC571" w:rsidR="00CD75A7" w:rsidRDefault="00CD75A7" w:rsidP="00FC17EB">
      <w:pPr>
        <w:pStyle w:val="Rubrik2utannumrering"/>
      </w:pPr>
      <w:r w:rsidRPr="00CD75A7">
        <w:t>Upplåningens ändamål</w:t>
      </w:r>
    </w:p>
    <w:p w14:paraId="7D7A9FB3" w14:textId="1E5D9C00" w:rsidR="00211CAA" w:rsidRPr="00211CAA" w:rsidRDefault="00211CAA" w:rsidP="00211CAA">
      <w:pPr>
        <w:pStyle w:val="Brdtext"/>
      </w:pPr>
      <w:r w:rsidRPr="00211CAA">
        <w:t>Regeringen får inte utan att riksdagen har medgett det ta upp lån eller göra andra ekonomiska åtaganden för staten (9 kap. 8 § andra stycket regeringsformen). Riksgäldskontoret har till uppgift att ta upp och förvalta lån till staten enligt budgetlagen (3 § förordningen [2023:909]) med instruktion för Riksgäldskontoret). Enligt 5 kap. 1 § budgetlagen får Riksgäldskontoret, efter riksdagens bemyndigande och regeringens bestämmande, ta upp lån till staten för att</w:t>
      </w:r>
    </w:p>
    <w:p w14:paraId="644D94F4" w14:textId="0CB75BB6" w:rsidR="00211CAA" w:rsidRPr="00211CAA" w:rsidRDefault="00211CAA" w:rsidP="00211CAA">
      <w:pPr>
        <w:pStyle w:val="Numreradlista"/>
      </w:pPr>
      <w:r w:rsidRPr="00211CAA">
        <w:t>finansiera löpande underskott i statens budget och andra utgifter som grundar sig på riksdagens beslut,</w:t>
      </w:r>
    </w:p>
    <w:p w14:paraId="0F584975" w14:textId="06DE7B0F" w:rsidR="00211CAA" w:rsidRPr="00211CAA" w:rsidRDefault="00211CAA" w:rsidP="00211CAA">
      <w:pPr>
        <w:pStyle w:val="Numreradlista"/>
      </w:pPr>
      <w:r w:rsidRPr="00211CAA">
        <w:t>tillhandahålla sådana krediter och fullgöra sådana garantier som riksdagen beslutat om,</w:t>
      </w:r>
    </w:p>
    <w:p w14:paraId="4906C7CC" w14:textId="04354D03" w:rsidR="00211CAA" w:rsidRPr="00211CAA" w:rsidRDefault="00211CAA" w:rsidP="00211CAA">
      <w:pPr>
        <w:pStyle w:val="Numreradlista"/>
      </w:pPr>
      <w:r w:rsidRPr="00211CAA">
        <w:t>amortera, lösa in och köpa upp statslån,</w:t>
      </w:r>
    </w:p>
    <w:p w14:paraId="242BC317" w14:textId="41B2B1E7" w:rsidR="00211CAA" w:rsidRPr="00211CAA" w:rsidRDefault="00211CAA" w:rsidP="00211CAA">
      <w:pPr>
        <w:pStyle w:val="Numreradlista"/>
      </w:pPr>
      <w:r w:rsidRPr="00211CAA">
        <w:t>i samråd med Riksbanken tillgodose behovet av statslån med olika löptider, och</w:t>
      </w:r>
    </w:p>
    <w:p w14:paraId="3DE80500" w14:textId="4AC4ABF8" w:rsidR="00211CAA" w:rsidRPr="00211CAA" w:rsidRDefault="00211CAA" w:rsidP="00211CAA">
      <w:pPr>
        <w:pStyle w:val="Numreradlista"/>
      </w:pPr>
      <w:r w:rsidRPr="00211CAA">
        <w:t>tillgodose Riksbankens behov av valutareserv.</w:t>
      </w:r>
    </w:p>
    <w:p w14:paraId="6DFEEC8A" w14:textId="09149AF5" w:rsidR="00211CAA" w:rsidRDefault="00211CAA" w:rsidP="00211CAA">
      <w:pPr>
        <w:pStyle w:val="Brdtextefternumreradlista"/>
      </w:pPr>
      <w:r w:rsidRPr="00211CAA">
        <w:t>Riksdagen lämnar sitt bemyndigande för ett budgetår i sänder.</w:t>
      </w:r>
    </w:p>
    <w:p w14:paraId="2DB2ECAD" w14:textId="77777777" w:rsidR="00B55D70" w:rsidRDefault="00B55D70" w:rsidP="00FC17EB">
      <w:pPr>
        <w:pStyle w:val="Rubrik2utannumrering"/>
      </w:pPr>
      <w:r>
        <w:t>Riktlinjer för statsskuldens förvaltning</w:t>
      </w:r>
    </w:p>
    <w:p w14:paraId="66144373" w14:textId="0F62EAF9" w:rsidR="001E6FF5" w:rsidRDefault="00B55D70" w:rsidP="00780402">
      <w:pPr>
        <w:pStyle w:val="Brdtext"/>
      </w:pPr>
      <w:r w:rsidRPr="00B55D70">
        <w:t xml:space="preserve">Regeringen fattar årligen beslut om riktlinjer för statsskuldens förvaltning. </w:t>
      </w:r>
      <w:r w:rsidR="00780402">
        <w:t>I de årliga riktlinjebesluten styr regeringen avvägningen mellan kostnad och risk i statsskuldsförvaltningen på en övergripande nivå med utgångs</w:t>
      </w:r>
      <w:r w:rsidR="00780402">
        <w:softHyphen/>
        <w:t>punkt i det lagfästa målet för statsskuldspolitiken.</w:t>
      </w:r>
      <w:r w:rsidR="00780402" w:rsidRPr="00B55D70">
        <w:t xml:space="preserve"> </w:t>
      </w:r>
      <w:r w:rsidR="008356D5">
        <w:t>Av</w:t>
      </w:r>
      <w:r w:rsidRPr="00B55D70">
        <w:t xml:space="preserve"> riktlinjerna och myndighetens instruktion framgår att Riksgäldskontoret ska fastställa </w:t>
      </w:r>
      <w:r w:rsidRPr="00B55D70">
        <w:lastRenderedPageBreak/>
        <w:t>interna riktlinjer för hur regeringens riktlinjer ska genomföras i praktiken. De interna riktlinjerna fastställs av Riksgälds</w:t>
      </w:r>
      <w:r w:rsidRPr="00B55D70">
        <w:softHyphen/>
        <w:t>kontorets styrelse och publiceras i myndighetens rapport Finans- och riskpolicy. Det är operativa riktlinjer som reglerar utnyttjandet av positionsmandatet, löptiden i nominell respektive real kronskuld, valutafördelningen i valutaskulden samt principer för marknads- och skuldvård. Därutöver tillämpar Riksgäldskontoret olika förvaltnings</w:t>
      </w:r>
      <w:r w:rsidRPr="00B55D70">
        <w:softHyphen/>
        <w:t xml:space="preserve">strategier. </w:t>
      </w:r>
    </w:p>
    <w:p w14:paraId="48711A5B" w14:textId="77777777" w:rsidR="001E6FF5" w:rsidRDefault="001E6FF5" w:rsidP="00FC17EB">
      <w:pPr>
        <w:pStyle w:val="Rubrik2utannumrering"/>
      </w:pPr>
      <w:r>
        <w:t>Processen för styrning och utvärdering</w:t>
      </w:r>
    </w:p>
    <w:p w14:paraId="360CE130" w14:textId="7E6BA804" w:rsidR="001E6FF5" w:rsidRDefault="001E6FF5" w:rsidP="001E6FF5">
      <w:pPr>
        <w:pStyle w:val="Brdtext"/>
      </w:pPr>
      <w:r>
        <w:t>Statsskuldspolitiken har styrts och utvärderats enligt nuvarande process sedan 1998. Riksdagen har beslutat målet och regeringen fastställer i årliga riktlinjebeslut den övergripande avvägningen mellan kostnad och risk. Styrnings- och utvärderingsprocessen kan sammanfattas enligt nedan:</w:t>
      </w:r>
    </w:p>
    <w:p w14:paraId="2727B6E5" w14:textId="6F52C891" w:rsidR="001E6FF5" w:rsidRDefault="001E6FF5" w:rsidP="001E6FF5">
      <w:pPr>
        <w:pStyle w:val="Punktlista"/>
      </w:pPr>
      <w:r>
        <w:t>Senast den 1 oktober lämnar Riksgäldskontoret förslag till riktlinjer för statsskuldens förvaltning till regeringen.</w:t>
      </w:r>
    </w:p>
    <w:p w14:paraId="39A03B78" w14:textId="08272058" w:rsidR="001E6FF5" w:rsidRDefault="009C2CAB" w:rsidP="001E6FF5">
      <w:pPr>
        <w:pStyle w:val="Punktlista"/>
      </w:pPr>
      <w:r>
        <w:t xml:space="preserve">Regeringen </w:t>
      </w:r>
      <w:r w:rsidR="00C06EA7">
        <w:t>ger</w:t>
      </w:r>
      <w:r>
        <w:t xml:space="preserve"> Riksbanken</w:t>
      </w:r>
      <w:r w:rsidR="00C06EA7">
        <w:t xml:space="preserve"> möjlighet att</w:t>
      </w:r>
      <w:r>
        <w:t xml:space="preserve"> yttra</w:t>
      </w:r>
      <w:r w:rsidR="00C06EA7">
        <w:t xml:space="preserve"> sig</w:t>
      </w:r>
      <w:r>
        <w:t xml:space="preserve"> över r</w:t>
      </w:r>
      <w:r w:rsidR="001E6FF5">
        <w:t>iktlinje</w:t>
      </w:r>
      <w:r w:rsidR="006A038C">
        <w:softHyphen/>
      </w:r>
      <w:r w:rsidR="001E6FF5">
        <w:t>förslaget.</w:t>
      </w:r>
    </w:p>
    <w:p w14:paraId="531640FC" w14:textId="5D0C6F46" w:rsidR="001E6FF5" w:rsidRDefault="001E6FF5" w:rsidP="001E6FF5">
      <w:pPr>
        <w:pStyle w:val="Punktlista"/>
      </w:pPr>
      <w:r>
        <w:t>Senast den 15 november fattar regeringen beslut om riktlinjer för statsskuldens förvaltning för kommande år.</w:t>
      </w:r>
    </w:p>
    <w:p w14:paraId="17C7EDF3" w14:textId="7C031341" w:rsidR="001E6FF5" w:rsidRDefault="001E6FF5" w:rsidP="001E6FF5">
      <w:pPr>
        <w:pStyle w:val="Punktlista"/>
      </w:pPr>
      <w:r>
        <w:t xml:space="preserve">Under verksamhetsåret ansvarar Riksgäldskontoret för upplåning och förvaltning enligt de riktlinjer som regeringen beslutat. </w:t>
      </w:r>
    </w:p>
    <w:p w14:paraId="6C00340E" w14:textId="2260DE16" w:rsidR="001E6FF5" w:rsidRDefault="001E6FF5" w:rsidP="001E6FF5">
      <w:pPr>
        <w:pStyle w:val="Punktlista"/>
      </w:pPr>
      <w:r>
        <w:t xml:space="preserve">Den 22 februari tar utvärderingsprocessen formellt sin början då Riksgäldskontoret lämnar underlag för utvärdering till regeringen. </w:t>
      </w:r>
    </w:p>
    <w:p w14:paraId="5ED9E070" w14:textId="77463586" w:rsidR="001E6FF5" w:rsidRPr="003C78BC" w:rsidRDefault="001E6FF5" w:rsidP="001E6FF5">
      <w:pPr>
        <w:pStyle w:val="Punktlista"/>
      </w:pPr>
      <w:r>
        <w:t xml:space="preserve">Senast den 25 april vartannat år lämnar regeringen en utvärdering till riksdagen i form av en skrivelse, som avser såväl regeringens styrning som Riksgäldskontorets förvaltning av statsskulden. Målet för </w:t>
      </w:r>
      <w:r w:rsidRPr="003C78BC">
        <w:t>statsskuldspolitiken är långsiktigt och utvärderas därför över rullande femårsperioder.</w:t>
      </w:r>
    </w:p>
    <w:p w14:paraId="0F6A02EF" w14:textId="0A1190CF" w:rsidR="001E6FF5" w:rsidRDefault="001E6FF5" w:rsidP="001E6FF5">
      <w:pPr>
        <w:pStyle w:val="Punktlista"/>
      </w:pPr>
      <w:r w:rsidRPr="003C78BC">
        <w:t>Sedan 2008 kompletteras utvärderingsskrivelsen med en extern granskning av Ekonomistyrningsverket (ESV). Den externa granskningen innehåller, förutom en bedömning av mål</w:t>
      </w:r>
      <w:r w:rsidRPr="003C78BC">
        <w:softHyphen/>
        <w:t>upp</w:t>
      </w:r>
      <w:r w:rsidRPr="003C78BC">
        <w:softHyphen/>
        <w:t xml:space="preserve">fyllelsen, i vissa fall även förslag till förändringar i styrningen. </w:t>
      </w:r>
      <w:r w:rsidR="0091516C" w:rsidRPr="003C78BC">
        <w:t xml:space="preserve">Den 1 januari 2026 inordnades Statskontorets verksamhet i ESV, som samtidigt bytte namn till Statskontoret. </w:t>
      </w:r>
      <w:r w:rsidR="004F114C" w:rsidRPr="003C78BC">
        <w:t>Myndigheten</w:t>
      </w:r>
      <w:r w:rsidRPr="003C78BC">
        <w:t xml:space="preserve"> presenterar sin granskning i rapporten Utvärdering av statens upplåning och skuldförvaltning 20</w:t>
      </w:r>
      <w:r w:rsidR="007D4D09">
        <w:t>21</w:t>
      </w:r>
      <w:r w:rsidRPr="003C78BC">
        <w:t>–202</w:t>
      </w:r>
      <w:r w:rsidR="007D4D09">
        <w:t>5</w:t>
      </w:r>
      <w:r w:rsidRPr="003C78BC">
        <w:t xml:space="preserve">, i det följande benämnd utvärderingsrapporten. Rapporten från </w:t>
      </w:r>
      <w:r w:rsidR="008B0C5E" w:rsidRPr="003C78BC">
        <w:t>Statskontoret</w:t>
      </w:r>
      <w:r w:rsidRPr="003C78BC">
        <w:t xml:space="preserve"> finns i bilaga</w:t>
      </w:r>
      <w:r w:rsidR="00F52E7A">
        <w:t>n</w:t>
      </w:r>
      <w:r w:rsidRPr="003C78BC">
        <w:t>.</w:t>
      </w:r>
    </w:p>
    <w:p w14:paraId="0D5DA113" w14:textId="34DAA65E" w:rsidR="00B66F89" w:rsidRPr="00CB2EB0" w:rsidRDefault="00B66F89" w:rsidP="00E950F0">
      <w:pPr>
        <w:pStyle w:val="Brdtextefterpunktlista"/>
      </w:pPr>
      <w:r w:rsidRPr="00CB2EB0">
        <w:t xml:space="preserve">I riktlinjerna för 2026 har regeringen förtydligat och </w:t>
      </w:r>
      <w:r w:rsidR="00E60AC5">
        <w:t>preciserat</w:t>
      </w:r>
      <w:r w:rsidR="00E60AC5" w:rsidRPr="00CB2EB0">
        <w:t xml:space="preserve"> </w:t>
      </w:r>
      <w:r w:rsidR="00E60AC5">
        <w:t>riktlinjerna för utvärdering</w:t>
      </w:r>
      <w:r w:rsidRPr="00CB2EB0">
        <w:t>. Även om förändringarna gäller först för utvärdering</w:t>
      </w:r>
      <w:r w:rsidR="00074B92" w:rsidRPr="00CB2EB0">
        <w:t xml:space="preserve"> som </w:t>
      </w:r>
      <w:r w:rsidR="005C7D11">
        <w:t>omfattar</w:t>
      </w:r>
      <w:r w:rsidR="005C7D11" w:rsidRPr="00CB2EB0">
        <w:t xml:space="preserve"> </w:t>
      </w:r>
      <w:r w:rsidRPr="00CB2EB0">
        <w:t>2026 har</w:t>
      </w:r>
      <w:r w:rsidR="00190526" w:rsidRPr="00CB2EB0">
        <w:t xml:space="preserve"> denna</w:t>
      </w:r>
      <w:r w:rsidRPr="00CB2EB0">
        <w:t xml:space="preserve"> skrivelse redan nu anpassats till viss del, </w:t>
      </w:r>
      <w:r w:rsidR="0069100F" w:rsidRPr="00CB2EB0">
        <w:t>framför allt</w:t>
      </w:r>
      <w:r w:rsidRPr="00CB2EB0">
        <w:t xml:space="preserve"> genom utförligare bedömning av om regeringens riktlinje</w:t>
      </w:r>
      <w:r w:rsidR="00807940">
        <w:softHyphen/>
      </w:r>
      <w:r w:rsidRPr="00CB2EB0">
        <w:t>beslut under utvärderingsperioden bidragit till måluppfyllelsen. Ett avsnitt har också lagts till med bedömning av Riksgäldskontorets arbete med låneberedskap och refinansieringsrisk</w:t>
      </w:r>
      <w:r w:rsidR="00435346">
        <w:t xml:space="preserve"> (avsnitt 4.3)</w:t>
      </w:r>
      <w:r w:rsidRPr="00CB2EB0">
        <w:t>.</w:t>
      </w:r>
    </w:p>
    <w:p w14:paraId="2225B48F" w14:textId="77777777" w:rsidR="00AD5312" w:rsidRDefault="00AD5312" w:rsidP="00FC17EB">
      <w:pPr>
        <w:pStyle w:val="Rubrik2utannumrering"/>
      </w:pPr>
      <w:r>
        <w:lastRenderedPageBreak/>
        <w:t>Budgetmässig hantering av räntor på statsskulden</w:t>
      </w:r>
    </w:p>
    <w:p w14:paraId="1B8CA965" w14:textId="3948693D" w:rsidR="00AD5312" w:rsidRDefault="00AD5312" w:rsidP="00AD5312">
      <w:pPr>
        <w:pStyle w:val="Brdtext"/>
      </w:pPr>
      <w:r>
        <w:t>Räntebetalningarna på statsskulden finansieras via statsbudgetens utgiftsområde 26 Statsskuldsräntor m.m. anslag</w:t>
      </w:r>
      <w:r w:rsidR="00AC1695">
        <w:t> </w:t>
      </w:r>
      <w:r>
        <w:t xml:space="preserve">1:1 </w:t>
      </w:r>
      <w:r w:rsidRPr="00AD5312">
        <w:rPr>
          <w:i/>
          <w:iCs/>
        </w:rPr>
        <w:t>Räntor på statsskulden</w:t>
      </w:r>
      <w:r>
        <w:t xml:space="preserve">. Den budgetpåverkande redovisningen är utgiftsmässig och baseras i princip på hur mycket ränta som betalas respektive år (kassamässigt). Upplåningstekniska faktorer gör att det ibland uppkommer variationer i betalningarna som inte kan hänföras till det enskilda årets skuld-, ränte- och valutakursförhållanden. Regeringen har därför på kort sikt begränsad möjlighet att påverka de kassamässiga ränteutgifterna. </w:t>
      </w:r>
      <w:r w:rsidR="00C84260">
        <w:t>Bl</w:t>
      </w:r>
      <w:r w:rsidR="00480BDE">
        <w:t xml:space="preserve">and </w:t>
      </w:r>
      <w:r w:rsidR="00C84260">
        <w:t>a</w:t>
      </w:r>
      <w:r w:rsidR="00480BDE">
        <w:t>nnat</w:t>
      </w:r>
      <w:r>
        <w:t xml:space="preserve"> av det skälet ligger utgiftsområde</w:t>
      </w:r>
      <w:r w:rsidR="00B25C36">
        <w:t> </w:t>
      </w:r>
      <w:r>
        <w:t>26 Statsskuldsräntor m.m. utanför utgiftstaket. Ett ytterligare skäl är att staten alltid ska kunna fullgöra sina betalningsåtaganden gentemot långivarna. I den kostnads</w:t>
      </w:r>
      <w:r w:rsidR="00965FEE">
        <w:softHyphen/>
      </w:r>
      <w:r>
        <w:t xml:space="preserve">mässiga redovisningen av statsskulden, </w:t>
      </w:r>
      <w:r w:rsidR="004A7E8B">
        <w:t xml:space="preserve">som </w:t>
      </w:r>
      <w:r>
        <w:t xml:space="preserve">påverkar statens finansiella sparande, justeras för de upplåningstekniska faktorerna. </w:t>
      </w:r>
    </w:p>
    <w:p w14:paraId="1F5DD6C9" w14:textId="6F7A8C89" w:rsidR="00AD5312" w:rsidRDefault="00AD5312" w:rsidP="001A7F86">
      <w:pPr>
        <w:pStyle w:val="Brdtextmedindrag"/>
      </w:pPr>
      <w:r>
        <w:t xml:space="preserve">Riksgäldskontoret </w:t>
      </w:r>
      <w:r w:rsidR="004F51AC">
        <w:t>får</w:t>
      </w:r>
      <w:r>
        <w:t xml:space="preserve"> överskrida anslag</w:t>
      </w:r>
      <w:r w:rsidR="00B25C36">
        <w:t> </w:t>
      </w:r>
      <w:r>
        <w:t xml:space="preserve">1:1 </w:t>
      </w:r>
      <w:r w:rsidRPr="00CB2EB0">
        <w:rPr>
          <w:i/>
          <w:iCs/>
        </w:rPr>
        <w:t>Räntor på statsskulden</w:t>
      </w:r>
      <w:r>
        <w:t xml:space="preserve"> och anslag</w:t>
      </w:r>
      <w:r w:rsidR="000612DA">
        <w:t> </w:t>
      </w:r>
      <w:r>
        <w:t>1:3</w:t>
      </w:r>
      <w:r w:rsidR="000612DA">
        <w:t xml:space="preserve"> </w:t>
      </w:r>
      <w:r w:rsidRPr="00B25C36">
        <w:rPr>
          <w:i/>
          <w:iCs/>
        </w:rPr>
        <w:t>Riksgäldskontorets provisionskostnader</w:t>
      </w:r>
      <w:r>
        <w:t xml:space="preserve"> i samband med upplåning och skuldförvaltning i enlighet med ett särskilt bemyndigande i budgetlagen (3 kap. 9 §). Detta motiveras av att staten alltid ska kunna fullgöra sina åtaganden inom ramen för upplånings</w:t>
      </w:r>
      <w:r w:rsidR="00086A97">
        <w:softHyphen/>
      </w:r>
      <w:r>
        <w:t>verksamheten.</w:t>
      </w:r>
    </w:p>
    <w:p w14:paraId="3C695ECE" w14:textId="49D7B323" w:rsidR="006F3375" w:rsidRDefault="006F3375" w:rsidP="00FC17EB">
      <w:pPr>
        <w:pStyle w:val="Rubrik1"/>
      </w:pPr>
      <w:bookmarkStart w:id="3" w:name="_Toc227766859"/>
      <w:r w:rsidRPr="006F3375">
        <w:t>Finanspolitisk och makroekonomisk</w:t>
      </w:r>
      <w:r>
        <w:t xml:space="preserve"> utveckling</w:t>
      </w:r>
      <w:bookmarkEnd w:id="3"/>
    </w:p>
    <w:p w14:paraId="4478231A" w14:textId="7F866617" w:rsidR="00B83CC7" w:rsidRDefault="00B83CC7" w:rsidP="00FC17EB">
      <w:pPr>
        <w:pStyle w:val="Rubrik4ram"/>
        <w:outlineLvl w:val="1"/>
      </w:pPr>
      <w:r>
        <w:t>Sammanfattning</w:t>
      </w:r>
    </w:p>
    <w:p w14:paraId="627E6031" w14:textId="75E18C0B" w:rsidR="006D4476" w:rsidRDefault="00A93509" w:rsidP="00B109D3">
      <w:pPr>
        <w:pStyle w:val="Brdtextmedindragram"/>
        <w:ind w:firstLine="0"/>
      </w:pPr>
      <w:r w:rsidRPr="00A93509">
        <w:t>Den okonsoliderade statsskulden minskade sett till hela utvärderings</w:t>
      </w:r>
      <w:r w:rsidR="00220D8F">
        <w:softHyphen/>
      </w:r>
      <w:r w:rsidRPr="00A93509">
        <w:t xml:space="preserve">perioden från 22 procent till 19 procent av BNP. </w:t>
      </w:r>
      <w:r>
        <w:t xml:space="preserve">Skulden minskade till 17 procent av BNP vid mitten av utvärderingsperioden för att sedan öka något. </w:t>
      </w:r>
      <w:r w:rsidR="003F2724" w:rsidRPr="003F2724">
        <w:t>Lånebehovet ökade i slutet av utvärderingsperioden</w:t>
      </w:r>
      <w:r w:rsidR="003F2724">
        <w:t xml:space="preserve"> och staten gick från flera år av överskott till underskott</w:t>
      </w:r>
      <w:r w:rsidR="003F2724" w:rsidRPr="003F2724">
        <w:t>.</w:t>
      </w:r>
      <w:r w:rsidR="00366E60">
        <w:t xml:space="preserve"> Såväl korta som långa statsräntor har </w:t>
      </w:r>
      <w:r w:rsidR="003D1CB6">
        <w:t>varit högre</w:t>
      </w:r>
      <w:r w:rsidR="00366E60">
        <w:t xml:space="preserve"> under utvärderingsperioden efter en relativt stabil period med lägre räntor.</w:t>
      </w:r>
    </w:p>
    <w:p w14:paraId="5F245D1B" w14:textId="2D9FD7E5" w:rsidR="007E0660" w:rsidRDefault="006D4476" w:rsidP="006D4476">
      <w:pPr>
        <w:pStyle w:val="Brdtextmedindragram"/>
      </w:pPr>
      <w:r>
        <w:t>Inflationen steg kraftigt i början av utvärderingsperioden mot bakgrund av bl.a. stigande energipriser och pandemirelaterade utbuds</w:t>
      </w:r>
      <w:r w:rsidR="00603FCC">
        <w:softHyphen/>
      </w:r>
      <w:r>
        <w:t xml:space="preserve">störningar. </w:t>
      </w:r>
      <w:r w:rsidR="007E0660">
        <w:t>I</w:t>
      </w:r>
      <w:r>
        <w:t>nflation</w:t>
      </w:r>
      <w:r w:rsidR="0015090D">
        <w:t>en</w:t>
      </w:r>
      <w:r w:rsidR="00BB224A">
        <w:t xml:space="preserve"> mätt som KPI</w:t>
      </w:r>
      <w:r w:rsidR="0015090D">
        <w:t xml:space="preserve"> var som högst </w:t>
      </w:r>
      <w:r w:rsidRPr="00C50F9A">
        <w:t>12,3</w:t>
      </w:r>
      <w:r w:rsidR="00C72EDD">
        <w:t> </w:t>
      </w:r>
      <w:r>
        <w:t xml:space="preserve">procent i slutet av 2022 </w:t>
      </w:r>
      <w:r w:rsidR="007E0660">
        <w:t>men</w:t>
      </w:r>
      <w:r>
        <w:t xml:space="preserve"> sjönk</w:t>
      </w:r>
      <w:r w:rsidR="007E0660">
        <w:t xml:space="preserve"> sedan</w:t>
      </w:r>
      <w:r>
        <w:t xml:space="preserve"> i snabb takt.</w:t>
      </w:r>
      <w:r w:rsidR="003F2724" w:rsidRPr="003F2724">
        <w:t xml:space="preserve"> </w:t>
      </w:r>
    </w:p>
    <w:p w14:paraId="1FF7F8B3" w14:textId="0E2388FE" w:rsidR="00B83CC7" w:rsidRPr="00A76360" w:rsidRDefault="007E0660" w:rsidP="007E0660">
      <w:pPr>
        <w:pStyle w:val="Brdtextmedindragram"/>
      </w:pPr>
      <w:r w:rsidRPr="00C50F9A">
        <w:t xml:space="preserve">Den svenska kronan försvagades kraftigt </w:t>
      </w:r>
      <w:r w:rsidR="002E7409" w:rsidRPr="00C50F9A">
        <w:t>i början av utvärderings</w:t>
      </w:r>
      <w:r w:rsidR="00994ED8">
        <w:softHyphen/>
      </w:r>
      <w:r w:rsidR="002E7409" w:rsidRPr="00C50F9A">
        <w:t>perioden</w:t>
      </w:r>
      <w:r w:rsidRPr="00C50F9A">
        <w:t xml:space="preserve">, men </w:t>
      </w:r>
      <w:r w:rsidR="00B26D89" w:rsidRPr="00C50F9A">
        <w:t>förstärktes</w:t>
      </w:r>
      <w:r w:rsidR="006F440F" w:rsidRPr="00C50F9A">
        <w:t xml:space="preserve"> sedan</w:t>
      </w:r>
      <w:r w:rsidR="00B26D89" w:rsidRPr="00C50F9A">
        <w:t xml:space="preserve"> </w:t>
      </w:r>
      <w:r w:rsidR="008D38D1" w:rsidRPr="00C50F9A">
        <w:t xml:space="preserve">mot </w:t>
      </w:r>
      <w:r w:rsidR="00F92122">
        <w:t xml:space="preserve">bl.a. </w:t>
      </w:r>
      <w:r w:rsidR="008D38D1" w:rsidRPr="00C50F9A">
        <w:t xml:space="preserve">den amerikanska dollarn, euron och schweizerfrancen </w:t>
      </w:r>
      <w:r w:rsidR="00B26D89" w:rsidRPr="00C50F9A">
        <w:t>vid periodens slut</w:t>
      </w:r>
      <w:r w:rsidRPr="00C50F9A">
        <w:t xml:space="preserve">. </w:t>
      </w:r>
    </w:p>
    <w:p w14:paraId="6008E757" w14:textId="3250782D" w:rsidR="00B83CC7" w:rsidRDefault="00B83CC7" w:rsidP="00B83CC7">
      <w:pPr>
        <w:pStyle w:val="Brdtextefterpkt-listaram"/>
      </w:pPr>
      <w:r w:rsidRPr="00B83CC7">
        <w:t>Den finanspolitiska och makroekonomiska utvecklingen har stor betydelse för statsskuldsförvaltningen och utvecklingen av statsskuldens kostnader och risker. I avsnitt</w:t>
      </w:r>
      <w:r w:rsidR="00A9796C">
        <w:t xml:space="preserve"> 2</w:t>
      </w:r>
      <w:r w:rsidRPr="00B83CC7">
        <w:t xml:space="preserve"> redovisas utvecklingen av statsskulden, statens lånebehov och de makroekonomiska faktorer som har störst direkt påverkan på statsskulden. Det är även dessa förutsättningar som ligger till grund för regeringens riktlinjer för statsskuldens förvaltning och Riksgäldskontorets tillämpning av riktlinjerna.</w:t>
      </w:r>
    </w:p>
    <w:p w14:paraId="540C9C77" w14:textId="64C14771" w:rsidR="00E6027F" w:rsidRPr="00CB2EB0" w:rsidRDefault="00E6027F" w:rsidP="00FC17EB">
      <w:pPr>
        <w:pStyle w:val="Rubrik2"/>
      </w:pPr>
      <w:bookmarkStart w:id="4" w:name="_Toc227766860"/>
      <w:r w:rsidRPr="00CB2EB0">
        <w:lastRenderedPageBreak/>
        <w:t>Statsskuld och statens lånebehov</w:t>
      </w:r>
      <w:bookmarkEnd w:id="4"/>
    </w:p>
    <w:p w14:paraId="763CA92D" w14:textId="2226A2E1" w:rsidR="004C66B7" w:rsidRPr="00CB2EB0" w:rsidRDefault="00E6027F" w:rsidP="00E6027F">
      <w:pPr>
        <w:pStyle w:val="Brdtext"/>
      </w:pPr>
      <w:r w:rsidRPr="00CB2EB0">
        <w:t>Statsskulden påverkas av den ekonomiska utvecklingen och av ekonomisk-politiska beslut. Även enstaka händelser kan påverka statsskuldens utveckling, t.ex. försäljning av aktier i statligt ägda bolag och vidareutlåning till Riksbanken. Statsskulden ökar när staten har högre utgifter än inkomster och när ett lånebehov uppstår. Omvänt gäller att ett överskott i statens budget används för att amortera på statsskulden.</w:t>
      </w:r>
      <w:r w:rsidR="00F941C4" w:rsidRPr="00CB2EB0">
        <w:t xml:space="preserve"> </w:t>
      </w:r>
    </w:p>
    <w:p w14:paraId="6785D999" w14:textId="15D78383" w:rsidR="00E6027F" w:rsidRPr="00CB2EB0" w:rsidRDefault="00F941C4" w:rsidP="00026E39">
      <w:pPr>
        <w:pStyle w:val="Brdtextmedindrag"/>
      </w:pPr>
      <w:r w:rsidRPr="00CB2EB0">
        <w:t xml:space="preserve">Statens nettolånebehov är detsamma som budgetsaldot med omvänt tecken. Det primära nettolånebehovet utgörs av budgetsaldot med omvänt tecken exklusive statsskuldsräntor och Riksgäldskontorets nettoutlåning. Nettolånebehovet kan variera kraftigt </w:t>
      </w:r>
      <w:r w:rsidR="00B56AA2" w:rsidRPr="00CB2EB0">
        <w:t>mellan åren</w:t>
      </w:r>
      <w:r w:rsidRPr="00CB2EB0">
        <w:t xml:space="preserve">. </w:t>
      </w:r>
      <w:r w:rsidRPr="00CB2EB0">
        <w:fldChar w:fldCharType="begin"/>
      </w:r>
      <w:r w:rsidRPr="00CB2EB0">
        <w:instrText xml:space="preserve"> REF _Ref223451183 \h </w:instrText>
      </w:r>
      <w:r w:rsidR="00CB2EB0">
        <w:instrText xml:space="preserve"> \* MERGEFORMAT </w:instrText>
      </w:r>
      <w:r w:rsidRPr="00CB2EB0">
        <w:fldChar w:fldCharType="separate"/>
      </w:r>
      <w:r w:rsidR="001959AC" w:rsidRPr="00CB2EB0">
        <w:t xml:space="preserve">Figur </w:t>
      </w:r>
      <w:r w:rsidR="001959AC">
        <w:rPr>
          <w:noProof/>
        </w:rPr>
        <w:t>2</w:t>
      </w:r>
      <w:r w:rsidR="001959AC" w:rsidRPr="00CB2EB0">
        <w:t>.</w:t>
      </w:r>
      <w:r w:rsidR="001959AC">
        <w:rPr>
          <w:noProof/>
        </w:rPr>
        <w:t>1</w:t>
      </w:r>
      <w:r w:rsidRPr="00CB2EB0">
        <w:fldChar w:fldCharType="end"/>
      </w:r>
      <w:r w:rsidRPr="00CB2EB0">
        <w:t xml:space="preserve"> visar statens lånebehov under </w:t>
      </w:r>
      <w:r w:rsidR="00B56AA2" w:rsidRPr="00CB2EB0">
        <w:t>utvärderingsperioden</w:t>
      </w:r>
      <w:r w:rsidRPr="00CB2EB0">
        <w:t>.</w:t>
      </w:r>
    </w:p>
    <w:p w14:paraId="5B5A7E32" w14:textId="2CEEB6B9" w:rsidR="004C2D43" w:rsidRPr="00CB2EB0" w:rsidRDefault="004C2D43" w:rsidP="004E0277">
      <w:pPr>
        <w:pStyle w:val="FigurRubrik"/>
      </w:pPr>
      <w:bookmarkStart w:id="5" w:name="_Ref222498176"/>
      <w:bookmarkStart w:id="6" w:name="_Ref223451183"/>
      <w:r w:rsidRPr="00CB2EB0">
        <w:t xml:space="preserve">Figur </w:t>
      </w:r>
      <w:r w:rsidRPr="00CB2EB0">
        <w:fldChar w:fldCharType="begin"/>
      </w:r>
      <w:r w:rsidRPr="00CB2EB0">
        <w:instrText xml:space="preserve"> STYLEREF 1 \s </w:instrText>
      </w:r>
      <w:r w:rsidRPr="00CB2EB0">
        <w:fldChar w:fldCharType="separate"/>
      </w:r>
      <w:r w:rsidR="001959AC">
        <w:rPr>
          <w:noProof/>
        </w:rPr>
        <w:t>2</w:t>
      </w:r>
      <w:r w:rsidRPr="00CB2EB0">
        <w:rPr>
          <w:noProof/>
        </w:rPr>
        <w:fldChar w:fldCharType="end"/>
      </w:r>
      <w:r w:rsidRPr="00CB2EB0">
        <w:t>.</w:t>
      </w:r>
      <w:fldSimple w:instr=" SEQ Figur \* Arabic \s 1  \* MERGEFORMAT ">
        <w:r w:rsidR="001959AC">
          <w:rPr>
            <w:noProof/>
          </w:rPr>
          <w:t>1</w:t>
        </w:r>
      </w:fldSimple>
      <w:bookmarkEnd w:id="5"/>
      <w:bookmarkEnd w:id="6"/>
      <w:r w:rsidRPr="00CB2EB0">
        <w:tab/>
        <w:t>Statens lånebehov</w:t>
      </w:r>
    </w:p>
    <w:p w14:paraId="39A81B02" w14:textId="1F255A7A" w:rsidR="004C2D43" w:rsidRPr="00CB2EB0" w:rsidRDefault="00E6027F" w:rsidP="002F4A14">
      <w:pPr>
        <w:pStyle w:val="FigurUnderrubrik"/>
      </w:pPr>
      <w:r w:rsidRPr="00CB2EB0">
        <w:t>Miljarder kronor</w:t>
      </w:r>
    </w:p>
    <w:p w14:paraId="1EC1883E" w14:textId="539F1891" w:rsidR="004C2D43" w:rsidRPr="00CB2EB0" w:rsidRDefault="007808B5" w:rsidP="00E6027F">
      <w:pPr>
        <w:pStyle w:val="Brdtext"/>
      </w:pPr>
      <w:r w:rsidRPr="00CB2EB0">
        <w:rPr>
          <w:noProof/>
        </w:rPr>
        <w:drawing>
          <wp:inline distT="0" distB="0" distL="0" distR="0" wp14:anchorId="3BF604C3" wp14:editId="14213755">
            <wp:extent cx="3744595" cy="2460625"/>
            <wp:effectExtent l="0" t="0" r="8255" b="0"/>
            <wp:docPr id="207453180"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194876C" w14:textId="09C04BA0" w:rsidR="004C2D43" w:rsidRPr="00CB2EB0" w:rsidRDefault="009D18D8" w:rsidP="00897BD6">
      <w:pPr>
        <w:pStyle w:val="FigurFotnot"/>
      </w:pPr>
      <w:r w:rsidRPr="00CB2EB0">
        <w:t>Källa: Riksgäldskontoret</w:t>
      </w:r>
      <w:r w:rsidR="00C15CD7" w:rsidRPr="00CB2EB0">
        <w:t>.</w:t>
      </w:r>
    </w:p>
    <w:p w14:paraId="3A1BE5FE" w14:textId="77777777" w:rsidR="004C2D43" w:rsidRPr="00F540F8" w:rsidRDefault="004C2D43" w:rsidP="00E22AC9">
      <w:pPr>
        <w:pStyle w:val="Brdtext"/>
        <w:rPr>
          <w:sz w:val="10"/>
          <w:szCs w:val="10"/>
        </w:rPr>
      </w:pPr>
    </w:p>
    <w:p w14:paraId="4B51FC51" w14:textId="3C518EE0" w:rsidR="00093D6E" w:rsidRPr="00CB2EB0" w:rsidRDefault="001906F5" w:rsidP="009D6711">
      <w:pPr>
        <w:pStyle w:val="Brdtext"/>
      </w:pPr>
      <w:r w:rsidRPr="00CB2EB0">
        <w:t>Nettolånebehovet 2025</w:t>
      </w:r>
      <w:r w:rsidR="00841252" w:rsidRPr="00CB2EB0">
        <w:t xml:space="preserve"> var</w:t>
      </w:r>
      <w:r w:rsidRPr="00CB2EB0">
        <w:t xml:space="preserve"> 102 miljarder kronor, jämfört med 104 miljarder kronor 2024. Att staten gick med underskott för andra året i </w:t>
      </w:r>
      <w:r w:rsidR="00F571C4" w:rsidRPr="00CB2EB0">
        <w:t>följd</w:t>
      </w:r>
      <w:r w:rsidRPr="00CB2EB0">
        <w:t xml:space="preserve"> förklaras av dämpade skatteinkomster i kombination med ökade utgifter. Även nettoutlåningen och räntebetalningarna </w:t>
      </w:r>
      <w:r w:rsidR="00C84260" w:rsidRPr="00CB2EB0">
        <w:t xml:space="preserve">belastade </w:t>
      </w:r>
      <w:r w:rsidRPr="00CB2EB0">
        <w:t>budget</w:t>
      </w:r>
      <w:r w:rsidR="0029533B">
        <w:softHyphen/>
      </w:r>
      <w:r w:rsidRPr="00CB2EB0">
        <w:t>saldot. Det primära nettolånebehovet minskade visserligen med 13 miljarder kronor mellan 2024 och 2025, men det förklaras av två</w:t>
      </w:r>
      <w:r w:rsidR="00F60383" w:rsidRPr="00CB2EB0">
        <w:t> </w:t>
      </w:r>
      <w:r w:rsidRPr="00CB2EB0">
        <w:t>faktorer som är av engångskaraktär. Under 2025 fick Sverige en första inbetalning på 18,5</w:t>
      </w:r>
      <w:r w:rsidR="008A3E78" w:rsidRPr="00CB2EB0">
        <w:t> </w:t>
      </w:r>
      <w:r w:rsidRPr="00CB2EB0">
        <w:t xml:space="preserve">miljarder kronor från EU-faciliteten för återhämtning och resiliens. Samtidigt </w:t>
      </w:r>
      <w:r w:rsidR="00C84260" w:rsidRPr="00CB2EB0">
        <w:t xml:space="preserve">belastades </w:t>
      </w:r>
      <w:r w:rsidRPr="00CB2EB0">
        <w:t>saldot 2024 av ett kapitaltillskott till Riksbanken som innebar en utgift på 25</w:t>
      </w:r>
      <w:r w:rsidR="00EE79D7" w:rsidRPr="00CB2EB0">
        <w:t> </w:t>
      </w:r>
      <w:r w:rsidRPr="00CB2EB0">
        <w:t xml:space="preserve">miljarder kronor. Rensat för dessa faktorer försvagades primärsaldot till följd av ökade utgifter för </w:t>
      </w:r>
      <w:r w:rsidR="00037EDE" w:rsidRPr="00CB2EB0">
        <w:t>bl.a.</w:t>
      </w:r>
      <w:r w:rsidRPr="00CB2EB0">
        <w:t xml:space="preserve"> utbyggnaden av försvaret och stöden till Ukraina. Samtidigt växte skatte</w:t>
      </w:r>
      <w:r w:rsidR="004F55A3">
        <w:softHyphen/>
      </w:r>
      <w:r w:rsidRPr="00CB2EB0">
        <w:t>inkomsterna långsamt under 2025 mot bakgrund av svag ekonomisk till</w:t>
      </w:r>
      <w:r w:rsidR="004F55A3">
        <w:softHyphen/>
      </w:r>
      <w:r w:rsidRPr="00CB2EB0">
        <w:t>växt och skattesänkningar. Räntebetalningarna på statsskulden – de kassa</w:t>
      </w:r>
      <w:r w:rsidR="004F55A3">
        <w:softHyphen/>
      </w:r>
      <w:r w:rsidRPr="00CB2EB0">
        <w:t>mässiga räntorna – ökade med 10</w:t>
      </w:r>
      <w:r w:rsidR="003169F8" w:rsidRPr="00CB2EB0">
        <w:t> </w:t>
      </w:r>
      <w:r w:rsidRPr="00CB2EB0">
        <w:t>miljarder kronor mellan 2024 och 2025.</w:t>
      </w:r>
    </w:p>
    <w:p w14:paraId="4CBCC409" w14:textId="234F4EA0" w:rsidR="00082F7D" w:rsidRPr="00CB2EB0" w:rsidRDefault="00082F7D" w:rsidP="004E0277">
      <w:pPr>
        <w:pStyle w:val="FigurRubrik"/>
      </w:pPr>
      <w:bookmarkStart w:id="7" w:name="_Ref222731452"/>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2</w:t>
      </w:r>
      <w:r w:rsidRPr="00CB2EB0">
        <w:rPr>
          <w:noProof/>
        </w:rPr>
        <w:fldChar w:fldCharType="end"/>
      </w:r>
      <w:r w:rsidRPr="00CB2EB0">
        <w:t>.</w:t>
      </w:r>
      <w:fldSimple w:instr=" SEQ Figur \* Arabic \s 1  \* MERGEFORMAT ">
        <w:r w:rsidR="001959AC">
          <w:rPr>
            <w:noProof/>
          </w:rPr>
          <w:t>2</w:t>
        </w:r>
      </w:fldSimple>
      <w:bookmarkEnd w:id="7"/>
      <w:r w:rsidRPr="00CB2EB0">
        <w:tab/>
        <w:t>Statsskuldens utveckling</w:t>
      </w:r>
    </w:p>
    <w:p w14:paraId="00B96ADC" w14:textId="2BEDDB91" w:rsidR="00082F7D" w:rsidRPr="00CB2EB0" w:rsidRDefault="00125DCB" w:rsidP="002F4A14">
      <w:pPr>
        <w:pStyle w:val="FigurUnderrubrik"/>
      </w:pPr>
      <w:r w:rsidRPr="00CB2EB0">
        <w:t>Okonsoliderad statsskuld</w:t>
      </w:r>
      <w:r w:rsidR="00E26814" w:rsidRPr="00CB2EB0">
        <w:t xml:space="preserve">, </w:t>
      </w:r>
      <w:r w:rsidR="003821CC" w:rsidRPr="00CB2EB0">
        <w:t>miljarder kronor respektive andel av BNP</w:t>
      </w:r>
      <w:r w:rsidR="00E26814" w:rsidRPr="00CB2EB0">
        <w:t xml:space="preserve"> (höger axel)</w:t>
      </w:r>
    </w:p>
    <w:p w14:paraId="2ECF9D39" w14:textId="19BFCC58" w:rsidR="00082F7D" w:rsidRPr="00CB2EB0" w:rsidRDefault="00DE7F05" w:rsidP="00532903">
      <w:pPr>
        <w:pStyle w:val="Brdtext"/>
      </w:pPr>
      <w:r>
        <w:rPr>
          <w:noProof/>
        </w:rPr>
        <w:drawing>
          <wp:inline distT="0" distB="0" distL="0" distR="0" wp14:anchorId="77AE6109" wp14:editId="0C4E7048">
            <wp:extent cx="3744595" cy="2460625"/>
            <wp:effectExtent l="0" t="0" r="8255" b="0"/>
            <wp:docPr id="1433604859" name="Diagram 1">
              <a:extLst xmlns:a="http://schemas.openxmlformats.org/drawingml/2006/main">
                <a:ext uri="{FF2B5EF4-FFF2-40B4-BE49-F238E27FC236}">
                  <a16:creationId xmlns:a16="http://schemas.microsoft.com/office/drawing/2014/main" id="{00000000-0008-0000-0100-00001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DCF5484" w14:textId="45E5CD1C" w:rsidR="00082F7D" w:rsidRPr="00CB2EB0" w:rsidRDefault="002C0655" w:rsidP="00897BD6">
      <w:pPr>
        <w:pStyle w:val="FigurFotnot"/>
      </w:pPr>
      <w:r w:rsidRPr="00CB2EB0">
        <w:t>Källa: Riksgäldskontoret</w:t>
      </w:r>
      <w:r w:rsidR="00C15CD7" w:rsidRPr="00CB2EB0">
        <w:t>.</w:t>
      </w:r>
    </w:p>
    <w:p w14:paraId="45EA50BA" w14:textId="77777777" w:rsidR="00082F7D" w:rsidRPr="00CB2EB0" w:rsidRDefault="00082F7D" w:rsidP="00E22AC9">
      <w:pPr>
        <w:pStyle w:val="Brdtext"/>
      </w:pPr>
    </w:p>
    <w:p w14:paraId="29A83CEC" w14:textId="3C1FA9AC" w:rsidR="001A04E0" w:rsidRPr="00CB2EB0" w:rsidRDefault="00663406" w:rsidP="009B0102">
      <w:pPr>
        <w:pStyle w:val="Brdtext"/>
      </w:pPr>
      <w:r w:rsidRPr="00CB2EB0">
        <w:fldChar w:fldCharType="begin"/>
      </w:r>
      <w:r w:rsidRPr="00CB2EB0">
        <w:instrText xml:space="preserve"> REF  _Ref222731452 \* FirstCap \h </w:instrText>
      </w:r>
      <w:r w:rsidR="00CB2EB0">
        <w:instrText xml:space="preserve"> \* MERGEFORMAT </w:instrText>
      </w:r>
      <w:r w:rsidRPr="00CB2EB0">
        <w:fldChar w:fldCharType="separate"/>
      </w:r>
      <w:r w:rsidR="001959AC" w:rsidRPr="00CB2EB0">
        <w:t xml:space="preserve">Figur </w:t>
      </w:r>
      <w:r w:rsidR="001959AC">
        <w:rPr>
          <w:noProof/>
        </w:rPr>
        <w:t>2</w:t>
      </w:r>
      <w:r w:rsidR="001959AC" w:rsidRPr="00CB2EB0">
        <w:t>.</w:t>
      </w:r>
      <w:r w:rsidR="001959AC">
        <w:rPr>
          <w:noProof/>
        </w:rPr>
        <w:t>2</w:t>
      </w:r>
      <w:r w:rsidRPr="00CB2EB0">
        <w:fldChar w:fldCharType="end"/>
      </w:r>
      <w:r w:rsidR="001A04E0" w:rsidRPr="00CB2EB0">
        <w:t xml:space="preserve"> </w:t>
      </w:r>
      <w:r w:rsidRPr="00CB2EB0">
        <w:t>visar statsskuldens utveckling under utvärderingsperioden. D</w:t>
      </w:r>
      <w:r w:rsidR="001A04E0" w:rsidRPr="00CB2EB0">
        <w:t xml:space="preserve">en okonsoliderade statsskulden </w:t>
      </w:r>
      <w:r w:rsidR="00FB076D" w:rsidRPr="00CB2EB0">
        <w:t xml:space="preserve">uppgick </w:t>
      </w:r>
      <w:r w:rsidR="00A161D6" w:rsidRPr="00CB2EB0">
        <w:t xml:space="preserve">2025 </w:t>
      </w:r>
      <w:r w:rsidR="00FB076D" w:rsidRPr="00CB2EB0">
        <w:t xml:space="preserve">till 1 244 miljarder kronor, vilket </w:t>
      </w:r>
      <w:r w:rsidR="001A04E0" w:rsidRPr="00CB2EB0">
        <w:t xml:space="preserve">som andel av BNP </w:t>
      </w:r>
      <w:r w:rsidR="00FB076D" w:rsidRPr="00CB2EB0">
        <w:t xml:space="preserve">motsvarar </w:t>
      </w:r>
      <w:r w:rsidR="001A04E0" w:rsidRPr="00CB2EB0">
        <w:t>19 procent.</w:t>
      </w:r>
      <w:r w:rsidR="000D6DAE" w:rsidRPr="00CB2EB0">
        <w:t xml:space="preserve"> </w:t>
      </w:r>
      <w:r w:rsidR="001A04E0" w:rsidRPr="00CB2EB0">
        <w:t>I den okonsoliderade statsskulden ingår alla lån som Riksgäldskontoret tagit för statens räkning, till skillnad från den konsoliderade statsskulden där inomstatligt ägande räknas bort. En låg statsskuld medför bl.a. lägre kostnader och minskad risk för stora variationer i kostnaden för statsskuldens förvaltning, framför allt för att en ränteuppgång får mindre genomslag. Slutligen medför en lägre statsskuld som andel av BNP att det finns större marginal för staten att i ett krisläge låna upp stora belopp utan att räntorna stiger kraftigt.</w:t>
      </w:r>
      <w:r w:rsidR="000D6DAE" w:rsidRPr="00CB2EB0">
        <w:t xml:space="preserve"> I</w:t>
      </w:r>
      <w:r w:rsidR="00CC647A" w:rsidRPr="00CB2EB0">
        <w:t> </w:t>
      </w:r>
      <w:r w:rsidR="000D6DAE" w:rsidRPr="00CB2EB0">
        <w:t xml:space="preserve">slutet av 2023 var skuldkvoten den lägsta sedan mitten på 1960-talet. </w:t>
      </w:r>
      <w:r w:rsidR="00850A16" w:rsidRPr="00CB2EB0">
        <w:t>B</w:t>
      </w:r>
      <w:r w:rsidR="000D6DAE" w:rsidRPr="00CB2EB0">
        <w:t>udgetunderskott gjorde att statsskulden ökade både 2024 och 2025.</w:t>
      </w:r>
    </w:p>
    <w:p w14:paraId="16414D3F" w14:textId="2A5D59DE" w:rsidR="006F6EB9" w:rsidRPr="00CB2EB0" w:rsidRDefault="006F6EB9" w:rsidP="004E0277">
      <w:pPr>
        <w:pStyle w:val="FigurRubrik"/>
      </w:pPr>
      <w:bookmarkStart w:id="8" w:name="_Ref221540802"/>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2</w:t>
      </w:r>
      <w:r w:rsidRPr="00CB2EB0">
        <w:rPr>
          <w:noProof/>
        </w:rPr>
        <w:fldChar w:fldCharType="end"/>
      </w:r>
      <w:r w:rsidRPr="00CB2EB0">
        <w:t>.</w:t>
      </w:r>
      <w:fldSimple w:instr=" SEQ Figur \* Arabic \s 1  \* MERGEFORMAT ">
        <w:r w:rsidR="001959AC">
          <w:rPr>
            <w:noProof/>
          </w:rPr>
          <w:t>3</w:t>
        </w:r>
      </w:fldSimple>
      <w:bookmarkEnd w:id="8"/>
      <w:r w:rsidRPr="00CB2EB0">
        <w:tab/>
      </w:r>
      <w:r w:rsidR="000F0D4A" w:rsidRPr="00CB2EB0">
        <w:t xml:space="preserve">Jämförelse av Maastrichtskulden </w:t>
      </w:r>
      <w:r w:rsidR="00737FBE" w:rsidRPr="00CB2EB0">
        <w:t xml:space="preserve">i </w:t>
      </w:r>
      <w:r w:rsidR="000F0D4A" w:rsidRPr="00CB2EB0">
        <w:t xml:space="preserve">olika </w:t>
      </w:r>
      <w:r w:rsidR="00737FBE" w:rsidRPr="00CB2EB0">
        <w:t xml:space="preserve">medlemsstater i </w:t>
      </w:r>
      <w:r w:rsidR="000F0D4A" w:rsidRPr="00CB2EB0">
        <w:t>EU</w:t>
      </w:r>
    </w:p>
    <w:p w14:paraId="623D3124" w14:textId="4B850057" w:rsidR="006F6EB9" w:rsidRPr="00CB2EB0" w:rsidRDefault="000F0D4A" w:rsidP="002F4A14">
      <w:pPr>
        <w:pStyle w:val="FigurUnderrubrik"/>
      </w:pPr>
      <w:r w:rsidRPr="00CB2EB0">
        <w:t>Tredje kvartalet 202</w:t>
      </w:r>
      <w:r w:rsidR="0062353C" w:rsidRPr="00CB2EB0">
        <w:t>5</w:t>
      </w:r>
    </w:p>
    <w:p w14:paraId="5307CC0A" w14:textId="588F14B0" w:rsidR="006F6EB9" w:rsidRPr="00CB2EB0" w:rsidRDefault="008D67E1" w:rsidP="006F6EB9">
      <w:pPr>
        <w:pStyle w:val="Brdtext"/>
      </w:pPr>
      <w:r w:rsidRPr="00CB2EB0">
        <w:rPr>
          <w:noProof/>
        </w:rPr>
        <w:drawing>
          <wp:inline distT="0" distB="0" distL="0" distR="0" wp14:anchorId="04198E57" wp14:editId="79DA1008">
            <wp:extent cx="3744595" cy="2460625"/>
            <wp:effectExtent l="0" t="0" r="0" b="0"/>
            <wp:docPr id="6" name="Diagram 1">
              <a:extLst xmlns:a="http://schemas.openxmlformats.org/drawingml/2006/main">
                <a:ext uri="{FF2B5EF4-FFF2-40B4-BE49-F238E27FC236}">
                  <a16:creationId xmlns:a16="http://schemas.microsoft.com/office/drawing/2014/main" id="{00000000-0008-0000-0100-00001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D2B6F7A" w14:textId="6AB49C73" w:rsidR="006F6EB9" w:rsidRPr="00CB2EB0" w:rsidRDefault="0083391B" w:rsidP="00897BD6">
      <w:pPr>
        <w:pStyle w:val="FigurFotnot"/>
      </w:pPr>
      <w:r w:rsidRPr="00CB2EB0">
        <w:t>Källa: Eurostat</w:t>
      </w:r>
      <w:r w:rsidR="00C15CD7" w:rsidRPr="00CB2EB0">
        <w:t>.</w:t>
      </w:r>
    </w:p>
    <w:p w14:paraId="36607EFA" w14:textId="77777777" w:rsidR="006F6EB9" w:rsidRPr="00CB2EB0" w:rsidRDefault="006F6EB9" w:rsidP="00E22AC9">
      <w:pPr>
        <w:pStyle w:val="Brdtext"/>
      </w:pPr>
    </w:p>
    <w:p w14:paraId="4A287C66" w14:textId="61B3BCBF" w:rsidR="00B83CC7" w:rsidRPr="00CB2EB0" w:rsidRDefault="00786FFD" w:rsidP="00B175FD">
      <w:pPr>
        <w:pStyle w:val="Brdtext"/>
      </w:pPr>
      <w:r w:rsidRPr="00CB2EB0">
        <w:t>Vid jämförelse av den offentliga sektorns skuldsättning i olika</w:t>
      </w:r>
      <w:r w:rsidR="00CB2213" w:rsidRPr="00CB2EB0">
        <w:t xml:space="preserve"> medlems</w:t>
      </w:r>
      <w:r w:rsidR="001D19CE">
        <w:softHyphen/>
      </w:r>
      <w:r w:rsidR="00CB2213" w:rsidRPr="00CB2EB0">
        <w:t>stater i</w:t>
      </w:r>
      <w:r w:rsidRPr="00CB2EB0">
        <w:t xml:space="preserve"> EU</w:t>
      </w:r>
      <w:r w:rsidR="006E5CAB" w:rsidRPr="00CB2EB0">
        <w:t xml:space="preserve"> </w:t>
      </w:r>
      <w:r w:rsidRPr="00CB2EB0">
        <w:t xml:space="preserve">används den s.k. Maastrichtskulden. Detta mått ökar jämförbarhet </w:t>
      </w:r>
      <w:r w:rsidR="00CB2213" w:rsidRPr="00CB2EB0">
        <w:t xml:space="preserve">staterna </w:t>
      </w:r>
      <w:r w:rsidRPr="00CB2EB0">
        <w:t xml:space="preserve">emellan då den innefattar hela den offentliga sektorns skuld. Av </w:t>
      </w:r>
      <w:r w:rsidR="00082F7D" w:rsidRPr="00CB2EB0">
        <w:fldChar w:fldCharType="begin"/>
      </w:r>
      <w:r w:rsidR="00082F7D" w:rsidRPr="00CB2EB0">
        <w:instrText xml:space="preserve"> REF  _Ref221540802 \* Lower \h </w:instrText>
      </w:r>
      <w:r w:rsidR="00CB2EB0">
        <w:instrText xml:space="preserve"> \* MERGEFORMAT </w:instrText>
      </w:r>
      <w:r w:rsidR="00082F7D" w:rsidRPr="00CB2EB0">
        <w:fldChar w:fldCharType="separate"/>
      </w:r>
      <w:r w:rsidR="001959AC" w:rsidRPr="00CB2EB0">
        <w:t xml:space="preserve">figur </w:t>
      </w:r>
      <w:r w:rsidR="001959AC">
        <w:rPr>
          <w:noProof/>
        </w:rPr>
        <w:t>2</w:t>
      </w:r>
      <w:r w:rsidR="001959AC" w:rsidRPr="00CB2EB0">
        <w:t>.</w:t>
      </w:r>
      <w:r w:rsidR="001959AC">
        <w:rPr>
          <w:noProof/>
        </w:rPr>
        <w:t>3</w:t>
      </w:r>
      <w:r w:rsidR="00082F7D" w:rsidRPr="00CB2EB0">
        <w:fldChar w:fldCharType="end"/>
      </w:r>
      <w:r w:rsidRPr="00CB2EB0">
        <w:t xml:space="preserve"> framgår att Sverige har en mycket låg offentlig skuld i jämförelse med andra medlemsstater i EU, vilket även varit fallet över en längre tidsperiod.</w:t>
      </w:r>
    </w:p>
    <w:p w14:paraId="458C5B76" w14:textId="488810C2" w:rsidR="00A33437" w:rsidRPr="00CB2EB0" w:rsidRDefault="00A33437" w:rsidP="00FC17EB">
      <w:pPr>
        <w:pStyle w:val="Rubrik2"/>
      </w:pPr>
      <w:bookmarkStart w:id="9" w:name="_Toc227766861"/>
      <w:r w:rsidRPr="00CB2EB0">
        <w:t>Riksbankens innehav av statspapper</w:t>
      </w:r>
      <w:bookmarkEnd w:id="9"/>
    </w:p>
    <w:p w14:paraId="514453DE" w14:textId="601049BF" w:rsidR="00792F81" w:rsidRPr="00CB2EB0" w:rsidRDefault="00792F81" w:rsidP="00792F81">
      <w:pPr>
        <w:pStyle w:val="Brdtext"/>
      </w:pPr>
      <w:r w:rsidRPr="00CB2EB0">
        <w:t xml:space="preserve">I </w:t>
      </w:r>
      <w:r w:rsidR="007B22D6" w:rsidRPr="00CB2EB0">
        <w:fldChar w:fldCharType="begin"/>
      </w:r>
      <w:r w:rsidR="007B22D6" w:rsidRPr="00CB2EB0">
        <w:instrText xml:space="preserve"> REF  _Ref224558155 \* Lower \h  \* MERGEFORMAT </w:instrText>
      </w:r>
      <w:r w:rsidR="007B22D6" w:rsidRPr="00CB2EB0">
        <w:fldChar w:fldCharType="separate"/>
      </w:r>
      <w:r w:rsidR="001959AC" w:rsidRPr="00CB2EB0">
        <w:t xml:space="preserve">figur </w:t>
      </w:r>
      <w:r w:rsidR="001959AC">
        <w:rPr>
          <w:noProof/>
        </w:rPr>
        <w:t>2</w:t>
      </w:r>
      <w:r w:rsidR="001959AC" w:rsidRPr="00CB2EB0">
        <w:t>.</w:t>
      </w:r>
      <w:r w:rsidR="001959AC">
        <w:rPr>
          <w:noProof/>
        </w:rPr>
        <w:t>4</w:t>
      </w:r>
      <w:r w:rsidR="007B22D6" w:rsidRPr="00CB2EB0">
        <w:fldChar w:fldCharType="end"/>
      </w:r>
      <w:r w:rsidR="007B22D6" w:rsidRPr="00CB2EB0">
        <w:t xml:space="preserve"> </w:t>
      </w:r>
      <w:r w:rsidRPr="00CB2EB0">
        <w:t>visas utestående volym av nominella statsobligationer och Riksbankens innehav. Vid utgången av 202</w:t>
      </w:r>
      <w:r w:rsidR="00EF7A8F" w:rsidRPr="00CB2EB0">
        <w:t>5</w:t>
      </w:r>
      <w:r w:rsidRPr="00CB2EB0">
        <w:t xml:space="preserve"> var Riksbankens innehav av statspapper </w:t>
      </w:r>
      <w:r w:rsidR="00B738C1" w:rsidRPr="00CB2EB0">
        <w:t>knappt 59</w:t>
      </w:r>
      <w:r w:rsidRPr="00CB2EB0">
        <w:t xml:space="preserve"> miljarder kronor, vilket motsvarar drygt </w:t>
      </w:r>
      <w:r w:rsidR="00B738C1" w:rsidRPr="00CB2EB0">
        <w:t>9</w:t>
      </w:r>
      <w:r w:rsidRPr="00CB2EB0">
        <w:t xml:space="preserve"> procent av den totala utestående volymen av statspapper. Riksbanken påbörjade i april 2023 försäljningar av sitt innehav av statspapper, och dess andel av utestående statsobligationer har minskat från som högst 55 procent 2020 i nominella termer. </w:t>
      </w:r>
      <w:r w:rsidR="00D15EE6" w:rsidRPr="00CB2EB0">
        <w:t xml:space="preserve">I </w:t>
      </w:r>
      <w:r w:rsidR="00FE2208" w:rsidRPr="00CB2EB0">
        <w:t>takt med att Riksbankens ägande har minskat har investerarbasen breddats genom att ägandet i övriga investerarkategorier ökat</w:t>
      </w:r>
      <w:r w:rsidR="00EF7A8F" w:rsidRPr="00CB2EB0">
        <w:t xml:space="preserve"> (se </w:t>
      </w:r>
      <w:r w:rsidR="00CC133B" w:rsidRPr="00CB2EB0">
        <w:t xml:space="preserve">avsnitt 4.3, </w:t>
      </w:r>
      <w:r w:rsidR="000D5B9A" w:rsidRPr="00CB2EB0">
        <w:fldChar w:fldCharType="begin"/>
      </w:r>
      <w:r w:rsidR="000D5B9A" w:rsidRPr="00CB2EB0">
        <w:instrText xml:space="preserve"> REF  _Ref223606063 \* Lower \h  \* MERGEFORMAT </w:instrText>
      </w:r>
      <w:r w:rsidR="000D5B9A" w:rsidRPr="00CB2EB0">
        <w:fldChar w:fldCharType="separate"/>
      </w:r>
      <w:r w:rsidR="001959AC" w:rsidRPr="00CB2EB0">
        <w:t xml:space="preserve">figur </w:t>
      </w:r>
      <w:r w:rsidR="001959AC">
        <w:rPr>
          <w:noProof/>
        </w:rPr>
        <w:t>4</w:t>
      </w:r>
      <w:r w:rsidR="001959AC" w:rsidRPr="00CB2EB0">
        <w:t>.</w:t>
      </w:r>
      <w:r w:rsidR="001959AC">
        <w:rPr>
          <w:noProof/>
        </w:rPr>
        <w:t>5</w:t>
      </w:r>
      <w:r w:rsidR="000D5B9A" w:rsidRPr="00CB2EB0">
        <w:fldChar w:fldCharType="end"/>
      </w:r>
      <w:r w:rsidR="00EF7A8F" w:rsidRPr="00CB2EB0">
        <w:t>)</w:t>
      </w:r>
      <w:r w:rsidRPr="00CB2EB0">
        <w:t xml:space="preserve">. Riksbankens innehav av statspapper har haft en stor inverkan på avkastningskurvan på svenska statspapper (se </w:t>
      </w:r>
      <w:r w:rsidR="000D5B9A" w:rsidRPr="00CB2EB0">
        <w:fldChar w:fldCharType="begin"/>
      </w:r>
      <w:r w:rsidR="000D5B9A" w:rsidRPr="00CB2EB0">
        <w:instrText xml:space="preserve"> REF  _Ref222732971 \* Lower \h  \* MERGEFORMAT </w:instrText>
      </w:r>
      <w:r w:rsidR="000D5B9A" w:rsidRPr="00CB2EB0">
        <w:fldChar w:fldCharType="separate"/>
      </w:r>
      <w:r w:rsidR="001959AC" w:rsidRPr="00CB2EB0">
        <w:t xml:space="preserve">figur </w:t>
      </w:r>
      <w:r w:rsidR="001959AC">
        <w:rPr>
          <w:noProof/>
        </w:rPr>
        <w:t>2</w:t>
      </w:r>
      <w:r w:rsidR="001959AC" w:rsidRPr="00CB2EB0">
        <w:t>.</w:t>
      </w:r>
      <w:r w:rsidR="001959AC">
        <w:rPr>
          <w:noProof/>
        </w:rPr>
        <w:t>6</w:t>
      </w:r>
      <w:r w:rsidR="000D5B9A" w:rsidRPr="00CB2EB0">
        <w:fldChar w:fldCharType="end"/>
      </w:r>
      <w:r w:rsidRPr="00CB2EB0">
        <w:t xml:space="preserve">). Riksbankens statsobligationsköp inleddes i syfte att sänka </w:t>
      </w:r>
      <w:r w:rsidR="002E0138" w:rsidRPr="00CB2EB0">
        <w:t xml:space="preserve">räntenivåerna längs </w:t>
      </w:r>
      <w:r w:rsidRPr="00CB2EB0">
        <w:t>avkastningskurvan och därmed påverka inflationen.</w:t>
      </w:r>
    </w:p>
    <w:p w14:paraId="6D04096C" w14:textId="16814F1C" w:rsidR="00A33437" w:rsidRPr="00CB2EB0" w:rsidRDefault="00A33437" w:rsidP="0059657A">
      <w:pPr>
        <w:pStyle w:val="FigurRubrik"/>
      </w:pPr>
      <w:bookmarkStart w:id="10" w:name="_Ref224558155"/>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2</w:t>
      </w:r>
      <w:r w:rsidRPr="00CB2EB0">
        <w:rPr>
          <w:noProof/>
        </w:rPr>
        <w:fldChar w:fldCharType="end"/>
      </w:r>
      <w:r w:rsidRPr="00CB2EB0">
        <w:t>.</w:t>
      </w:r>
      <w:fldSimple w:instr=" SEQ Figur \* Arabic \s 1  \* MERGEFORMAT ">
        <w:r w:rsidR="001959AC">
          <w:rPr>
            <w:noProof/>
          </w:rPr>
          <w:t>4</w:t>
        </w:r>
      </w:fldSimple>
      <w:bookmarkEnd w:id="10"/>
      <w:r w:rsidRPr="00CB2EB0">
        <w:tab/>
      </w:r>
      <w:r w:rsidR="0059657A" w:rsidRPr="00CB2EB0">
        <w:t xml:space="preserve">Utestående volym av nominella statsobligationer och </w:t>
      </w:r>
      <w:r w:rsidR="0059657A" w:rsidRPr="00CB2EB0">
        <w:br/>
        <w:t>Riksbankens innehav</w:t>
      </w:r>
    </w:p>
    <w:p w14:paraId="7F5D3F09" w14:textId="08C347CF" w:rsidR="00D552C8" w:rsidRPr="00CB2EB0" w:rsidRDefault="00D552C8" w:rsidP="006F7533">
      <w:pPr>
        <w:pStyle w:val="FigurUnderrubrik"/>
      </w:pPr>
      <w:r w:rsidRPr="00CB2EB0">
        <w:t>Miljarder kronor respektive procent</w:t>
      </w:r>
      <w:r w:rsidR="00E26814" w:rsidRPr="00CB2EB0">
        <w:t xml:space="preserve"> (höger axel)</w:t>
      </w:r>
    </w:p>
    <w:p w14:paraId="7A8B3FF6" w14:textId="6BEA1F44" w:rsidR="00A33437" w:rsidRPr="00CB2EB0" w:rsidRDefault="00811D63" w:rsidP="0041653F">
      <w:pPr>
        <w:pStyle w:val="Brdtext"/>
      </w:pPr>
      <w:r w:rsidRPr="00811D63">
        <w:rPr>
          <w:noProof/>
        </w:rPr>
        <w:t xml:space="preserve"> </w:t>
      </w:r>
      <w:r>
        <w:rPr>
          <w:noProof/>
        </w:rPr>
        <w:drawing>
          <wp:inline distT="0" distB="0" distL="0" distR="0" wp14:anchorId="118955DF" wp14:editId="5222EEE4">
            <wp:extent cx="3744595" cy="2460625"/>
            <wp:effectExtent l="0" t="0" r="0" b="0"/>
            <wp:docPr id="1199853759"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B21A9CA" w14:textId="780ADF50" w:rsidR="00A33437" w:rsidRPr="00CB2EB0" w:rsidRDefault="009E77BF" w:rsidP="00897BD6">
      <w:pPr>
        <w:pStyle w:val="FigurFotnot"/>
      </w:pPr>
      <w:r w:rsidRPr="00CB2EB0">
        <w:t>Källa: Riksgäldskontoret</w:t>
      </w:r>
      <w:r w:rsidR="00C15CD7" w:rsidRPr="00CB2EB0">
        <w:t>.</w:t>
      </w:r>
    </w:p>
    <w:p w14:paraId="3B3D96A6" w14:textId="563E9578" w:rsidR="00A33437" w:rsidRPr="00CB2EB0" w:rsidRDefault="00D21CB5" w:rsidP="00FC17EB">
      <w:pPr>
        <w:pStyle w:val="Rubrik2"/>
      </w:pPr>
      <w:bookmarkStart w:id="11" w:name="_Ref223609727"/>
      <w:bookmarkStart w:id="12" w:name="_Toc227766862"/>
      <w:r w:rsidRPr="00CB2EB0">
        <w:t>Högre</w:t>
      </w:r>
      <w:r w:rsidR="00A33437" w:rsidRPr="00CB2EB0">
        <w:t xml:space="preserve"> räntor under utvärderingsperioden</w:t>
      </w:r>
      <w:bookmarkEnd w:id="11"/>
      <w:bookmarkEnd w:id="12"/>
    </w:p>
    <w:p w14:paraId="62D5F281" w14:textId="24816458" w:rsidR="00266744" w:rsidRPr="00CB2EB0" w:rsidRDefault="00266744" w:rsidP="00810C84">
      <w:pPr>
        <w:pStyle w:val="Brdtext"/>
      </w:pPr>
      <w:r w:rsidRPr="00CB2EB0">
        <w:t xml:space="preserve">Statens upplåning är kontinuerlig och sker </w:t>
      </w:r>
      <w:r w:rsidR="005504FF" w:rsidRPr="00CB2EB0">
        <w:t xml:space="preserve">på </w:t>
      </w:r>
      <w:r w:rsidRPr="00CB2EB0">
        <w:t xml:space="preserve">både kort och lång sikt. En större andel korta och rörliga lån medför att statsskulden blir känsligare för förändrade marknadsräntor. </w:t>
      </w:r>
      <w:r w:rsidR="00467E7E" w:rsidRPr="00CB2EB0">
        <w:t xml:space="preserve">Huvuddelen </w:t>
      </w:r>
      <w:r w:rsidRPr="00CB2EB0">
        <w:t>av statsskulden består dock av obligationer med längre löptider, vilket innebär att det till stor del är de historiska räntorna som påverkar kostnaderna för statsskulden.</w:t>
      </w:r>
      <w:r w:rsidR="00D34577" w:rsidRPr="00CB2EB0">
        <w:t xml:space="preserve"> Av </w:t>
      </w:r>
      <w:r w:rsidR="00D34577" w:rsidRPr="00CB2EB0">
        <w:fldChar w:fldCharType="begin"/>
      </w:r>
      <w:r w:rsidR="00D34577" w:rsidRPr="00CB2EB0">
        <w:instrText xml:space="preserve"> REF  _Ref222732554 \* Lower \h </w:instrText>
      </w:r>
      <w:r w:rsidR="00CB2EB0">
        <w:instrText xml:space="preserve"> \* MERGEFORMAT </w:instrText>
      </w:r>
      <w:r w:rsidR="00D34577" w:rsidRPr="00CB2EB0">
        <w:fldChar w:fldCharType="separate"/>
      </w:r>
      <w:r w:rsidR="001959AC" w:rsidRPr="00CB2EB0">
        <w:t xml:space="preserve">figur </w:t>
      </w:r>
      <w:r w:rsidR="001959AC">
        <w:rPr>
          <w:noProof/>
        </w:rPr>
        <w:t>2</w:t>
      </w:r>
      <w:r w:rsidR="001959AC" w:rsidRPr="00CB2EB0">
        <w:t>.</w:t>
      </w:r>
      <w:r w:rsidR="001959AC">
        <w:rPr>
          <w:noProof/>
        </w:rPr>
        <w:t>5</w:t>
      </w:r>
      <w:r w:rsidR="00D34577" w:rsidRPr="00CB2EB0">
        <w:fldChar w:fldCharType="end"/>
      </w:r>
      <w:r w:rsidR="00D34577" w:rsidRPr="00CB2EB0">
        <w:t xml:space="preserve"> framgår hur räntorna på andrahandsmarknaden för stats</w:t>
      </w:r>
      <w:r w:rsidR="00D34577" w:rsidRPr="00CB2EB0">
        <w:softHyphen/>
        <w:t xml:space="preserve">obligationer med tre olika löptider utvecklats </w:t>
      </w:r>
      <w:r w:rsidR="0021561E" w:rsidRPr="00CB2EB0">
        <w:t>under utvärderingsperioden</w:t>
      </w:r>
      <w:r w:rsidR="00D34577" w:rsidRPr="00CB2EB0">
        <w:t xml:space="preserve">. Räntorna har </w:t>
      </w:r>
      <w:r w:rsidR="00913E98" w:rsidRPr="00CB2EB0">
        <w:t>varit högre</w:t>
      </w:r>
      <w:r w:rsidR="00D34577" w:rsidRPr="00CB2EB0">
        <w:t xml:space="preserve"> under </w:t>
      </w:r>
      <w:r w:rsidR="00036ADB" w:rsidRPr="00CB2EB0">
        <w:t>utvärderingsperioden</w:t>
      </w:r>
      <w:r w:rsidR="00D34577" w:rsidRPr="00CB2EB0">
        <w:t xml:space="preserve"> efter en relativt stabil period med lägre räntor. </w:t>
      </w:r>
      <w:r w:rsidR="00810C84" w:rsidRPr="00CB2EB0">
        <w:t xml:space="preserve">Svenska statsobligationsräntor steg under 2025 </w:t>
      </w:r>
      <w:r w:rsidR="00C84260" w:rsidRPr="00CB2EB0">
        <w:t>bl.a.</w:t>
      </w:r>
      <w:r w:rsidR="00810C84" w:rsidRPr="00CB2EB0">
        <w:t xml:space="preserve"> mot bakgrund av mer expansiv finanspolitik både i omvärlden och i Sverige. </w:t>
      </w:r>
      <w:r w:rsidR="00550583" w:rsidRPr="00CB2EB0">
        <w:t>Räntorna på svenska s</w:t>
      </w:r>
      <w:r w:rsidR="00810C84" w:rsidRPr="00CB2EB0">
        <w:t>tatsskuldväxlar sjönk under 2025 i takt med att Riksbanken fortsatte att sänka styrräntan.</w:t>
      </w:r>
    </w:p>
    <w:p w14:paraId="6E94B98E" w14:textId="265D8D7A" w:rsidR="007264D4" w:rsidRPr="00CB2EB0" w:rsidRDefault="007264D4" w:rsidP="004E0277">
      <w:pPr>
        <w:pStyle w:val="FigurRubrik"/>
      </w:pPr>
      <w:bookmarkStart w:id="13" w:name="_Ref222732554"/>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2</w:t>
      </w:r>
      <w:r w:rsidRPr="00CB2EB0">
        <w:rPr>
          <w:noProof/>
        </w:rPr>
        <w:fldChar w:fldCharType="end"/>
      </w:r>
      <w:r w:rsidRPr="00CB2EB0">
        <w:t>.</w:t>
      </w:r>
      <w:fldSimple w:instr=" SEQ Figur \* Arabic \s 1  \* MERGEFORMAT ">
        <w:r w:rsidR="001959AC">
          <w:rPr>
            <w:noProof/>
          </w:rPr>
          <w:t>5</w:t>
        </w:r>
      </w:fldSimple>
      <w:bookmarkEnd w:id="13"/>
      <w:r w:rsidRPr="00CB2EB0">
        <w:tab/>
      </w:r>
      <w:r w:rsidR="00576B5F" w:rsidRPr="00CB2EB0">
        <w:t>Utveckling</w:t>
      </w:r>
      <w:r w:rsidR="00500DA2">
        <w:t>en</w:t>
      </w:r>
      <w:r w:rsidR="00576B5F" w:rsidRPr="00CB2EB0">
        <w:t xml:space="preserve"> av svenska statsräntor</w:t>
      </w:r>
    </w:p>
    <w:p w14:paraId="5A9F7EA9" w14:textId="0504A029" w:rsidR="007264D4" w:rsidRPr="00CB2EB0" w:rsidRDefault="004968B9" w:rsidP="002F4A14">
      <w:pPr>
        <w:pStyle w:val="FigurUnderrubrik"/>
      </w:pPr>
      <w:r w:rsidRPr="00CB2EB0">
        <w:t>Ränta (procent)</w:t>
      </w:r>
    </w:p>
    <w:p w14:paraId="5BB37DD6" w14:textId="50480BA3" w:rsidR="007264D4" w:rsidRPr="00CB2EB0" w:rsidRDefault="005F0FE1" w:rsidP="00DA0F0E">
      <w:pPr>
        <w:pStyle w:val="Brdtext"/>
      </w:pPr>
      <w:r>
        <w:rPr>
          <w:noProof/>
        </w:rPr>
        <w:drawing>
          <wp:inline distT="0" distB="0" distL="0" distR="0" wp14:anchorId="049645F5" wp14:editId="462200B0">
            <wp:extent cx="3744595" cy="2460625"/>
            <wp:effectExtent l="0" t="0" r="8255" b="0"/>
            <wp:docPr id="1881022356"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FEF5CAD" w14:textId="7EE1048C" w:rsidR="007264D4" w:rsidRPr="00CB2EB0" w:rsidRDefault="00CA7B6A" w:rsidP="00897BD6">
      <w:pPr>
        <w:pStyle w:val="FigurFotnot"/>
      </w:pPr>
      <w:r w:rsidRPr="00CB2EB0">
        <w:t>Källa: Macrobond</w:t>
      </w:r>
      <w:r w:rsidR="00C15CD7" w:rsidRPr="00CB2EB0">
        <w:t>.</w:t>
      </w:r>
    </w:p>
    <w:p w14:paraId="6CC31BD5" w14:textId="77777777" w:rsidR="007264D4" w:rsidRPr="00CB2EB0" w:rsidRDefault="007264D4" w:rsidP="00E22AC9">
      <w:pPr>
        <w:pStyle w:val="Brdtext"/>
      </w:pPr>
    </w:p>
    <w:p w14:paraId="7F35912A" w14:textId="64044A30" w:rsidR="001E2F49" w:rsidRPr="00CB2EB0" w:rsidRDefault="00103FB7" w:rsidP="001E2F49">
      <w:pPr>
        <w:pStyle w:val="Brdtext"/>
      </w:pPr>
      <w:r w:rsidRPr="00CB2EB0">
        <w:t xml:space="preserve">Statens kostnad för att låna på olika löptider kan förenklat beskrivas med hjälp av avkastningskurvan på svenska statspapper, se </w:t>
      </w:r>
      <w:r w:rsidRPr="00CB2EB0">
        <w:fldChar w:fldCharType="begin"/>
      </w:r>
      <w:r w:rsidRPr="00CB2EB0">
        <w:instrText xml:space="preserve"> REF  _Ref222732971 \* Lower \h </w:instrText>
      </w:r>
      <w:r w:rsidR="00CB2EB0">
        <w:instrText xml:space="preserve"> \* MERGEFORMAT </w:instrText>
      </w:r>
      <w:r w:rsidRPr="00CB2EB0">
        <w:fldChar w:fldCharType="separate"/>
      </w:r>
      <w:r w:rsidR="001959AC" w:rsidRPr="00CB2EB0">
        <w:t xml:space="preserve">figur </w:t>
      </w:r>
      <w:r w:rsidR="001959AC">
        <w:rPr>
          <w:noProof/>
        </w:rPr>
        <w:t>2</w:t>
      </w:r>
      <w:r w:rsidR="001959AC" w:rsidRPr="00CB2EB0">
        <w:t>.</w:t>
      </w:r>
      <w:r w:rsidR="001959AC">
        <w:rPr>
          <w:noProof/>
        </w:rPr>
        <w:t>6</w:t>
      </w:r>
      <w:r w:rsidRPr="00CB2EB0">
        <w:fldChar w:fldCharType="end"/>
      </w:r>
      <w:r w:rsidRPr="00CB2EB0">
        <w:t xml:space="preserve">. Denna illustrerar sambandet mellan räntor och löptider. Avkastningskurvans lutning påverkar förhållandet mellan kostnad och risk. </w:t>
      </w:r>
      <w:r w:rsidR="00A6048D" w:rsidRPr="00CB2EB0">
        <w:t>Vanligtvis</w:t>
      </w:r>
      <w:r w:rsidRPr="00CB2EB0">
        <w:t xml:space="preserve"> är räntan på längre löptider högre än räntan på kortare löptider, vilket speglar de större riskerna med att hålla obligationer under längre perioder. När avkastningskurvan </w:t>
      </w:r>
      <w:r w:rsidR="00D00CE5" w:rsidRPr="00CB2EB0">
        <w:t>är uppåtlutande</w:t>
      </w:r>
      <w:r w:rsidRPr="00CB2EB0">
        <w:t xml:space="preserve"> kan upplåning göras på kortare löptider (statsskuldväxlar) till lägre ränta än upplåning på längre löptider (statsobligationer). Därmed ökar kostnadsbesparingen relativt sett med att låna på kortare löptider och tvärtom. Samtidigt får en ränteuppgång snabbare genomslag på räntekostnaderna när upplåningen har skett på korta löptider. Detta ökar risken för variationer i räntekostnaderna. </w:t>
      </w:r>
    </w:p>
    <w:p w14:paraId="014B8FE4" w14:textId="68C66236" w:rsidR="007264D4" w:rsidRPr="00CB2EB0" w:rsidRDefault="001E2F49" w:rsidP="001E2F49">
      <w:pPr>
        <w:pStyle w:val="Brdtextmedindrag"/>
      </w:pPr>
      <w:r w:rsidRPr="00CB2EB0">
        <w:t xml:space="preserve">När regeringen under 2025 gav besked om finanspolitiska satsningar steg den svenska tioårsräntan. Även räntor på två- och femåriga statsobligationer steg men inte lika mycket som tioårsräntan. Det betyder att avkastningskurvan fick en brantare positiv lutning. Den bilden förstärks om man även inkluderar räntor på statsskuldväxlar. Dessa sjönk under 2025 i takt med att Riksbanken fortsatte att sänka styrräntan. Under 2024 var i stället räntorna högre på statsskuldväxlar än på statsobligationer, vilket gav en </w:t>
      </w:r>
      <w:r w:rsidR="00421F5C" w:rsidRPr="00CB2EB0">
        <w:t>nedåtlutande</w:t>
      </w:r>
      <w:r w:rsidRPr="00CB2EB0">
        <w:t xml:space="preserve"> avkastningskurva. </w:t>
      </w:r>
      <w:r w:rsidR="00AE4564" w:rsidRPr="00CB2EB0">
        <w:t>E</w:t>
      </w:r>
      <w:r w:rsidR="00103FB7" w:rsidRPr="00CB2EB0">
        <w:t xml:space="preserve">n </w:t>
      </w:r>
      <w:r w:rsidR="00421F5C" w:rsidRPr="00CB2EB0">
        <w:t xml:space="preserve">sådan </w:t>
      </w:r>
      <w:r w:rsidR="00103FB7" w:rsidRPr="00CB2EB0">
        <w:t xml:space="preserve">inverterad avkastningskurva </w:t>
      </w:r>
      <w:r w:rsidR="00AE4564" w:rsidRPr="00CB2EB0">
        <w:t>innebär att korta räntor är högre än långa, vilket kan indikera</w:t>
      </w:r>
      <w:r w:rsidR="00103FB7" w:rsidRPr="00CB2EB0">
        <w:t xml:space="preserve"> att </w:t>
      </w:r>
      <w:r w:rsidR="00A156CE">
        <w:t xml:space="preserve">aktörerna på marknaden bedömer att </w:t>
      </w:r>
      <w:r w:rsidR="00103FB7" w:rsidRPr="00CB2EB0">
        <w:t xml:space="preserve">den ekonomiska tillväxten i framtiden </w:t>
      </w:r>
      <w:r w:rsidR="00AE4564" w:rsidRPr="00CB2EB0">
        <w:t xml:space="preserve">kommer </w:t>
      </w:r>
      <w:r w:rsidR="00103FB7" w:rsidRPr="00CB2EB0">
        <w:t xml:space="preserve">att bli långsammare och inflationen lägre. </w:t>
      </w:r>
    </w:p>
    <w:p w14:paraId="6B7999F1" w14:textId="14545735" w:rsidR="007264D4" w:rsidRPr="00CB2EB0" w:rsidRDefault="007264D4" w:rsidP="004E0277">
      <w:pPr>
        <w:pStyle w:val="FigurRubrik"/>
      </w:pPr>
      <w:bookmarkStart w:id="14" w:name="_Ref222732971"/>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2</w:t>
      </w:r>
      <w:r w:rsidRPr="00CB2EB0">
        <w:rPr>
          <w:noProof/>
        </w:rPr>
        <w:fldChar w:fldCharType="end"/>
      </w:r>
      <w:r w:rsidRPr="00CB2EB0">
        <w:t>.</w:t>
      </w:r>
      <w:fldSimple w:instr=" SEQ Figur \* Arabic \s 1  \* MERGEFORMAT ">
        <w:r w:rsidR="001959AC">
          <w:rPr>
            <w:noProof/>
          </w:rPr>
          <w:t>6</w:t>
        </w:r>
      </w:fldSimple>
      <w:bookmarkEnd w:id="14"/>
      <w:r w:rsidRPr="00CB2EB0">
        <w:tab/>
      </w:r>
      <w:r w:rsidR="00566986" w:rsidRPr="00CB2EB0">
        <w:t>Avkastningskurva för svenska statspapper</w:t>
      </w:r>
    </w:p>
    <w:p w14:paraId="7DF0186D" w14:textId="415DB13B" w:rsidR="00022ADE" w:rsidRPr="00CB2EB0" w:rsidRDefault="00022ADE" w:rsidP="006F7533">
      <w:pPr>
        <w:pStyle w:val="FigurUnderrubrik"/>
      </w:pPr>
      <w:r w:rsidRPr="00CB2EB0">
        <w:t>Ränta (procent)</w:t>
      </w:r>
    </w:p>
    <w:p w14:paraId="37B465A8" w14:textId="6AB3784D" w:rsidR="007264D4" w:rsidRPr="00CB2EB0" w:rsidRDefault="00415B28" w:rsidP="00415B28">
      <w:pPr>
        <w:pStyle w:val="Brdtext"/>
      </w:pPr>
      <w:r w:rsidRPr="00CB2EB0">
        <w:rPr>
          <w:noProof/>
        </w:rPr>
        <w:drawing>
          <wp:inline distT="0" distB="0" distL="0" distR="0" wp14:anchorId="6DA741FD" wp14:editId="1937CEB1">
            <wp:extent cx="3744595" cy="2460625"/>
            <wp:effectExtent l="0" t="0" r="0" b="0"/>
            <wp:docPr id="9"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A72C87E" w14:textId="6B2805F8" w:rsidR="00916821" w:rsidRPr="00CB2EB0" w:rsidRDefault="00566986" w:rsidP="00566986">
      <w:pPr>
        <w:pStyle w:val="FigurFotnot"/>
      </w:pPr>
      <w:r w:rsidRPr="00CB2EB0">
        <w:t>Anm.: Diagrammet visar årsgenomsnitt för marknadsräntor beträffande utfall 2021–2023. Räntor avser 6</w:t>
      </w:r>
      <w:r w:rsidR="00202547" w:rsidRPr="00CB2EB0">
        <w:rPr>
          <w:rFonts w:ascii="Cambria" w:hAnsi="Cambria"/>
        </w:rPr>
        <w:t> </w:t>
      </w:r>
      <w:r w:rsidRPr="00CB2EB0">
        <w:t xml:space="preserve">månaders statsskuldväxel, </w:t>
      </w:r>
      <w:r w:rsidR="002A08A9">
        <w:t>fem</w:t>
      </w:r>
      <w:r w:rsidRPr="00CB2EB0">
        <w:t xml:space="preserve">årig statsobligation och </w:t>
      </w:r>
      <w:r w:rsidR="002A08A9">
        <w:t>tio</w:t>
      </w:r>
      <w:r w:rsidRPr="00CB2EB0">
        <w:t>årig statsobligation. Årsgenomsnittet utgör ett medelvärde av alla dagliga stängningskurser fram till innevarande månad.</w:t>
      </w:r>
    </w:p>
    <w:p w14:paraId="2826CC6A" w14:textId="3300EDE8" w:rsidR="00566986" w:rsidRPr="00CB2EB0" w:rsidRDefault="00916821" w:rsidP="00566986">
      <w:pPr>
        <w:pStyle w:val="FigurFotnot"/>
      </w:pPr>
      <w:r w:rsidRPr="00CB2EB0">
        <w:t>Källa: Riksbanken.</w:t>
      </w:r>
    </w:p>
    <w:p w14:paraId="62B92CEA" w14:textId="703E16F5" w:rsidR="007264D4" w:rsidRPr="00CB2EB0" w:rsidRDefault="007264D4" w:rsidP="00FC17EB">
      <w:pPr>
        <w:pStyle w:val="Rubrik2"/>
      </w:pPr>
      <w:bookmarkStart w:id="15" w:name="_Toc227766863"/>
      <w:r w:rsidRPr="00CB2EB0">
        <w:t>Högre inflation under utvärderin</w:t>
      </w:r>
      <w:r w:rsidR="00AD3ED6" w:rsidRPr="00CB2EB0">
        <w:t>g</w:t>
      </w:r>
      <w:r w:rsidRPr="00CB2EB0">
        <w:t>sperioden</w:t>
      </w:r>
      <w:bookmarkEnd w:id="15"/>
    </w:p>
    <w:p w14:paraId="5F415440" w14:textId="25E20D7C" w:rsidR="00CD5774" w:rsidRPr="00CB2EB0" w:rsidRDefault="00CD5774" w:rsidP="00CD5774">
      <w:pPr>
        <w:pStyle w:val="Brdtext"/>
      </w:pPr>
      <w:r w:rsidRPr="00CB2EB0">
        <w:t>Sedan inflationsmålet infördes 1993 har svensk inflation varit låg och stabil, en trend som bröts under utvärderingsperioden. En låg och stabil inflation medför att osäkerheten om hur priserna kommer att utvecklas framöver minskar, vilket bidrar till att räntorna och därmed låne</w:t>
      </w:r>
      <w:r w:rsidR="00224FFD">
        <w:softHyphen/>
      </w:r>
      <w:r w:rsidRPr="00CB2EB0">
        <w:t>kostnaderna blir lägre än de annars skulle ha varit. En hög inflation medför det motsatta</w:t>
      </w:r>
      <w:r w:rsidR="009E5360" w:rsidRPr="00CB2EB0">
        <w:t>.</w:t>
      </w:r>
      <w:r w:rsidR="00237C2D" w:rsidRPr="00CB2EB0">
        <w:t xml:space="preserve"> </w:t>
      </w:r>
      <w:r w:rsidR="009E5360" w:rsidRPr="00CB2EB0">
        <w:t>H</w:t>
      </w:r>
      <w:r w:rsidR="00237C2D" w:rsidRPr="00CB2EB0">
        <w:t>ögre inflation innebär oftast högre räntor, vilket medför ökade kostnader för statsskulden</w:t>
      </w:r>
      <w:r w:rsidRPr="00CB2EB0">
        <w:t xml:space="preserve">. Det medför även att det nominella beloppet på statsskulden blir mindre i relation till den allmänna prisnivån i ekonomin, dvs. realvärdet på statsskulden minskar. </w:t>
      </w:r>
    </w:p>
    <w:p w14:paraId="4FBD828C" w14:textId="417DB412" w:rsidR="001E2F49" w:rsidRPr="00CB2EB0" w:rsidRDefault="001E2F49" w:rsidP="00DD7835">
      <w:pPr>
        <w:pStyle w:val="Brdtextmedindrag"/>
      </w:pPr>
      <w:r w:rsidRPr="00CB2EB0">
        <w:t xml:space="preserve">I </w:t>
      </w:r>
      <w:r w:rsidR="002418A2" w:rsidRPr="00CB2EB0">
        <w:fldChar w:fldCharType="begin"/>
      </w:r>
      <w:r w:rsidR="002418A2" w:rsidRPr="00CB2EB0">
        <w:instrText xml:space="preserve"> REF  _Ref224558250 \* Lower \h  \* MERGEFORMAT </w:instrText>
      </w:r>
      <w:r w:rsidR="002418A2" w:rsidRPr="00CB2EB0">
        <w:fldChar w:fldCharType="separate"/>
      </w:r>
      <w:r w:rsidR="001959AC" w:rsidRPr="00CB2EB0">
        <w:t xml:space="preserve">figur </w:t>
      </w:r>
      <w:r w:rsidR="001959AC">
        <w:rPr>
          <w:noProof/>
        </w:rPr>
        <w:t>2</w:t>
      </w:r>
      <w:r w:rsidR="001959AC" w:rsidRPr="00CB2EB0">
        <w:t>.</w:t>
      </w:r>
      <w:r w:rsidR="001959AC">
        <w:rPr>
          <w:noProof/>
        </w:rPr>
        <w:t>7</w:t>
      </w:r>
      <w:r w:rsidR="002418A2" w:rsidRPr="00CB2EB0">
        <w:fldChar w:fldCharType="end"/>
      </w:r>
      <w:r w:rsidR="002418A2" w:rsidRPr="00CB2EB0">
        <w:t xml:space="preserve"> </w:t>
      </w:r>
      <w:r w:rsidRPr="00CB2EB0">
        <w:t>visas inflationstakten mätt som KPI för åren 20</w:t>
      </w:r>
      <w:r w:rsidR="007C5D43" w:rsidRPr="00CB2EB0">
        <w:t>21</w:t>
      </w:r>
      <w:r w:rsidR="00261E5C" w:rsidRPr="00CB2EB0">
        <w:t>–2025.</w:t>
      </w:r>
      <w:r w:rsidRPr="00CB2EB0">
        <w:t xml:space="preserve"> </w:t>
      </w:r>
      <w:r w:rsidR="00DD7835" w:rsidRPr="00CB2EB0">
        <w:t xml:space="preserve">Under 2022 ökade inflationstakten snabbt till följd av stigande energipriser och utbudsstörningar. </w:t>
      </w:r>
      <w:r w:rsidR="006D251A" w:rsidRPr="006D251A">
        <w:t xml:space="preserve">Riksbanken började höja räntan i snabb takt under 2022 vilket ledde till högre bolåneräntor för konsumenter. </w:t>
      </w:r>
      <w:r w:rsidR="00DD7835" w:rsidRPr="00CB2EB0">
        <w:t>Inflation</w:t>
      </w:r>
      <w:r w:rsidR="00CC589E" w:rsidRPr="00CB2EB0">
        <w:t>s</w:t>
      </w:r>
      <w:r w:rsidR="001D34DB">
        <w:softHyphen/>
      </w:r>
      <w:r w:rsidR="00CC589E" w:rsidRPr="00CB2EB0">
        <w:t>takten</w:t>
      </w:r>
      <w:r w:rsidR="00393998">
        <w:t>, mätt med KPI,</w:t>
      </w:r>
      <w:r w:rsidR="00DD7835" w:rsidRPr="00CB2EB0">
        <w:t xml:space="preserve"> </w:t>
      </w:r>
      <w:r w:rsidR="003C3125" w:rsidRPr="00CB2EB0">
        <w:t xml:space="preserve">uppgick </w:t>
      </w:r>
      <w:r w:rsidR="00DD7835" w:rsidRPr="00CB2EB0">
        <w:t>som högst</w:t>
      </w:r>
      <w:r w:rsidR="003C3125" w:rsidRPr="00CB2EB0">
        <w:t xml:space="preserve"> till</w:t>
      </w:r>
      <w:r w:rsidR="00DD7835" w:rsidRPr="00CB2EB0">
        <w:t xml:space="preserve"> 12,3</w:t>
      </w:r>
      <w:r w:rsidR="00DD4F8B" w:rsidRPr="00CB2EB0">
        <w:t> </w:t>
      </w:r>
      <w:r w:rsidR="00DD7835" w:rsidRPr="00CB2EB0">
        <w:t>procent i slutet av 2022.</w:t>
      </w:r>
      <w:r w:rsidR="006508DC" w:rsidRPr="00CB2EB0">
        <w:t xml:space="preserve"> </w:t>
      </w:r>
      <w:r w:rsidR="00266987" w:rsidRPr="00CB2EB0">
        <w:t>Inflations</w:t>
      </w:r>
      <w:r w:rsidR="00266987">
        <w:t>trycket</w:t>
      </w:r>
      <w:r w:rsidR="00266987" w:rsidRPr="00CB2EB0">
        <w:t xml:space="preserve"> </w:t>
      </w:r>
      <w:r w:rsidR="00DD7835" w:rsidRPr="00CB2EB0">
        <w:t xml:space="preserve">har sedan dess minskat bl.a. till följd av </w:t>
      </w:r>
      <w:r w:rsidR="00F240B5" w:rsidRPr="00CB2EB0">
        <w:t xml:space="preserve">Riksbankens </w:t>
      </w:r>
      <w:r w:rsidR="00DD7835" w:rsidRPr="00CB2EB0">
        <w:t xml:space="preserve">höjningar av styrräntan. </w:t>
      </w:r>
      <w:r w:rsidRPr="00CB2EB0">
        <w:t xml:space="preserve">Riksbanken </w:t>
      </w:r>
      <w:r w:rsidR="00DD7835" w:rsidRPr="00CB2EB0">
        <w:t>började sedan sänka styrräntan under 2024</w:t>
      </w:r>
      <w:r w:rsidR="00032913" w:rsidRPr="00CB2EB0">
        <w:t xml:space="preserve"> och </w:t>
      </w:r>
      <w:r w:rsidR="00F92122">
        <w:t xml:space="preserve">fortsatte </w:t>
      </w:r>
      <w:r w:rsidRPr="00CB2EB0">
        <w:t>sänk</w:t>
      </w:r>
      <w:r w:rsidR="00F92122">
        <w:t>a</w:t>
      </w:r>
      <w:r w:rsidRPr="00CB2EB0">
        <w:t xml:space="preserve"> styrräntan i fyra steg under 2025 för att ge stöd till konjunkturen och stabilisera inflationen vid målet på sikt. Den årliga inflationstakten mätt som KPIF</w:t>
      </w:r>
      <w:r w:rsidR="00CA779A" w:rsidRPr="00CB2EB0">
        <w:t xml:space="preserve"> (konsumentprisindex med fast ränta)</w:t>
      </w:r>
      <w:r w:rsidRPr="00CB2EB0">
        <w:t xml:space="preserve"> låg på mellan 2 och drygt 3</w:t>
      </w:r>
      <w:r w:rsidR="006508DC" w:rsidRPr="00CB2EB0">
        <w:t> </w:t>
      </w:r>
      <w:r w:rsidRPr="00CB2EB0">
        <w:t xml:space="preserve">procent under </w:t>
      </w:r>
      <w:r w:rsidR="00635EB6" w:rsidRPr="00CB2EB0">
        <w:t>2025</w:t>
      </w:r>
      <w:r w:rsidRPr="00CB2EB0">
        <w:t>.</w:t>
      </w:r>
    </w:p>
    <w:p w14:paraId="53C15ED4" w14:textId="1CA10FF3" w:rsidR="007264D4" w:rsidRPr="00CB2EB0" w:rsidRDefault="007264D4" w:rsidP="004E0277">
      <w:pPr>
        <w:pStyle w:val="FigurRubrik"/>
      </w:pPr>
      <w:bookmarkStart w:id="16" w:name="_Ref224558250"/>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2</w:t>
      </w:r>
      <w:r w:rsidRPr="00CB2EB0">
        <w:rPr>
          <w:noProof/>
        </w:rPr>
        <w:fldChar w:fldCharType="end"/>
      </w:r>
      <w:r w:rsidRPr="00CB2EB0">
        <w:t>.</w:t>
      </w:r>
      <w:fldSimple w:instr=" SEQ Figur \* Arabic \s 1  \* MERGEFORMAT ">
        <w:r w:rsidR="001959AC">
          <w:rPr>
            <w:noProof/>
          </w:rPr>
          <w:t>7</w:t>
        </w:r>
      </w:fldSimple>
      <w:bookmarkEnd w:id="16"/>
      <w:r w:rsidRPr="00CB2EB0">
        <w:tab/>
      </w:r>
      <w:r w:rsidR="002A0FEE" w:rsidRPr="00CB2EB0">
        <w:t>Inflationstakten enligt KPI</w:t>
      </w:r>
    </w:p>
    <w:p w14:paraId="7A767BBA" w14:textId="43B61BB7" w:rsidR="007264D4" w:rsidRPr="00CB2EB0" w:rsidRDefault="00A02F21" w:rsidP="00C06024">
      <w:pPr>
        <w:pStyle w:val="Brdtext"/>
      </w:pPr>
      <w:r>
        <w:rPr>
          <w:noProof/>
        </w:rPr>
        <w:drawing>
          <wp:inline distT="0" distB="0" distL="0" distR="0" wp14:anchorId="6DD15689" wp14:editId="08351C83">
            <wp:extent cx="3744595" cy="2460625"/>
            <wp:effectExtent l="0" t="0" r="8255" b="0"/>
            <wp:docPr id="1080304603"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E75937F" w14:textId="77D4F42B" w:rsidR="007264D4" w:rsidRPr="00CB2EB0" w:rsidRDefault="00AA6D24" w:rsidP="00897BD6">
      <w:pPr>
        <w:pStyle w:val="FigurFotnot"/>
      </w:pPr>
      <w:r w:rsidRPr="00CB2EB0">
        <w:t>Källa: SCB</w:t>
      </w:r>
      <w:r w:rsidR="00C15CD7" w:rsidRPr="00CB2EB0">
        <w:t>.</w:t>
      </w:r>
    </w:p>
    <w:p w14:paraId="6FA82B9A" w14:textId="77777777" w:rsidR="007264D4" w:rsidRPr="00CB2EB0" w:rsidRDefault="007264D4" w:rsidP="00E22AC9">
      <w:pPr>
        <w:pStyle w:val="Brdtext"/>
      </w:pPr>
    </w:p>
    <w:p w14:paraId="5172C178" w14:textId="02225D4D" w:rsidR="007264D4" w:rsidRPr="00CB2EB0" w:rsidRDefault="0014241C" w:rsidP="0014241C">
      <w:pPr>
        <w:pStyle w:val="Brdtext"/>
      </w:pPr>
      <w:r w:rsidRPr="00CB2EB0">
        <w:t>För realobligationer betalas innehavaren dels en fast realränta, dels en kompensation för den faktiska inflationen under löptiden. Den reala kron</w:t>
      </w:r>
      <w:r w:rsidR="00517AD4">
        <w:softHyphen/>
      </w:r>
      <w:r w:rsidRPr="00CB2EB0">
        <w:t xml:space="preserve">skulden påverkas alltså mer direkt av ökningar i inflationen i jämförelse med nominella statsobligationer. Om utfallet för inflationen blir högre </w:t>
      </w:r>
      <w:r w:rsidR="00FC6C27">
        <w:t>ökar</w:t>
      </w:r>
      <w:r w:rsidR="00FC6C27" w:rsidRPr="00CB2EB0">
        <w:t xml:space="preserve"> </w:t>
      </w:r>
      <w:r w:rsidRPr="00CB2EB0">
        <w:t>kostnaden för realskulden.</w:t>
      </w:r>
    </w:p>
    <w:p w14:paraId="33508F5B" w14:textId="0349E8B8" w:rsidR="0019762D" w:rsidRPr="00CB2EB0" w:rsidRDefault="00227B01" w:rsidP="00FC17EB">
      <w:pPr>
        <w:pStyle w:val="Rubrik2"/>
      </w:pPr>
      <w:bookmarkStart w:id="17" w:name="_Toc227766864"/>
      <w:r w:rsidRPr="00CB2EB0">
        <w:t>K</w:t>
      </w:r>
      <w:r w:rsidR="0019762D" w:rsidRPr="00CB2EB0">
        <w:t>rona</w:t>
      </w:r>
      <w:r w:rsidRPr="00CB2EB0">
        <w:t>n</w:t>
      </w:r>
      <w:r w:rsidR="0019762D" w:rsidRPr="00CB2EB0">
        <w:t xml:space="preserve"> </w:t>
      </w:r>
      <w:r w:rsidR="00B540DB" w:rsidRPr="00CB2EB0">
        <w:t xml:space="preserve">stärktes </w:t>
      </w:r>
      <w:r w:rsidR="0019762D" w:rsidRPr="00CB2EB0">
        <w:t>under</w:t>
      </w:r>
      <w:r w:rsidR="00EB288F" w:rsidRPr="00CB2EB0">
        <w:t xml:space="preserve"> den</w:t>
      </w:r>
      <w:r w:rsidR="0019762D" w:rsidRPr="00CB2EB0">
        <w:t xml:space="preserve"> </w:t>
      </w:r>
      <w:r w:rsidR="00E83CBC" w:rsidRPr="00CB2EB0">
        <w:t>senare del</w:t>
      </w:r>
      <w:r w:rsidR="00EB288F" w:rsidRPr="00CB2EB0">
        <w:t>en</w:t>
      </w:r>
      <w:r w:rsidR="00E83CBC" w:rsidRPr="00CB2EB0">
        <w:t xml:space="preserve"> av </w:t>
      </w:r>
      <w:r w:rsidR="0019762D" w:rsidRPr="00CB2EB0">
        <w:t>utvärderingsperioden</w:t>
      </w:r>
      <w:bookmarkEnd w:id="17"/>
    </w:p>
    <w:p w14:paraId="1748AADB" w14:textId="101BF98E" w:rsidR="009025D7" w:rsidRPr="00CB2EB0" w:rsidRDefault="009025D7" w:rsidP="0082313E">
      <w:pPr>
        <w:pStyle w:val="Brdtext"/>
      </w:pPr>
      <w:r w:rsidRPr="00CB2EB0">
        <w:t>Kronkursen påverkar statsskulden genom stats</w:t>
      </w:r>
      <w:r w:rsidR="00BE1BC9">
        <w:t>s</w:t>
      </w:r>
      <w:r w:rsidRPr="00CB2EB0">
        <w:t xml:space="preserve">kuldens exponering i utländsk valuta. När kronan stärks sjunker det nominella värdet i kronor på utländska lån och vice versa. Kronkursens utveckling gentemot utländska valutor har därmed stor betydelse för valutaskuldens utveckling och kostnader förknippade </w:t>
      </w:r>
      <w:r w:rsidR="00453EDB">
        <w:t>m</w:t>
      </w:r>
      <w:r w:rsidRPr="00CB2EB0">
        <w:t xml:space="preserve">ed denna. </w:t>
      </w:r>
      <w:r w:rsidR="00B540DB" w:rsidRPr="00CB2EB0">
        <w:t xml:space="preserve">I </w:t>
      </w:r>
      <w:r w:rsidR="005A266D" w:rsidRPr="00CB2EB0">
        <w:fldChar w:fldCharType="begin"/>
      </w:r>
      <w:r w:rsidR="005A266D" w:rsidRPr="00CB2EB0">
        <w:instrText xml:space="preserve"> REF  _Ref223609321 \* Lower \h  \* MERGEFORMAT </w:instrText>
      </w:r>
      <w:r w:rsidR="005A266D" w:rsidRPr="00CB2EB0">
        <w:fldChar w:fldCharType="separate"/>
      </w:r>
      <w:r w:rsidR="001959AC" w:rsidRPr="00CB2EB0">
        <w:t xml:space="preserve">figur </w:t>
      </w:r>
      <w:r w:rsidR="001959AC">
        <w:rPr>
          <w:noProof/>
        </w:rPr>
        <w:t>2</w:t>
      </w:r>
      <w:r w:rsidR="001959AC" w:rsidRPr="00CB2EB0">
        <w:t>.</w:t>
      </w:r>
      <w:r w:rsidR="001959AC">
        <w:rPr>
          <w:noProof/>
        </w:rPr>
        <w:t>8</w:t>
      </w:r>
      <w:r w:rsidR="005A266D" w:rsidRPr="00CB2EB0">
        <w:fldChar w:fldCharType="end"/>
      </w:r>
      <w:r w:rsidR="005A266D" w:rsidRPr="00CB2EB0">
        <w:t xml:space="preserve"> </w:t>
      </w:r>
      <w:r w:rsidR="00B540DB" w:rsidRPr="00CB2EB0">
        <w:t>visas kronans valutakurs gentemot den amerikanska dollarn</w:t>
      </w:r>
      <w:r w:rsidR="00347FDB">
        <w:t>,</w:t>
      </w:r>
      <w:r w:rsidR="00347FDB" w:rsidRPr="00347FDB">
        <w:t xml:space="preserve"> </w:t>
      </w:r>
      <w:r w:rsidR="00347FDB" w:rsidRPr="00CB2EB0">
        <w:t>euron</w:t>
      </w:r>
      <w:r w:rsidR="005A266D" w:rsidRPr="00CB2EB0">
        <w:t xml:space="preserve"> och</w:t>
      </w:r>
      <w:r w:rsidR="00B540DB" w:rsidRPr="00CB2EB0">
        <w:t xml:space="preserve"> schweizerfrancen under utvärderingsperioden. </w:t>
      </w:r>
      <w:r w:rsidR="0082313E" w:rsidRPr="00CB2EB0">
        <w:t>På valutamarknaden tappade kronan i värde mot den amerikanska dollarn, euron och schweizerfrancen under 2024,</w:t>
      </w:r>
      <w:r w:rsidR="00435321">
        <w:t xml:space="preserve"> om än mindre än perioden </w:t>
      </w:r>
      <w:r w:rsidR="002C446B">
        <w:t>2021–2023</w:t>
      </w:r>
      <w:r w:rsidR="00435321">
        <w:t>.</w:t>
      </w:r>
      <w:r w:rsidR="0082313E" w:rsidRPr="00CB2EB0">
        <w:t xml:space="preserve"> </w:t>
      </w:r>
      <w:r w:rsidR="00435321">
        <w:t>Kronan</w:t>
      </w:r>
      <w:r w:rsidR="00435321" w:rsidRPr="00CB2EB0">
        <w:t xml:space="preserve"> </w:t>
      </w:r>
      <w:r w:rsidR="0082313E" w:rsidRPr="00CB2EB0">
        <w:t xml:space="preserve">stärktes </w:t>
      </w:r>
      <w:r w:rsidR="00745382">
        <w:t xml:space="preserve">däremot </w:t>
      </w:r>
      <w:r w:rsidR="0082313E" w:rsidRPr="00CB2EB0">
        <w:t xml:space="preserve">mot dessa </w:t>
      </w:r>
      <w:r w:rsidR="00745382">
        <w:t xml:space="preserve">valutor </w:t>
      </w:r>
      <w:r w:rsidR="0082313E" w:rsidRPr="00CB2EB0">
        <w:t xml:space="preserve">2025. </w:t>
      </w:r>
      <w:r w:rsidR="00B540DB" w:rsidRPr="00CB2EB0">
        <w:t>Förstärkningen var störst mot den amerikanska dollarn, från runt 11 kronor</w:t>
      </w:r>
      <w:r w:rsidR="004F5171">
        <w:t xml:space="preserve"> i</w:t>
      </w:r>
      <w:r w:rsidR="00B540DB" w:rsidRPr="00CB2EB0">
        <w:t xml:space="preserve"> </w:t>
      </w:r>
      <w:r w:rsidR="00F92122">
        <w:t xml:space="preserve">januari 2025 </w:t>
      </w:r>
      <w:r w:rsidR="00B540DB" w:rsidRPr="00CB2EB0">
        <w:t>till 9,20</w:t>
      </w:r>
      <w:r w:rsidR="007F7644" w:rsidRPr="00CB2EB0">
        <w:t> </w:t>
      </w:r>
      <w:r w:rsidR="00B540DB" w:rsidRPr="00CB2EB0">
        <w:t>kronor per dollar</w:t>
      </w:r>
      <w:r w:rsidR="00F92122">
        <w:t xml:space="preserve"> </w:t>
      </w:r>
      <w:r w:rsidR="00623C2D">
        <w:t xml:space="preserve">i slutet av </w:t>
      </w:r>
      <w:r w:rsidR="00F92122">
        <w:t>december 2025</w:t>
      </w:r>
      <w:r w:rsidR="00B540DB" w:rsidRPr="00CB2EB0">
        <w:t>.</w:t>
      </w:r>
    </w:p>
    <w:p w14:paraId="00C2F22D" w14:textId="24701267" w:rsidR="0019762D" w:rsidRPr="00CB2EB0" w:rsidRDefault="0019762D" w:rsidP="00730EF2">
      <w:pPr>
        <w:pStyle w:val="FigurRubrik"/>
      </w:pPr>
      <w:bookmarkStart w:id="18" w:name="_Ref223609321"/>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2</w:t>
      </w:r>
      <w:r w:rsidRPr="00CB2EB0">
        <w:rPr>
          <w:noProof/>
        </w:rPr>
        <w:fldChar w:fldCharType="end"/>
      </w:r>
      <w:r w:rsidRPr="00CB2EB0">
        <w:t>.</w:t>
      </w:r>
      <w:fldSimple w:instr=" SEQ Figur \* Arabic \s 1  \* MERGEFORMAT ">
        <w:r w:rsidR="001959AC">
          <w:rPr>
            <w:noProof/>
          </w:rPr>
          <w:t>8</w:t>
        </w:r>
      </w:fldSimple>
      <w:bookmarkEnd w:id="18"/>
      <w:r w:rsidRPr="00CB2EB0">
        <w:tab/>
      </w:r>
      <w:r w:rsidR="00730EF2" w:rsidRPr="00CB2EB0">
        <w:t xml:space="preserve">Kronans </w:t>
      </w:r>
      <w:r w:rsidR="007E2191" w:rsidRPr="00CB2EB0">
        <w:t>valuta</w:t>
      </w:r>
      <w:r w:rsidR="00730EF2" w:rsidRPr="00CB2EB0">
        <w:t>kurs mot USD, EUR</w:t>
      </w:r>
      <w:r w:rsidR="00975632" w:rsidRPr="00CB2EB0">
        <w:t xml:space="preserve"> och</w:t>
      </w:r>
      <w:r w:rsidR="00730EF2" w:rsidRPr="00CB2EB0">
        <w:t xml:space="preserve"> CHF </w:t>
      </w:r>
    </w:p>
    <w:p w14:paraId="2D38BBFD" w14:textId="53E756FF" w:rsidR="0019762D" w:rsidRPr="00CB2EB0" w:rsidRDefault="00730EF2" w:rsidP="00730EF2">
      <w:pPr>
        <w:pStyle w:val="Brdtext"/>
      </w:pPr>
      <w:r w:rsidRPr="00CB2EB0">
        <w:rPr>
          <w:noProof/>
        </w:rPr>
        <w:drawing>
          <wp:inline distT="0" distB="0" distL="0" distR="0" wp14:anchorId="688D86E2" wp14:editId="505716A0">
            <wp:extent cx="3744595" cy="2460625"/>
            <wp:effectExtent l="0" t="0" r="8255" b="0"/>
            <wp:docPr id="11"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4909560" w14:textId="5DD6A0C3" w:rsidR="0019762D" w:rsidRPr="00CB2EB0" w:rsidRDefault="00730EF2" w:rsidP="00897BD6">
      <w:pPr>
        <w:pStyle w:val="FigurFotnot"/>
      </w:pPr>
      <w:r w:rsidRPr="00CB2EB0">
        <w:t>Källa: Macrobond</w:t>
      </w:r>
      <w:r w:rsidR="00C15CD7" w:rsidRPr="00CB2EB0">
        <w:t>.</w:t>
      </w:r>
    </w:p>
    <w:p w14:paraId="42A37A8B" w14:textId="2AEF2AE5" w:rsidR="00B83CC7" w:rsidRPr="00CB2EB0" w:rsidRDefault="009052D8" w:rsidP="00FC17EB">
      <w:pPr>
        <w:pStyle w:val="Rubrik1"/>
      </w:pPr>
      <w:bookmarkStart w:id="19" w:name="_Ref223427397"/>
      <w:bookmarkStart w:id="20" w:name="_Ref223427437"/>
      <w:bookmarkStart w:id="21" w:name="_Ref223427444"/>
      <w:bookmarkStart w:id="22" w:name="_Ref223609531"/>
      <w:bookmarkStart w:id="23" w:name="_Ref223609596"/>
      <w:bookmarkStart w:id="24" w:name="_Ref223609767"/>
      <w:bookmarkStart w:id="25" w:name="_Ref224129226"/>
      <w:bookmarkStart w:id="26" w:name="_Toc227766865"/>
      <w:r w:rsidRPr="00CB2EB0">
        <w:t>Regeringens</w:t>
      </w:r>
      <w:r w:rsidR="00B83CC7" w:rsidRPr="00CB2EB0">
        <w:t xml:space="preserve"> riktlinjer för statsskuldens förvaltning</w:t>
      </w:r>
      <w:bookmarkEnd w:id="19"/>
      <w:bookmarkEnd w:id="20"/>
      <w:bookmarkEnd w:id="21"/>
      <w:bookmarkEnd w:id="22"/>
      <w:bookmarkEnd w:id="23"/>
      <w:bookmarkEnd w:id="24"/>
      <w:bookmarkEnd w:id="25"/>
      <w:bookmarkEnd w:id="26"/>
    </w:p>
    <w:p w14:paraId="0106568E" w14:textId="18C93946" w:rsidR="003A0C08" w:rsidRPr="00CB2EB0" w:rsidRDefault="003A0C08" w:rsidP="00780402">
      <w:pPr>
        <w:pStyle w:val="Brdtextefterpkt-listaram"/>
        <w:rPr>
          <w:rFonts w:eastAsiaTheme="minorHAnsi"/>
        </w:rPr>
      </w:pPr>
      <w:r w:rsidRPr="00CB2EB0">
        <w:rPr>
          <w:rFonts w:eastAsiaTheme="minorHAnsi"/>
        </w:rPr>
        <w:t xml:space="preserve">Som framgår av avsnitt </w:t>
      </w:r>
      <w:r w:rsidR="006628CF" w:rsidRPr="00CB2EB0">
        <w:rPr>
          <w:rFonts w:eastAsiaTheme="minorHAnsi"/>
        </w:rPr>
        <w:fldChar w:fldCharType="begin"/>
      </w:r>
      <w:r w:rsidR="006628CF" w:rsidRPr="00CB2EB0">
        <w:rPr>
          <w:rFonts w:eastAsiaTheme="minorHAnsi"/>
        </w:rPr>
        <w:instrText xml:space="preserve"> REF _Ref224117283 \r \h </w:instrText>
      </w:r>
      <w:r w:rsidR="00CB2EB0">
        <w:rPr>
          <w:rFonts w:eastAsiaTheme="minorHAnsi"/>
        </w:rPr>
        <w:instrText xml:space="preserve"> \* MERGEFORMAT </w:instrText>
      </w:r>
      <w:r w:rsidR="006628CF" w:rsidRPr="00CB2EB0">
        <w:rPr>
          <w:rFonts w:eastAsiaTheme="minorHAnsi"/>
        </w:rPr>
      </w:r>
      <w:r w:rsidR="006628CF" w:rsidRPr="00CB2EB0">
        <w:rPr>
          <w:rFonts w:eastAsiaTheme="minorHAnsi"/>
        </w:rPr>
        <w:fldChar w:fldCharType="separate"/>
      </w:r>
      <w:r w:rsidR="001959AC">
        <w:rPr>
          <w:rFonts w:eastAsiaTheme="minorHAnsi"/>
        </w:rPr>
        <w:t>1</w:t>
      </w:r>
      <w:r w:rsidR="006628CF" w:rsidRPr="00CB2EB0">
        <w:rPr>
          <w:rFonts w:eastAsiaTheme="minorHAnsi"/>
        </w:rPr>
        <w:fldChar w:fldCharType="end"/>
      </w:r>
      <w:r w:rsidRPr="00CB2EB0">
        <w:rPr>
          <w:rFonts w:eastAsiaTheme="minorHAnsi"/>
        </w:rPr>
        <w:t xml:space="preserve"> fattar regeringen årligen beslut om riktlinjer för statsskuldens förvaltning.</w:t>
      </w:r>
      <w:r w:rsidR="00780402" w:rsidRPr="00CB2EB0">
        <w:t xml:space="preserve"> </w:t>
      </w:r>
      <w:r w:rsidR="00780402" w:rsidRPr="00CB2EB0">
        <w:rPr>
          <w:rFonts w:eastAsiaTheme="minorHAnsi"/>
        </w:rPr>
        <w:t>I de årliga riktlinjebesluten styr regeringen avvägningen mellan kostnad och risk i statsskuldsförvaltningen på en övergripande nivå med utgångspunkt i det lagfästa målet för statsskuldspolitiken.</w:t>
      </w:r>
      <w:r w:rsidRPr="00CB2EB0">
        <w:rPr>
          <w:rFonts w:eastAsiaTheme="minorHAnsi"/>
        </w:rPr>
        <w:t xml:space="preserve"> I detta avsnitt redovisas en utvärdering av hur riktlinjerna har förändrats under utvärderingsperioden.</w:t>
      </w:r>
    </w:p>
    <w:p w14:paraId="367CED3A" w14:textId="5A3C4AB9" w:rsidR="00B83CC7" w:rsidRPr="00CB2EB0" w:rsidRDefault="0055514C" w:rsidP="00FC17EB">
      <w:pPr>
        <w:pStyle w:val="Rubrik4ram"/>
        <w:outlineLvl w:val="1"/>
      </w:pPr>
      <w:r w:rsidRPr="00CB2EB0">
        <w:t>Regeringens bedömning</w:t>
      </w:r>
    </w:p>
    <w:p w14:paraId="15ED5724" w14:textId="2C7ECC03" w:rsidR="00FB7ED0" w:rsidRPr="00CB2EB0" w:rsidRDefault="00573437" w:rsidP="00334AA4">
      <w:pPr>
        <w:pStyle w:val="Brdtextmedindragram"/>
        <w:ind w:firstLine="0"/>
      </w:pPr>
      <w:r w:rsidRPr="00CB2EB0">
        <w:t xml:space="preserve">Regeringens beslut </w:t>
      </w:r>
      <w:r w:rsidR="00D37A2F" w:rsidRPr="00CB2EB0">
        <w:t xml:space="preserve">utifrån målet för </w:t>
      </w:r>
      <w:r w:rsidR="00335435">
        <w:t>statsskuldspolitiken</w:t>
      </w:r>
      <w:r w:rsidR="00335435" w:rsidRPr="00CB2EB0">
        <w:t xml:space="preserve"> </w:t>
      </w:r>
      <w:r w:rsidRPr="00CB2EB0">
        <w:t>att minska realskulden till en målnivå på 80</w:t>
      </w:r>
      <w:r w:rsidR="005F34CE" w:rsidRPr="00CB2EB0">
        <w:t> </w:t>
      </w:r>
      <w:r w:rsidRPr="00CB2EB0">
        <w:t>miljarder kronor i nominellt belopp</w:t>
      </w:r>
      <w:r w:rsidR="001A31CA" w:rsidRPr="00CB2EB0">
        <w:t xml:space="preserve"> </w:t>
      </w:r>
      <w:r w:rsidR="00B65497" w:rsidRPr="00CB2EB0">
        <w:t>bedöms vara</w:t>
      </w:r>
      <w:r w:rsidRPr="00CB2EB0">
        <w:t xml:space="preserve"> välgrundat. </w:t>
      </w:r>
      <w:r w:rsidR="00B01359" w:rsidRPr="00CB2EB0">
        <w:t xml:space="preserve">Uppdaterade analyser stödjer </w:t>
      </w:r>
      <w:r w:rsidR="00ED3DD7" w:rsidRPr="00CB2EB0">
        <w:t>fortsatt</w:t>
      </w:r>
      <w:r w:rsidR="00B01359" w:rsidRPr="00CB2EB0">
        <w:t xml:space="preserve"> slut</w:t>
      </w:r>
      <w:r w:rsidR="00212A6F">
        <w:softHyphen/>
      </w:r>
      <w:r w:rsidR="00B01359" w:rsidRPr="00CB2EB0">
        <w:t xml:space="preserve">satserna som låg till grund för </w:t>
      </w:r>
      <w:r w:rsidR="005B067B" w:rsidRPr="00CB2EB0">
        <w:t>beslutet.</w:t>
      </w:r>
    </w:p>
    <w:p w14:paraId="1335FCE9" w14:textId="4EBB1BFE" w:rsidR="00B83CC7" w:rsidRPr="00CB2EB0" w:rsidRDefault="00FB7ED0" w:rsidP="00FB7ED0">
      <w:pPr>
        <w:pStyle w:val="Brdtextmedindragram"/>
      </w:pPr>
      <w:r w:rsidRPr="00CB2EB0">
        <w:t>Regeringens beslut att pausa avvecklingen av valutaexponeringen har hittills inneburit en merkostnad</w:t>
      </w:r>
      <w:r w:rsidR="00573437" w:rsidRPr="00CB2EB0">
        <w:t xml:space="preserve"> </w:t>
      </w:r>
      <w:r w:rsidRPr="00CB2EB0">
        <w:t xml:space="preserve">men flexibiliteten i avvecklingstakten har </w:t>
      </w:r>
      <w:r w:rsidR="007B3BBE" w:rsidRPr="00CB2EB0">
        <w:t>medfört besparingar</w:t>
      </w:r>
      <w:r w:rsidRPr="00CB2EB0">
        <w:t>.</w:t>
      </w:r>
    </w:p>
    <w:p w14:paraId="39D5575F" w14:textId="6DFCE028" w:rsidR="00EC7C53" w:rsidRPr="00CB2EB0" w:rsidRDefault="00165DC1" w:rsidP="00CB2EB0">
      <w:pPr>
        <w:pStyle w:val="Brdtextmedindragram"/>
      </w:pPr>
      <w:r w:rsidRPr="00CB2EB0">
        <w:t>Det gemensamma löptidsintervallet för hela statsskulden om 3,5–6 år och regeringens beslut att byta löptidsmått från duration till genom</w:t>
      </w:r>
      <w:r w:rsidR="00DF4EC6">
        <w:softHyphen/>
      </w:r>
      <w:r w:rsidRPr="00CB2EB0">
        <w:t xml:space="preserve">snittlig räntebindningstid bedöms </w:t>
      </w:r>
      <w:r w:rsidR="006D5893" w:rsidRPr="00CB2EB0">
        <w:t>vara en</w:t>
      </w:r>
      <w:r w:rsidRPr="00CB2EB0">
        <w:t xml:space="preserve"> ändamålsenlig styrning av löptiden</w:t>
      </w:r>
      <w:r w:rsidR="00465872" w:rsidRPr="00CB2EB0">
        <w:t xml:space="preserve"> utifrån målet för </w:t>
      </w:r>
      <w:r w:rsidR="00335435" w:rsidRPr="00CB2EB0">
        <w:t>statsskulds</w:t>
      </w:r>
      <w:r w:rsidR="00335435">
        <w:t>politiken</w:t>
      </w:r>
      <w:r w:rsidRPr="00CB2EB0">
        <w:t>.</w:t>
      </w:r>
      <w:r w:rsidR="00EC7C53" w:rsidRPr="00CB2EB0">
        <w:t xml:space="preserve"> </w:t>
      </w:r>
    </w:p>
    <w:p w14:paraId="37A45DC9" w14:textId="77777777" w:rsidR="002C15C9" w:rsidRPr="00CB2EB0" w:rsidRDefault="002C15C9" w:rsidP="00FC17EB">
      <w:pPr>
        <w:pStyle w:val="Rubrik4efterram"/>
        <w:outlineLvl w:val="1"/>
      </w:pPr>
      <w:r w:rsidRPr="00CB2EB0">
        <w:lastRenderedPageBreak/>
        <w:t>Skälen för regeringens bedömning</w:t>
      </w:r>
    </w:p>
    <w:p w14:paraId="18787C09" w14:textId="798C0B70" w:rsidR="004A6723" w:rsidRPr="00CB2EB0" w:rsidRDefault="004A6723" w:rsidP="00FC17EB">
      <w:pPr>
        <w:pStyle w:val="Rubrik5efterram"/>
        <w:spacing w:before="0"/>
        <w:outlineLvl w:val="2"/>
      </w:pPr>
      <w:r w:rsidRPr="00CB2EB0">
        <w:t>Förändringar i regeringens riktlinjer</w:t>
      </w:r>
    </w:p>
    <w:p w14:paraId="3F3E5347" w14:textId="493056D3" w:rsidR="003D0C3F" w:rsidRPr="00CB2EB0" w:rsidRDefault="003D0C3F" w:rsidP="00CD3A82">
      <w:pPr>
        <w:pStyle w:val="Brdtext"/>
      </w:pPr>
      <w:r w:rsidRPr="00CB2EB0">
        <w:t xml:space="preserve">För 2024 och 2025, som är de tillkommande åren sedan föregående utvärderingsperiod, skedde </w:t>
      </w:r>
      <w:r w:rsidR="005A69AA" w:rsidRPr="00CB2EB0">
        <w:t>två</w:t>
      </w:r>
      <w:r w:rsidRPr="00CB2EB0">
        <w:t xml:space="preserve"> </w:t>
      </w:r>
      <w:r w:rsidR="00C7271C" w:rsidRPr="00CB2EB0">
        <w:t xml:space="preserve">större </w:t>
      </w:r>
      <w:r w:rsidRPr="00CB2EB0">
        <w:t>förändringar när det gäller förvaltningen av statsskulden.</w:t>
      </w:r>
      <w:r w:rsidR="00C842F9" w:rsidRPr="00CB2EB0">
        <w:t xml:space="preserve"> </w:t>
      </w:r>
      <w:r w:rsidR="00CD3A82" w:rsidRPr="00CB2EB0">
        <w:t xml:space="preserve">I </w:t>
      </w:r>
      <w:r w:rsidR="000A7FC0" w:rsidRPr="00CB2EB0">
        <w:t xml:space="preserve">regeringens </w:t>
      </w:r>
      <w:r w:rsidR="00CD3A82" w:rsidRPr="00CB2EB0">
        <w:t xml:space="preserve">riktlinjer för </w:t>
      </w:r>
      <w:r w:rsidR="000A7FC0" w:rsidRPr="00CB2EB0">
        <w:t xml:space="preserve">statsskuldens förvaltning </w:t>
      </w:r>
      <w:r w:rsidR="00CD3A82" w:rsidRPr="00CB2EB0">
        <w:t xml:space="preserve">2025 förändrades dels styrningen av andelen reala obligationer, dels löptidsmåttet. </w:t>
      </w:r>
      <w:r w:rsidR="006934DF" w:rsidRPr="00CB2EB0">
        <w:t xml:space="preserve">Den första förändringen innebär att </w:t>
      </w:r>
      <w:r w:rsidR="00CD3A82" w:rsidRPr="00CB2EB0">
        <w:t>Riksgäldskontoret ska fortsätta emittera realobligationer men den utstående stocken ska minska successivt. Vid utgången av 2029 ska realskulden uppgå till en målnivå på ca 80</w:t>
      </w:r>
      <w:r w:rsidR="007F02A0" w:rsidRPr="00CB2EB0">
        <w:t> </w:t>
      </w:r>
      <w:r w:rsidR="00CD3A82" w:rsidRPr="00CB2EB0">
        <w:t>miljarder kronor (nominellt belopp utan inflationskompensation).</w:t>
      </w:r>
      <w:r w:rsidR="006934DF" w:rsidRPr="00CB2EB0">
        <w:t xml:space="preserve"> Den andra ändringen innebär att statsskuldens löptid mäts som genomsnittlig räntebindningstid i</w:t>
      </w:r>
      <w:r w:rsidR="000A7FC0" w:rsidRPr="00CB2EB0">
        <w:t xml:space="preserve"> </w:t>
      </w:r>
      <w:r w:rsidR="006934DF" w:rsidRPr="00CB2EB0">
        <w:t>stället för duration.</w:t>
      </w:r>
      <w:r w:rsidR="00CD3A82" w:rsidRPr="00CB2EB0">
        <w:t xml:space="preserve"> </w:t>
      </w:r>
      <w:r w:rsidR="00C842F9" w:rsidRPr="00CB2EB0">
        <w:t xml:space="preserve">I </w:t>
      </w:r>
      <w:r w:rsidR="00AE62C9" w:rsidRPr="00CB2EB0">
        <w:fldChar w:fldCharType="begin"/>
      </w:r>
      <w:r w:rsidR="00AE62C9" w:rsidRPr="00CB2EB0">
        <w:instrText xml:space="preserve"> REF  _Ref220333011 \* Lower \h </w:instrText>
      </w:r>
      <w:r w:rsidR="00CB2EB0">
        <w:instrText xml:space="preserve"> \* MERGEFORMAT </w:instrText>
      </w:r>
      <w:r w:rsidR="00AE62C9" w:rsidRPr="00CB2EB0">
        <w:fldChar w:fldCharType="separate"/>
      </w:r>
      <w:r w:rsidR="001959AC" w:rsidRPr="00CB2EB0">
        <w:t xml:space="preserve">tabell </w:t>
      </w:r>
      <w:r w:rsidR="001959AC">
        <w:rPr>
          <w:noProof/>
        </w:rPr>
        <w:t>3</w:t>
      </w:r>
      <w:r w:rsidR="001959AC" w:rsidRPr="00CB2EB0">
        <w:t>.</w:t>
      </w:r>
      <w:r w:rsidR="001959AC">
        <w:rPr>
          <w:noProof/>
        </w:rPr>
        <w:t>1</w:t>
      </w:r>
      <w:r w:rsidR="00AE62C9" w:rsidRPr="00CB2EB0">
        <w:fldChar w:fldCharType="end"/>
      </w:r>
      <w:r w:rsidR="00AE62C9" w:rsidRPr="00CB2EB0">
        <w:t xml:space="preserve"> </w:t>
      </w:r>
      <w:r w:rsidR="00C842F9" w:rsidRPr="00CB2EB0">
        <w:t>visas förändringarna i regeringens riktlinjer avseende skuldens sammansättning och löptid som skett under utvärderings</w:t>
      </w:r>
      <w:r w:rsidR="00E6768B">
        <w:softHyphen/>
      </w:r>
      <w:r w:rsidR="00C842F9" w:rsidRPr="00CB2EB0">
        <w:t>perioden.</w:t>
      </w:r>
    </w:p>
    <w:p w14:paraId="5F5EC206" w14:textId="0F7B7502" w:rsidR="003D0C3F" w:rsidRPr="00CB2EB0" w:rsidRDefault="003D0C3F" w:rsidP="0057139E">
      <w:pPr>
        <w:pStyle w:val="TabellRubrik"/>
      </w:pPr>
      <w:bookmarkStart w:id="27" w:name="_Ref220333011"/>
      <w:r w:rsidRPr="00CB2EB0">
        <w:t xml:space="preserve">Tabell </w:t>
      </w:r>
      <w:r w:rsidRPr="00CB2EB0">
        <w:fldChar w:fldCharType="begin"/>
      </w:r>
      <w:r w:rsidRPr="00CB2EB0">
        <w:instrText xml:space="preserve"> STYLEREF 1 \s </w:instrText>
      </w:r>
      <w:r w:rsidRPr="00CB2EB0">
        <w:fldChar w:fldCharType="separate"/>
      </w:r>
      <w:r w:rsidR="001959AC">
        <w:rPr>
          <w:noProof/>
        </w:rPr>
        <w:t>3</w:t>
      </w:r>
      <w:r w:rsidRPr="00CB2EB0">
        <w:rPr>
          <w:noProof/>
        </w:rPr>
        <w:fldChar w:fldCharType="end"/>
      </w:r>
      <w:r w:rsidRPr="00CB2EB0">
        <w:t>.</w:t>
      </w:r>
      <w:fldSimple w:instr=" SEQ Tabell \* Arabic \s 1  \* MERGEFORMAT ">
        <w:r w:rsidR="001959AC">
          <w:rPr>
            <w:noProof/>
          </w:rPr>
          <w:t>1</w:t>
        </w:r>
      </w:fldSimple>
      <w:bookmarkEnd w:id="27"/>
      <w:r w:rsidRPr="00CB2EB0">
        <w:tab/>
      </w:r>
      <w:r w:rsidR="00C34FAE" w:rsidRPr="00CB2EB0">
        <w:t>R</w:t>
      </w:r>
      <w:r w:rsidR="001223E3" w:rsidRPr="00CB2EB0">
        <w:t xml:space="preserve">egeringens riktlinjer för </w:t>
      </w:r>
      <w:r w:rsidR="00C34FAE" w:rsidRPr="00CB2EB0">
        <w:t xml:space="preserve">statsskuldens sammansättning och löptid </w:t>
      </w:r>
      <w:r w:rsidR="001223E3" w:rsidRPr="00CB2EB0">
        <w:t>2021–2025</w:t>
      </w:r>
    </w:p>
    <w:tbl>
      <w:tblPr>
        <w:tblW w:w="5000" w:type="pct"/>
        <w:tblCellMar>
          <w:left w:w="0" w:type="dxa"/>
        </w:tblCellMar>
        <w:tblLook w:val="06A0" w:firstRow="1" w:lastRow="0" w:firstColumn="1" w:lastColumn="0" w:noHBand="1" w:noVBand="1"/>
      </w:tblPr>
      <w:tblGrid>
        <w:gridCol w:w="1588"/>
        <w:gridCol w:w="859"/>
        <w:gridCol w:w="862"/>
        <w:gridCol w:w="862"/>
        <w:gridCol w:w="863"/>
        <w:gridCol w:w="863"/>
      </w:tblGrid>
      <w:tr w:rsidR="00DF7D1D" w14:paraId="61831CD1" w14:textId="77777777">
        <w:trPr>
          <w:tblHeader/>
        </w:trPr>
        <w:tc>
          <w:tcPr>
            <w:tcW w:w="1346" w:type="pct"/>
            <w:tcBorders>
              <w:top w:val="single" w:sz="8" w:space="0" w:color="auto"/>
              <w:bottom w:val="single" w:sz="6" w:space="0" w:color="auto"/>
            </w:tcBorders>
            <w:shd w:val="clear" w:color="auto" w:fill="auto"/>
          </w:tcPr>
          <w:p w14:paraId="51464794" w14:textId="77777777" w:rsidR="00484114" w:rsidRPr="00CB2EB0" w:rsidRDefault="00484114" w:rsidP="003D6F49">
            <w:pPr>
              <w:pStyle w:val="TabellHuvud"/>
              <w:jc w:val="left"/>
            </w:pPr>
          </w:p>
        </w:tc>
        <w:tc>
          <w:tcPr>
            <w:tcW w:w="728" w:type="pct"/>
            <w:tcBorders>
              <w:top w:val="single" w:sz="8" w:space="0" w:color="auto"/>
              <w:bottom w:val="single" w:sz="6" w:space="0" w:color="auto"/>
            </w:tcBorders>
            <w:shd w:val="clear" w:color="auto" w:fill="auto"/>
          </w:tcPr>
          <w:p w14:paraId="1034EC15" w14:textId="6253D4D5" w:rsidR="00484114" w:rsidRPr="00CB2EB0" w:rsidRDefault="00F82C96" w:rsidP="003D6F49">
            <w:pPr>
              <w:pStyle w:val="TabellHuvud"/>
            </w:pPr>
            <w:r w:rsidRPr="00CB2EB0">
              <w:t>2021</w:t>
            </w:r>
          </w:p>
        </w:tc>
        <w:tc>
          <w:tcPr>
            <w:tcW w:w="731" w:type="pct"/>
            <w:tcBorders>
              <w:top w:val="single" w:sz="8" w:space="0" w:color="auto"/>
              <w:bottom w:val="single" w:sz="6" w:space="0" w:color="auto"/>
            </w:tcBorders>
            <w:shd w:val="clear" w:color="auto" w:fill="auto"/>
          </w:tcPr>
          <w:p w14:paraId="5951AA02" w14:textId="6E3A6BDA" w:rsidR="00484114" w:rsidRPr="00CB2EB0" w:rsidRDefault="00F82C96" w:rsidP="003D6F49">
            <w:pPr>
              <w:pStyle w:val="TabellHuvud"/>
            </w:pPr>
            <w:r w:rsidRPr="00CB2EB0">
              <w:t>2022</w:t>
            </w:r>
          </w:p>
        </w:tc>
        <w:tc>
          <w:tcPr>
            <w:tcW w:w="731" w:type="pct"/>
            <w:tcBorders>
              <w:top w:val="single" w:sz="8" w:space="0" w:color="auto"/>
              <w:bottom w:val="single" w:sz="6" w:space="0" w:color="auto"/>
            </w:tcBorders>
            <w:shd w:val="clear" w:color="auto" w:fill="auto"/>
          </w:tcPr>
          <w:p w14:paraId="2CF3FA66" w14:textId="230DCBDA" w:rsidR="00484114" w:rsidRPr="00CB2EB0" w:rsidRDefault="00F82C96" w:rsidP="003D6F49">
            <w:pPr>
              <w:pStyle w:val="TabellHuvud"/>
            </w:pPr>
            <w:r w:rsidRPr="00CB2EB0">
              <w:t>2023</w:t>
            </w:r>
          </w:p>
        </w:tc>
        <w:tc>
          <w:tcPr>
            <w:tcW w:w="732" w:type="pct"/>
            <w:tcBorders>
              <w:top w:val="single" w:sz="8" w:space="0" w:color="auto"/>
              <w:bottom w:val="single" w:sz="6" w:space="0" w:color="auto"/>
            </w:tcBorders>
            <w:shd w:val="clear" w:color="auto" w:fill="auto"/>
          </w:tcPr>
          <w:p w14:paraId="26D9F592" w14:textId="62EAD6A3" w:rsidR="00484114" w:rsidRPr="00CB2EB0" w:rsidRDefault="00F82C96" w:rsidP="003D6F49">
            <w:pPr>
              <w:pStyle w:val="TabellHuvud"/>
            </w:pPr>
            <w:r w:rsidRPr="00CB2EB0">
              <w:t>2024</w:t>
            </w:r>
          </w:p>
        </w:tc>
        <w:tc>
          <w:tcPr>
            <w:tcW w:w="732" w:type="pct"/>
            <w:tcBorders>
              <w:top w:val="single" w:sz="8" w:space="0" w:color="auto"/>
              <w:bottom w:val="single" w:sz="6" w:space="0" w:color="auto"/>
            </w:tcBorders>
            <w:shd w:val="clear" w:color="auto" w:fill="auto"/>
          </w:tcPr>
          <w:p w14:paraId="12AEA5B4" w14:textId="7D9C95CD" w:rsidR="00484114" w:rsidRPr="00CB2EB0" w:rsidRDefault="00F82C96" w:rsidP="003D6F49">
            <w:pPr>
              <w:pStyle w:val="TabellHuvud"/>
            </w:pPr>
            <w:r w:rsidRPr="00CB2EB0">
              <w:t>2025</w:t>
            </w:r>
          </w:p>
        </w:tc>
      </w:tr>
      <w:tr w:rsidR="00DF7D1D" w14:paraId="7DF55849" w14:textId="77777777">
        <w:tc>
          <w:tcPr>
            <w:tcW w:w="1346" w:type="pct"/>
            <w:shd w:val="clear" w:color="auto" w:fill="auto"/>
          </w:tcPr>
          <w:p w14:paraId="19F08483" w14:textId="12908F19" w:rsidR="00EC3E51" w:rsidRPr="00CB2EB0" w:rsidRDefault="00EC3E51" w:rsidP="00EC3E51">
            <w:pPr>
              <w:pStyle w:val="TabellRader"/>
              <w:jc w:val="left"/>
            </w:pPr>
            <w:r w:rsidRPr="00CB2EB0">
              <w:t xml:space="preserve">Reala obligationer </w:t>
            </w:r>
          </w:p>
        </w:tc>
        <w:tc>
          <w:tcPr>
            <w:tcW w:w="728" w:type="pct"/>
            <w:shd w:val="clear" w:color="auto" w:fill="auto"/>
          </w:tcPr>
          <w:p w14:paraId="3B184FF6" w14:textId="40B4F343" w:rsidR="00EC3E51" w:rsidRPr="00CB2EB0" w:rsidRDefault="00EC3E51" w:rsidP="00EC3E51">
            <w:pPr>
              <w:pStyle w:val="TabellRader"/>
            </w:pPr>
            <w:r w:rsidRPr="00CB2EB0">
              <w:t>20 %</w:t>
            </w:r>
            <w:r w:rsidR="001159CA" w:rsidRPr="00CB2EB0">
              <w:t xml:space="preserve"> av skulden</w:t>
            </w:r>
          </w:p>
        </w:tc>
        <w:tc>
          <w:tcPr>
            <w:tcW w:w="731" w:type="pct"/>
            <w:shd w:val="clear" w:color="auto" w:fill="auto"/>
          </w:tcPr>
          <w:p w14:paraId="2EC056F3" w14:textId="2ABF95E5" w:rsidR="00EC3E51" w:rsidRPr="00CB2EB0" w:rsidRDefault="001159CA" w:rsidP="00EC3E51">
            <w:pPr>
              <w:pStyle w:val="TabellRader"/>
            </w:pPr>
            <w:r w:rsidRPr="00CB2EB0">
              <w:t>20 % av skulden</w:t>
            </w:r>
          </w:p>
        </w:tc>
        <w:tc>
          <w:tcPr>
            <w:tcW w:w="731" w:type="pct"/>
            <w:shd w:val="clear" w:color="auto" w:fill="auto"/>
          </w:tcPr>
          <w:p w14:paraId="23D4862A" w14:textId="7C7E94EA" w:rsidR="00EC3E51" w:rsidRPr="00CB2EB0" w:rsidRDefault="001159CA" w:rsidP="00EC3E51">
            <w:pPr>
              <w:pStyle w:val="TabellRader"/>
            </w:pPr>
            <w:r w:rsidRPr="00CB2EB0">
              <w:t>20 % av skulden</w:t>
            </w:r>
          </w:p>
        </w:tc>
        <w:tc>
          <w:tcPr>
            <w:tcW w:w="732" w:type="pct"/>
            <w:shd w:val="clear" w:color="auto" w:fill="auto"/>
          </w:tcPr>
          <w:p w14:paraId="2B2BC397" w14:textId="17B5D708" w:rsidR="00EC3E51" w:rsidRPr="00CB2EB0" w:rsidRDefault="001159CA" w:rsidP="00EC3E51">
            <w:pPr>
              <w:pStyle w:val="TabellRader"/>
            </w:pPr>
            <w:r w:rsidRPr="00CB2EB0">
              <w:t>20 % av skulden</w:t>
            </w:r>
          </w:p>
        </w:tc>
        <w:tc>
          <w:tcPr>
            <w:tcW w:w="732" w:type="pct"/>
            <w:shd w:val="clear" w:color="auto" w:fill="auto"/>
          </w:tcPr>
          <w:p w14:paraId="48FB3286" w14:textId="13AC46E6" w:rsidR="00EC3E51" w:rsidRPr="00CB2EB0" w:rsidRDefault="001C0A82" w:rsidP="00EC3E51">
            <w:pPr>
              <w:pStyle w:val="TabellRader"/>
            </w:pPr>
            <w:r w:rsidRPr="00CB2EB0">
              <w:t>Minskas</w:t>
            </w:r>
            <w:r w:rsidR="00AD047B" w:rsidRPr="00CB2EB0">
              <w:rPr>
                <w:vertAlign w:val="superscript"/>
              </w:rPr>
              <w:t>1</w:t>
            </w:r>
          </w:p>
        </w:tc>
      </w:tr>
      <w:tr w:rsidR="00DF7D1D" w14:paraId="4848EAF8" w14:textId="77777777">
        <w:tc>
          <w:tcPr>
            <w:tcW w:w="1346" w:type="pct"/>
            <w:shd w:val="clear" w:color="auto" w:fill="auto"/>
          </w:tcPr>
          <w:p w14:paraId="4683423F" w14:textId="50A6298C" w:rsidR="00EC3E51" w:rsidRPr="00CB2EB0" w:rsidRDefault="00EC3E51" w:rsidP="00EC3E51">
            <w:pPr>
              <w:pStyle w:val="TabellRader"/>
              <w:jc w:val="left"/>
            </w:pPr>
            <w:r w:rsidRPr="00CB2EB0">
              <w:t>Valutaexponering</w:t>
            </w:r>
          </w:p>
        </w:tc>
        <w:tc>
          <w:tcPr>
            <w:tcW w:w="728" w:type="pct"/>
            <w:shd w:val="clear" w:color="auto" w:fill="auto"/>
          </w:tcPr>
          <w:p w14:paraId="349138E3" w14:textId="76AF195A" w:rsidR="00EC3E51" w:rsidRPr="00CB2EB0" w:rsidRDefault="001C0A82" w:rsidP="00EC3E51">
            <w:pPr>
              <w:pStyle w:val="TabellRader"/>
            </w:pPr>
            <w:r w:rsidRPr="00CB2EB0">
              <w:t>Oförändrad</w:t>
            </w:r>
          </w:p>
        </w:tc>
        <w:tc>
          <w:tcPr>
            <w:tcW w:w="731" w:type="pct"/>
            <w:shd w:val="clear" w:color="auto" w:fill="auto"/>
          </w:tcPr>
          <w:p w14:paraId="424039AD" w14:textId="7BCD3167" w:rsidR="00EC3E51" w:rsidRPr="00CB2EB0" w:rsidRDefault="001C0A82" w:rsidP="00EC3E51">
            <w:pPr>
              <w:pStyle w:val="TabellRader"/>
            </w:pPr>
            <w:r w:rsidRPr="00CB2EB0">
              <w:t>Oförändrad</w:t>
            </w:r>
          </w:p>
        </w:tc>
        <w:tc>
          <w:tcPr>
            <w:tcW w:w="731" w:type="pct"/>
            <w:shd w:val="clear" w:color="auto" w:fill="auto"/>
          </w:tcPr>
          <w:p w14:paraId="34F17A30" w14:textId="1FD76272" w:rsidR="00EC3E51" w:rsidRPr="00CB2EB0" w:rsidRDefault="00EC3E51" w:rsidP="00EC3E51">
            <w:pPr>
              <w:pStyle w:val="TabellRader"/>
            </w:pPr>
            <w:r w:rsidRPr="00CB2EB0">
              <w:t>Avvecklas</w:t>
            </w:r>
            <w:r w:rsidR="00AD047B" w:rsidRPr="00CB2EB0">
              <w:rPr>
                <w:vertAlign w:val="superscript"/>
              </w:rPr>
              <w:t>2</w:t>
            </w:r>
          </w:p>
        </w:tc>
        <w:tc>
          <w:tcPr>
            <w:tcW w:w="732" w:type="pct"/>
            <w:shd w:val="clear" w:color="auto" w:fill="auto"/>
          </w:tcPr>
          <w:p w14:paraId="2EE96332" w14:textId="0D18D262" w:rsidR="00EC3E51" w:rsidRPr="00CB2EB0" w:rsidRDefault="00EC3E51" w:rsidP="00EC3E51">
            <w:pPr>
              <w:pStyle w:val="TabellRader"/>
            </w:pPr>
            <w:r w:rsidRPr="00CB2EB0">
              <w:t>Avvecklas</w:t>
            </w:r>
          </w:p>
        </w:tc>
        <w:tc>
          <w:tcPr>
            <w:tcW w:w="732" w:type="pct"/>
            <w:shd w:val="clear" w:color="auto" w:fill="auto"/>
          </w:tcPr>
          <w:p w14:paraId="4A8F543F" w14:textId="3D2A2E61" w:rsidR="00EC3E51" w:rsidRPr="00CB2EB0" w:rsidRDefault="00EC3E51" w:rsidP="00EC3E51">
            <w:pPr>
              <w:pStyle w:val="TabellRader"/>
            </w:pPr>
            <w:r w:rsidRPr="00CB2EB0">
              <w:t>Avvecklas</w:t>
            </w:r>
          </w:p>
        </w:tc>
      </w:tr>
      <w:tr w:rsidR="00DF7D1D" w14:paraId="306B0F13" w14:textId="77777777">
        <w:tc>
          <w:tcPr>
            <w:tcW w:w="1346" w:type="pct"/>
            <w:tcBorders>
              <w:bottom w:val="single" w:sz="4" w:space="0" w:color="auto"/>
            </w:tcBorders>
            <w:shd w:val="clear" w:color="auto" w:fill="auto"/>
          </w:tcPr>
          <w:p w14:paraId="66806A6E" w14:textId="62C0064B" w:rsidR="00EC3E51" w:rsidRPr="00CB2EB0" w:rsidRDefault="00EC3E51" w:rsidP="00EC3E51">
            <w:pPr>
              <w:pStyle w:val="TabellRader"/>
              <w:jc w:val="left"/>
            </w:pPr>
            <w:r w:rsidRPr="00CB2EB0">
              <w:t>Nominella obligationer</w:t>
            </w:r>
          </w:p>
        </w:tc>
        <w:tc>
          <w:tcPr>
            <w:tcW w:w="728" w:type="pct"/>
            <w:tcBorders>
              <w:bottom w:val="single" w:sz="4" w:space="0" w:color="auto"/>
            </w:tcBorders>
            <w:shd w:val="clear" w:color="auto" w:fill="auto"/>
          </w:tcPr>
          <w:p w14:paraId="677FF758" w14:textId="496CAED1" w:rsidR="00EC3E51" w:rsidRPr="00CB2EB0" w:rsidRDefault="00EC3E51" w:rsidP="00EC3E51">
            <w:pPr>
              <w:pStyle w:val="TabellRader"/>
            </w:pPr>
            <w:r w:rsidRPr="00CB2EB0">
              <w:t>Resterande</w:t>
            </w:r>
          </w:p>
        </w:tc>
        <w:tc>
          <w:tcPr>
            <w:tcW w:w="731" w:type="pct"/>
            <w:tcBorders>
              <w:bottom w:val="single" w:sz="4" w:space="0" w:color="auto"/>
            </w:tcBorders>
            <w:shd w:val="clear" w:color="auto" w:fill="auto"/>
          </w:tcPr>
          <w:p w14:paraId="3340CEB3" w14:textId="4033ED6A" w:rsidR="00EC3E51" w:rsidRPr="00CB2EB0" w:rsidRDefault="00EC3E51" w:rsidP="00EC3E51">
            <w:pPr>
              <w:pStyle w:val="TabellRader"/>
            </w:pPr>
            <w:r w:rsidRPr="00CB2EB0">
              <w:t>Resterande</w:t>
            </w:r>
          </w:p>
        </w:tc>
        <w:tc>
          <w:tcPr>
            <w:tcW w:w="731" w:type="pct"/>
            <w:tcBorders>
              <w:bottom w:val="single" w:sz="4" w:space="0" w:color="auto"/>
            </w:tcBorders>
            <w:shd w:val="clear" w:color="auto" w:fill="auto"/>
          </w:tcPr>
          <w:p w14:paraId="584679CD" w14:textId="2327D653" w:rsidR="00EC3E51" w:rsidRPr="00CB2EB0" w:rsidRDefault="00EC3E51" w:rsidP="00EC3E51">
            <w:pPr>
              <w:pStyle w:val="TabellRader"/>
            </w:pPr>
            <w:r w:rsidRPr="00CB2EB0">
              <w:t>Resterande</w:t>
            </w:r>
          </w:p>
        </w:tc>
        <w:tc>
          <w:tcPr>
            <w:tcW w:w="732" w:type="pct"/>
            <w:tcBorders>
              <w:bottom w:val="single" w:sz="4" w:space="0" w:color="auto"/>
            </w:tcBorders>
            <w:shd w:val="clear" w:color="auto" w:fill="auto"/>
          </w:tcPr>
          <w:p w14:paraId="22BB7FF9" w14:textId="4A55E753" w:rsidR="00EC3E51" w:rsidRPr="00CB2EB0" w:rsidRDefault="00EC3E51" w:rsidP="00EC3E51">
            <w:pPr>
              <w:pStyle w:val="TabellRader"/>
            </w:pPr>
            <w:r w:rsidRPr="00CB2EB0">
              <w:t>Resterande</w:t>
            </w:r>
          </w:p>
        </w:tc>
        <w:tc>
          <w:tcPr>
            <w:tcW w:w="732" w:type="pct"/>
            <w:tcBorders>
              <w:bottom w:val="single" w:sz="4" w:space="0" w:color="auto"/>
            </w:tcBorders>
            <w:shd w:val="clear" w:color="auto" w:fill="auto"/>
          </w:tcPr>
          <w:p w14:paraId="0E292669" w14:textId="5C982554" w:rsidR="00EC3E51" w:rsidRPr="00CB2EB0" w:rsidRDefault="00EC3E51" w:rsidP="00EC3E51">
            <w:pPr>
              <w:pStyle w:val="TabellRader"/>
            </w:pPr>
            <w:r w:rsidRPr="00CB2EB0">
              <w:t>Resterande</w:t>
            </w:r>
          </w:p>
        </w:tc>
      </w:tr>
      <w:tr w:rsidR="00DF7D1D" w14:paraId="162E23B9" w14:textId="77777777">
        <w:tc>
          <w:tcPr>
            <w:tcW w:w="1346" w:type="pct"/>
            <w:tcBorders>
              <w:top w:val="single" w:sz="4" w:space="0" w:color="auto"/>
              <w:bottom w:val="single" w:sz="8" w:space="0" w:color="auto"/>
            </w:tcBorders>
            <w:shd w:val="clear" w:color="auto" w:fill="auto"/>
          </w:tcPr>
          <w:p w14:paraId="113EBE67" w14:textId="709CB3CC" w:rsidR="00EC3E51" w:rsidRPr="00CB2EB0" w:rsidRDefault="00EC3E51" w:rsidP="00EC3E51">
            <w:pPr>
              <w:pStyle w:val="TabellSlutsumma"/>
              <w:jc w:val="left"/>
              <w:rPr>
                <w:b w:val="0"/>
                <w:bCs/>
              </w:rPr>
            </w:pPr>
            <w:r w:rsidRPr="00CB2EB0">
              <w:rPr>
                <w:b w:val="0"/>
                <w:bCs/>
              </w:rPr>
              <w:t>Statsskuldens löptid</w:t>
            </w:r>
          </w:p>
        </w:tc>
        <w:tc>
          <w:tcPr>
            <w:tcW w:w="728" w:type="pct"/>
            <w:tcBorders>
              <w:top w:val="single" w:sz="4" w:space="0" w:color="auto"/>
              <w:bottom w:val="single" w:sz="8" w:space="0" w:color="auto"/>
            </w:tcBorders>
            <w:shd w:val="clear" w:color="auto" w:fill="auto"/>
          </w:tcPr>
          <w:p w14:paraId="2F1B3316" w14:textId="0EBECD67" w:rsidR="00EC3E51" w:rsidRPr="00CB2EB0" w:rsidRDefault="00094A25" w:rsidP="00EC3E51">
            <w:pPr>
              <w:pStyle w:val="TabellSlutsumma"/>
              <w:rPr>
                <w:b w:val="0"/>
                <w:bCs/>
              </w:rPr>
            </w:pPr>
            <w:r w:rsidRPr="00CB2EB0">
              <w:rPr>
                <w:b w:val="0"/>
                <w:bCs/>
              </w:rPr>
              <w:t>3,5–6,0</w:t>
            </w:r>
          </w:p>
        </w:tc>
        <w:tc>
          <w:tcPr>
            <w:tcW w:w="731" w:type="pct"/>
            <w:tcBorders>
              <w:top w:val="single" w:sz="4" w:space="0" w:color="auto"/>
              <w:bottom w:val="single" w:sz="8" w:space="0" w:color="auto"/>
            </w:tcBorders>
            <w:shd w:val="clear" w:color="auto" w:fill="auto"/>
          </w:tcPr>
          <w:p w14:paraId="41839946" w14:textId="2459003C" w:rsidR="00EC3E51" w:rsidRPr="00CB2EB0" w:rsidRDefault="00094A25" w:rsidP="00EC3E51">
            <w:pPr>
              <w:pStyle w:val="TabellSlutsumma"/>
              <w:rPr>
                <w:b w:val="0"/>
                <w:bCs/>
              </w:rPr>
            </w:pPr>
            <w:r w:rsidRPr="00CB2EB0">
              <w:rPr>
                <w:b w:val="0"/>
                <w:bCs/>
              </w:rPr>
              <w:t>3,5–6,0</w:t>
            </w:r>
          </w:p>
        </w:tc>
        <w:tc>
          <w:tcPr>
            <w:tcW w:w="731" w:type="pct"/>
            <w:tcBorders>
              <w:top w:val="single" w:sz="4" w:space="0" w:color="auto"/>
              <w:bottom w:val="single" w:sz="8" w:space="0" w:color="auto"/>
            </w:tcBorders>
            <w:shd w:val="clear" w:color="auto" w:fill="auto"/>
          </w:tcPr>
          <w:p w14:paraId="709BFACD" w14:textId="0EB5C409" w:rsidR="00EC3E51" w:rsidRPr="00CB2EB0" w:rsidRDefault="00094A25" w:rsidP="00EC3E51">
            <w:pPr>
              <w:pStyle w:val="TabellSlutsumma"/>
              <w:rPr>
                <w:b w:val="0"/>
                <w:bCs/>
              </w:rPr>
            </w:pPr>
            <w:r w:rsidRPr="00CB2EB0">
              <w:rPr>
                <w:b w:val="0"/>
                <w:bCs/>
              </w:rPr>
              <w:t>3,5–6,0</w:t>
            </w:r>
          </w:p>
        </w:tc>
        <w:tc>
          <w:tcPr>
            <w:tcW w:w="732" w:type="pct"/>
            <w:tcBorders>
              <w:top w:val="single" w:sz="4" w:space="0" w:color="auto"/>
              <w:bottom w:val="single" w:sz="8" w:space="0" w:color="auto"/>
            </w:tcBorders>
            <w:shd w:val="clear" w:color="auto" w:fill="auto"/>
          </w:tcPr>
          <w:p w14:paraId="2AF18BA7" w14:textId="0F62C8B0" w:rsidR="00EC3E51" w:rsidRPr="00CB2EB0" w:rsidRDefault="00094A25" w:rsidP="00EC3E51">
            <w:pPr>
              <w:pStyle w:val="TabellSlutsumma"/>
              <w:rPr>
                <w:b w:val="0"/>
                <w:bCs/>
              </w:rPr>
            </w:pPr>
            <w:r w:rsidRPr="00CB2EB0">
              <w:rPr>
                <w:b w:val="0"/>
                <w:bCs/>
              </w:rPr>
              <w:t>3,5–6,0</w:t>
            </w:r>
          </w:p>
        </w:tc>
        <w:tc>
          <w:tcPr>
            <w:tcW w:w="732" w:type="pct"/>
            <w:tcBorders>
              <w:top w:val="single" w:sz="4" w:space="0" w:color="auto"/>
              <w:bottom w:val="single" w:sz="8" w:space="0" w:color="auto"/>
            </w:tcBorders>
            <w:shd w:val="clear" w:color="auto" w:fill="auto"/>
          </w:tcPr>
          <w:p w14:paraId="0F873ED7" w14:textId="3E2BACAF" w:rsidR="00EC3E51" w:rsidRPr="00CB2EB0" w:rsidRDefault="00094A25" w:rsidP="00EC3E51">
            <w:pPr>
              <w:pStyle w:val="TabellSlutsumma"/>
              <w:rPr>
                <w:b w:val="0"/>
                <w:bCs/>
              </w:rPr>
            </w:pPr>
            <w:r w:rsidRPr="00CB2EB0">
              <w:rPr>
                <w:b w:val="0"/>
                <w:bCs/>
              </w:rPr>
              <w:t>3,5–6,0</w:t>
            </w:r>
            <w:r w:rsidR="00F84751" w:rsidRPr="00CB2EB0">
              <w:rPr>
                <w:b w:val="0"/>
                <w:bCs/>
                <w:vertAlign w:val="superscript"/>
              </w:rPr>
              <w:t>3</w:t>
            </w:r>
          </w:p>
        </w:tc>
      </w:tr>
    </w:tbl>
    <w:p w14:paraId="44D7B899" w14:textId="566F77DB" w:rsidR="003D0C3F" w:rsidRPr="00CB2EB0" w:rsidRDefault="00AD047B" w:rsidP="00AD047B">
      <w:pPr>
        <w:pStyle w:val="TabellFotnot"/>
      </w:pPr>
      <w:r w:rsidRPr="00CB2EB0">
        <w:rPr>
          <w:vertAlign w:val="superscript"/>
        </w:rPr>
        <w:t xml:space="preserve">1 </w:t>
      </w:r>
      <w:r w:rsidRPr="00CB2EB0">
        <w:t>År 2025</w:t>
      </w:r>
      <w:r w:rsidRPr="00CB2EB0">
        <w:rPr>
          <w:vertAlign w:val="superscript"/>
        </w:rPr>
        <w:t xml:space="preserve"> </w:t>
      </w:r>
      <w:r w:rsidRPr="00CB2EB0">
        <w:t>påbörjades</w:t>
      </w:r>
      <w:r w:rsidR="00A77CF0" w:rsidRPr="00CB2EB0">
        <w:t xml:space="preserve"> en succesiv</w:t>
      </w:r>
      <w:r w:rsidRPr="00CB2EB0">
        <w:t xml:space="preserve"> minskning av realskulden som 2029 ska uppgå till en målnivå på ca 80</w:t>
      </w:r>
      <w:r w:rsidR="00A975C5">
        <w:rPr>
          <w:rFonts w:ascii="Cambria" w:hAnsi="Cambria"/>
        </w:rPr>
        <w:t> </w:t>
      </w:r>
      <w:r w:rsidRPr="00CB2EB0">
        <w:t>miljarder kronor.</w:t>
      </w:r>
    </w:p>
    <w:p w14:paraId="61AF2B45" w14:textId="7532EAB6" w:rsidR="00AD047B" w:rsidRPr="00CB2EB0" w:rsidRDefault="00AD047B" w:rsidP="00AD047B">
      <w:pPr>
        <w:pStyle w:val="TabellFotnot"/>
      </w:pPr>
      <w:r w:rsidRPr="00CB2EB0">
        <w:rPr>
          <w:vertAlign w:val="superscript"/>
        </w:rPr>
        <w:t xml:space="preserve">2 </w:t>
      </w:r>
      <w:r w:rsidRPr="00CB2EB0">
        <w:t>År 2023 påbörjades avvecklingen av valutaexponeringen för att anta riktvärdet noll den 1 januari 2027</w:t>
      </w:r>
    </w:p>
    <w:p w14:paraId="71EBEACD" w14:textId="3BADD95E" w:rsidR="00E87286" w:rsidRPr="00CB2EB0" w:rsidRDefault="00F84751" w:rsidP="009368C3">
      <w:pPr>
        <w:pStyle w:val="TabellFotnot"/>
      </w:pPr>
      <w:r w:rsidRPr="00CB2EB0">
        <w:rPr>
          <w:vertAlign w:val="superscript"/>
        </w:rPr>
        <w:t>3</w:t>
      </w:r>
      <w:r w:rsidRPr="00CB2EB0">
        <w:t xml:space="preserve"> </w:t>
      </w:r>
      <w:r w:rsidR="00544381" w:rsidRPr="00CB2EB0">
        <w:t>Fr.o.m.</w:t>
      </w:r>
      <w:r w:rsidR="00E21413" w:rsidRPr="00CB2EB0">
        <w:t xml:space="preserve"> å</w:t>
      </w:r>
      <w:r w:rsidRPr="00CB2EB0">
        <w:t xml:space="preserve">r 2025 </w:t>
      </w:r>
      <w:r w:rsidR="00E21413" w:rsidRPr="00CB2EB0">
        <w:t>mäts löptiden som genomsnittlig räntebindningstid, i</w:t>
      </w:r>
      <w:r w:rsidR="00243F6F">
        <w:rPr>
          <w:rFonts w:ascii="Cambria" w:hAnsi="Cambria"/>
        </w:rPr>
        <w:t> </w:t>
      </w:r>
      <w:r w:rsidR="00E21413" w:rsidRPr="00CB2EB0">
        <w:t xml:space="preserve">stället för som tidigare som duration. </w:t>
      </w:r>
    </w:p>
    <w:p w14:paraId="59C66474" w14:textId="77777777" w:rsidR="007A6C5D" w:rsidRPr="00CB2EB0" w:rsidRDefault="007A6C5D" w:rsidP="009368C3">
      <w:pPr>
        <w:pStyle w:val="TabellFotnot"/>
      </w:pPr>
    </w:p>
    <w:p w14:paraId="699F625E" w14:textId="682455BC" w:rsidR="00F815FD" w:rsidRPr="00CB2EB0" w:rsidRDefault="002F0EC4" w:rsidP="002F0EC4">
      <w:pPr>
        <w:pStyle w:val="Brdtextefterpkt-listaram"/>
      </w:pPr>
      <w:r w:rsidRPr="00CB2EB0">
        <w:t>I sin utvärderingsrapport bedömer Statskontoret att regeringen i rikt</w:t>
      </w:r>
      <w:r w:rsidR="00BE7F80">
        <w:softHyphen/>
      </w:r>
      <w:r w:rsidRPr="00CB2EB0">
        <w:t>linjerna för utvärderingsperioden har adresserat större omvärlds</w:t>
      </w:r>
      <w:r w:rsidR="00BC7062">
        <w:softHyphen/>
      </w:r>
      <w:r w:rsidRPr="00CB2EB0">
        <w:t xml:space="preserve">förändringar och på ett övergripande plan övervägt om de föranleder ändringar i riktlinjerna. </w:t>
      </w:r>
      <w:r w:rsidR="00ED1406" w:rsidRPr="00CB2EB0">
        <w:t>Enligt Statskontoret är det vid just sådana större förändringar särskilt angeläget att regeringen gör en samlad bedömning av statsskuldsförvaltningen.</w:t>
      </w:r>
    </w:p>
    <w:p w14:paraId="7ABCA82A" w14:textId="05827EAB" w:rsidR="002F0EC4" w:rsidRPr="00CB2EB0" w:rsidRDefault="00F815FD" w:rsidP="00C50F9A">
      <w:pPr>
        <w:pStyle w:val="Brdtextmedindrag"/>
      </w:pPr>
      <w:r w:rsidRPr="00CB2EB0">
        <w:rPr>
          <w:rFonts w:eastAsiaTheme="minorHAnsi"/>
        </w:rPr>
        <w:t xml:space="preserve">Statskontoret lyfter </w:t>
      </w:r>
      <w:r w:rsidR="00B12E4B" w:rsidRPr="00CB2EB0">
        <w:rPr>
          <w:rFonts w:eastAsiaTheme="minorHAnsi"/>
        </w:rPr>
        <w:t xml:space="preserve">fram </w:t>
      </w:r>
      <w:r w:rsidRPr="00CB2EB0">
        <w:rPr>
          <w:rFonts w:eastAsiaTheme="minorHAnsi"/>
        </w:rPr>
        <w:t xml:space="preserve">frågan om vilka faktorer som </w:t>
      </w:r>
      <w:r w:rsidR="004B679E" w:rsidRPr="00CB2EB0">
        <w:rPr>
          <w:rFonts w:eastAsiaTheme="minorHAnsi"/>
        </w:rPr>
        <w:t xml:space="preserve">uttryckligen </w:t>
      </w:r>
      <w:r w:rsidRPr="00CB2EB0">
        <w:rPr>
          <w:rFonts w:eastAsiaTheme="minorHAnsi"/>
        </w:rPr>
        <w:t xml:space="preserve">bör nämnas i regeringens samlade bedömning till grund för riktlinjebesluten. Fokus har legat på att bedöma om ändrade förutsättningar föranleder justeringar av riktlinjerna. </w:t>
      </w:r>
      <w:r w:rsidR="00E57F3A" w:rsidRPr="00CB2EB0">
        <w:rPr>
          <w:rFonts w:eastAsiaTheme="minorHAnsi"/>
        </w:rPr>
        <w:t xml:space="preserve">Regeringen gör dock inte en samlad analys av alla relevanta faktorer varje år. Det är enligt Statskontoret inte heller nödvändigt. Många faktorer, som demografi, förändras långsamt och andra faktorer, som långsiktiga räntenivåer, kan vara stabila längre perioder för att sedan plötsligt ändras. Det kan ändå ha ett värde att emellanåt dokumentera en förnyad bedömning av de viktigaste faktorerna för avvägningen mellan kostnad och risk. Det skulle </w:t>
      </w:r>
      <w:r w:rsidR="00B353AD" w:rsidRPr="00CB2EB0">
        <w:rPr>
          <w:rFonts w:eastAsiaTheme="minorHAnsi"/>
        </w:rPr>
        <w:t xml:space="preserve">enligt Statskontoret </w:t>
      </w:r>
      <w:r w:rsidR="00E57F3A" w:rsidRPr="00CB2EB0">
        <w:rPr>
          <w:rFonts w:eastAsiaTheme="minorHAnsi"/>
        </w:rPr>
        <w:t>kunna göras samlat, t.ex. vart femte år, eller genom att analysera någon eller några faktorer varje år</w:t>
      </w:r>
      <w:r w:rsidRPr="00CB2EB0">
        <w:rPr>
          <w:rFonts w:eastAsiaTheme="minorHAnsi"/>
        </w:rPr>
        <w:t>.</w:t>
      </w:r>
    </w:p>
    <w:p w14:paraId="68522A34" w14:textId="139CA041" w:rsidR="00E87286" w:rsidRPr="00CB2EB0" w:rsidRDefault="00E87286" w:rsidP="00FC17EB">
      <w:pPr>
        <w:pStyle w:val="Rubrik5efterram"/>
        <w:outlineLvl w:val="2"/>
      </w:pPr>
      <w:r w:rsidRPr="00CB2EB0">
        <w:lastRenderedPageBreak/>
        <w:t>Statsskuldens sammansättning – skuldandelar</w:t>
      </w:r>
    </w:p>
    <w:p w14:paraId="0BD9EAFC" w14:textId="77777777" w:rsidR="00465872" w:rsidRPr="00CB2EB0" w:rsidRDefault="00921408" w:rsidP="006D2129">
      <w:pPr>
        <w:pStyle w:val="Brdtext"/>
        <w:rPr>
          <w:u w:val="single"/>
        </w:rPr>
      </w:pPr>
      <w:r w:rsidRPr="00CB2EB0">
        <w:rPr>
          <w:u w:val="single"/>
        </w:rPr>
        <w:t>Styrningen av andelen real skuld</w:t>
      </w:r>
    </w:p>
    <w:p w14:paraId="42F9D77A" w14:textId="6BD54039" w:rsidR="003E1FB7" w:rsidRPr="00CB2EB0" w:rsidRDefault="006D2129" w:rsidP="006D2129">
      <w:pPr>
        <w:pStyle w:val="Brdtext"/>
      </w:pPr>
      <w:r w:rsidRPr="00CB2EB0">
        <w:t>Riksgäldskontoret har under 2024 genomfört</w:t>
      </w:r>
      <w:r w:rsidR="003E1FB7" w:rsidRPr="00CB2EB0">
        <w:t xml:space="preserve"> en samlad bedömning av om realupplåningen bidrar till att minska kostnaderna för statsskulden, något som Ekonomistyrningsverket har efterfrågat i tidigare utvärderingar.</w:t>
      </w:r>
      <w:r w:rsidR="00661189" w:rsidRPr="00CB2EB0">
        <w:t xml:space="preserve"> </w:t>
      </w:r>
      <w:r w:rsidR="003E1FB7" w:rsidRPr="00CB2EB0">
        <w:t xml:space="preserve">Riksgäldskontoret </w:t>
      </w:r>
      <w:r w:rsidRPr="00CB2EB0">
        <w:t>kom fram till att både kostnader och risk sannolikt är högre för realupplåning än för nominell upplåning</w:t>
      </w:r>
      <w:r w:rsidR="003E1FB7" w:rsidRPr="00CB2EB0">
        <w:t>.</w:t>
      </w:r>
    </w:p>
    <w:p w14:paraId="7784E3EE" w14:textId="46DFDF3E" w:rsidR="006D2129" w:rsidRPr="00CB2EB0" w:rsidRDefault="00BA2D46" w:rsidP="003E1FB7">
      <w:pPr>
        <w:pStyle w:val="Brdtextmedindrag"/>
      </w:pPr>
      <w:r w:rsidRPr="00CB2EB0">
        <w:t>Regeringen beslutade i</w:t>
      </w:r>
      <w:r w:rsidR="006D2129" w:rsidRPr="00CB2EB0">
        <w:t xml:space="preserve"> riktlinjerna för 2025 </w:t>
      </w:r>
      <w:r w:rsidRPr="00CB2EB0">
        <w:t>a</w:t>
      </w:r>
      <w:r w:rsidR="006D2129" w:rsidRPr="00CB2EB0">
        <w:t>tt minska realskulden till en målnivå på 80</w:t>
      </w:r>
      <w:r w:rsidR="00661189" w:rsidRPr="00CB2EB0">
        <w:t> </w:t>
      </w:r>
      <w:r w:rsidR="006D2129" w:rsidRPr="00CB2EB0">
        <w:t xml:space="preserve">miljarder kronor i nominellt belopp. Regeringen tog särskilt fasta på att den nuvarande andelen realskuld varken bidrar till att minska de samlade kostnaderna eller riskerna i statsskulden. Samtidigt bedömde regeringen att det fanns skäl för att behålla skuldslaget som en mindre del av statsskulden. Ett skäl är att realskulden skulle kunna bli ett kostnadsminimerade inslag i framtiden. Ett annat skäl är att </w:t>
      </w:r>
      <w:r w:rsidR="00AA7B75" w:rsidRPr="00CB2EB0">
        <w:t>Riksgäldskontoret</w:t>
      </w:r>
      <w:r w:rsidR="006D2129" w:rsidRPr="00CB2EB0">
        <w:t xml:space="preserve"> i framtiden skulle kunna behöva öka upplåningen kraftigt. Genom att låna i flera skuldslag når man potentiellt fler investerare. Regeringen noterade också att </w:t>
      </w:r>
      <w:r w:rsidR="00AA7B75" w:rsidRPr="00CB2EB0">
        <w:t>Riksgäldskontoret</w:t>
      </w:r>
      <w:r w:rsidR="006D2129" w:rsidRPr="00CB2EB0">
        <w:t xml:space="preserve"> bedömde att det, givet förutsättningarna med en låg statsskuld och en försämrad marknadslikviditet för statsobligationer, är svårt att upprätthålla en likvid andrahandsmarknad för både nominella och reala obligationer. Regeringens bedömning var att det fanns skäl att prioritera nominella obligationer, något som även Ekonomistyrningsverket påpekat i flera utvärderingar.</w:t>
      </w:r>
    </w:p>
    <w:p w14:paraId="1715DA9C" w14:textId="78C486F7" w:rsidR="00795172" w:rsidRPr="00CB2EB0" w:rsidRDefault="00795172" w:rsidP="003E507F">
      <w:pPr>
        <w:pStyle w:val="Brdtextmedindrag"/>
      </w:pPr>
      <w:r w:rsidRPr="00CB2EB0">
        <w:t>Riksgäldskontoret har i sitt utvärderingsunderlag</w:t>
      </w:r>
      <w:r w:rsidR="00DC5B60" w:rsidRPr="00CB2EB0">
        <w:t xml:space="preserve"> för 2025</w:t>
      </w:r>
      <w:r w:rsidRPr="00CB2EB0">
        <w:t xml:space="preserve"> gjort en uppdaterad analys av den analys som låg till grund för riktlinjebeslutet. Baserat på kostnadsanalysen ser Riksgäldskontoret hittills inga tecken på att investerarna kollektivt börjat värdera inflationsskyddet högre än den bättre likviditeten i nominella statsobligationer. Prissättningen har alltså inte utvecklats till realobligationernas fördel sett utifrån ett emittent</w:t>
      </w:r>
      <w:r w:rsidR="00611AE1">
        <w:softHyphen/>
      </w:r>
      <w:r w:rsidRPr="00CB2EB0">
        <w:t>perspektiv.</w:t>
      </w:r>
      <w:r w:rsidR="003E507F" w:rsidRPr="00CB2EB0">
        <w:t xml:space="preserve"> I riktlinjeförslaget för 2026 gjorde Riksgäldskontoret också en uppdaterad och fördjupad studie av statsskuldens kostnad och risk. Denna analys bekräftade tidigare resultat och visade att realobligationer har både högre förväntad kostnad och högre risk.</w:t>
      </w:r>
      <w:r w:rsidRPr="00CB2EB0">
        <w:t xml:space="preserve"> </w:t>
      </w:r>
    </w:p>
    <w:p w14:paraId="6F3C5BED" w14:textId="75948496" w:rsidR="00972F0C" w:rsidRPr="00CB2EB0" w:rsidRDefault="009849AF" w:rsidP="006D2129">
      <w:pPr>
        <w:pStyle w:val="Brdtextmedindrag"/>
      </w:pPr>
      <w:r w:rsidRPr="00CB2EB0">
        <w:t>Statskontoret bedömer regeringens beslut som välgrundat.</w:t>
      </w:r>
      <w:r w:rsidRPr="00CB2EB0" w:rsidDel="009849AF">
        <w:t xml:space="preserve"> </w:t>
      </w:r>
      <w:r w:rsidR="007E70E8" w:rsidRPr="00CB2EB0">
        <w:t xml:space="preserve">Statskontoret välkomnar </w:t>
      </w:r>
      <w:r w:rsidR="00AA7B75" w:rsidRPr="00CB2EB0">
        <w:t>Riksgäldskontoret</w:t>
      </w:r>
      <w:r w:rsidR="007E70E8" w:rsidRPr="00CB2EB0">
        <w:t>s analys</w:t>
      </w:r>
      <w:r w:rsidR="00755B99" w:rsidRPr="00CB2EB0">
        <w:t xml:space="preserve"> och bedömer </w:t>
      </w:r>
      <w:r w:rsidR="00972F0C" w:rsidRPr="00CB2EB0">
        <w:t>att den är välgjord</w:t>
      </w:r>
      <w:r w:rsidR="007E70E8" w:rsidRPr="00CB2EB0">
        <w:t xml:space="preserve">. </w:t>
      </w:r>
      <w:r w:rsidRPr="00CB2EB0">
        <w:t xml:space="preserve">En ofrånkomlig svårighet med att analysera kostnadsskillnaden mellan nominell och real upplåning är att förväntad inflation inte är direkt observerbar. </w:t>
      </w:r>
      <w:r w:rsidR="00B07E88" w:rsidRPr="00CB2EB0">
        <w:t>Riksgäldskontoret</w:t>
      </w:r>
      <w:r w:rsidRPr="00CB2EB0">
        <w:t xml:space="preserve"> har därför skattat framtida inflation med enkätbaserade inflationsförväntningar. Det är en osäkerhetsfaktor, men enligt Statskontoret antagligen den bästa möjliga metoden. </w:t>
      </w:r>
    </w:p>
    <w:p w14:paraId="1308DAAF" w14:textId="0425B72B" w:rsidR="00C131E9" w:rsidRPr="00CB2EB0" w:rsidRDefault="009849AF" w:rsidP="00C131E9">
      <w:pPr>
        <w:pStyle w:val="Brdtextmedindrag"/>
      </w:pPr>
      <w:r w:rsidRPr="00CB2EB0">
        <w:t>Statskontoret noterar att den beräknade kostnadsnackdelen för real</w:t>
      </w:r>
      <w:r w:rsidR="002A4F46">
        <w:softHyphen/>
      </w:r>
      <w:r w:rsidRPr="00CB2EB0">
        <w:t>upplåningen ibland uttrycks i termer av ett faktum snarare än ett förhållande som har hög sannolikhet. Då det alltid finns en risk för att modeller övertolkas ser Statskontoret gärna en viss försiktighet i uttrycks</w:t>
      </w:r>
      <w:r w:rsidR="002A4F46">
        <w:softHyphen/>
      </w:r>
      <w:r w:rsidRPr="00CB2EB0">
        <w:t>sättet på denna punkt</w:t>
      </w:r>
      <w:r w:rsidR="00C131E9" w:rsidRPr="00CB2EB0">
        <w:t>.</w:t>
      </w:r>
    </w:p>
    <w:p w14:paraId="6CDAE9E7" w14:textId="0C94A251" w:rsidR="007E70E8" w:rsidRPr="00CB2EB0" w:rsidRDefault="00FC2D63" w:rsidP="00C266AD">
      <w:pPr>
        <w:pStyle w:val="Brdtextmedindrag"/>
      </w:pPr>
      <w:r w:rsidRPr="00CB2EB0">
        <w:t>Statskontoret noterar att det inte framkommit någon ny information som talar för att ompröva beslutet</w:t>
      </w:r>
      <w:r w:rsidR="00B07E88" w:rsidRPr="00CB2EB0">
        <w:t xml:space="preserve"> att minska realupplåningen</w:t>
      </w:r>
      <w:r w:rsidRPr="00CB2EB0">
        <w:t xml:space="preserve">. </w:t>
      </w:r>
      <w:r w:rsidR="009849AF" w:rsidRPr="00CB2EB0">
        <w:t xml:space="preserve">Statskontoret ser positivt på att </w:t>
      </w:r>
      <w:r w:rsidR="00B07E88" w:rsidRPr="00CB2EB0">
        <w:t>Riksgäldskontoret</w:t>
      </w:r>
      <w:r w:rsidR="009849AF" w:rsidRPr="00CB2EB0">
        <w:t xml:space="preserve"> avser att i framtiden kontinuerligt analysera förväntade kostnadsskillnader mellan real och nominell upplåning. </w:t>
      </w:r>
      <w:r w:rsidR="003A02D6" w:rsidRPr="00CB2EB0">
        <w:t>Statskontoret anser att d</w:t>
      </w:r>
      <w:r w:rsidR="009849AF" w:rsidRPr="00CB2EB0">
        <w:t xml:space="preserve">et är angeläget då förändrade </w:t>
      </w:r>
      <w:r w:rsidR="009849AF" w:rsidRPr="00CB2EB0">
        <w:lastRenderedPageBreak/>
        <w:t>förhållanden eller förbättrade metoder att skatta inflationsförväntningarna kan motivera en ny bedömning av realupplåningens omfattning. Samtidigt är det viktigt att upplåningen förblir förutsägbar för investerare, vilket talar för viss återhållsamhet med förändringar.</w:t>
      </w:r>
    </w:p>
    <w:p w14:paraId="3DA36643" w14:textId="77777777" w:rsidR="00465872" w:rsidRPr="00CB2EB0" w:rsidRDefault="00465872" w:rsidP="00C266AD">
      <w:pPr>
        <w:pStyle w:val="Brdtextmedindrag"/>
      </w:pPr>
    </w:p>
    <w:p w14:paraId="5473F380" w14:textId="77777777" w:rsidR="00465872" w:rsidRPr="00CB2EB0" w:rsidRDefault="00465872" w:rsidP="00CB2EB0">
      <w:pPr>
        <w:pStyle w:val="Brdtext"/>
        <w:rPr>
          <w:i/>
          <w:u w:val="single"/>
        </w:rPr>
      </w:pPr>
      <w:r w:rsidRPr="00CB2EB0">
        <w:rPr>
          <w:u w:val="single"/>
        </w:rPr>
        <w:t>Styrningen av valutaexponeringen</w:t>
      </w:r>
    </w:p>
    <w:p w14:paraId="7F516AC2" w14:textId="7634C0BF" w:rsidR="00465872" w:rsidRPr="00CB2EB0" w:rsidRDefault="00465872" w:rsidP="00465872">
      <w:pPr>
        <w:pStyle w:val="Brdtext"/>
      </w:pPr>
      <w:r w:rsidRPr="00CB2EB0">
        <w:t>Inriktningen har sedan en lång tid tillbaka varit att minska valuta</w:t>
      </w:r>
      <w:r w:rsidR="007F0EF8">
        <w:softHyphen/>
      </w:r>
      <w:r w:rsidRPr="00CB2EB0">
        <w:t>exponeringen i statsskulden. I regeringens riktlinjer för statsskuldens förvaltning för åren 2017–2019 angavs det att valutaexponeringen skulle minska med högst motsvarande 30 miljarder kronor per år. Exponeringen skulle beräknas så att förändringar i kronans växelkurs exkluderades.</w:t>
      </w:r>
    </w:p>
    <w:p w14:paraId="71799EF1" w14:textId="0D55ED12" w:rsidR="00465872" w:rsidRPr="00CB2EB0" w:rsidRDefault="00465872" w:rsidP="00465872">
      <w:pPr>
        <w:pStyle w:val="Brdtextmedindrag"/>
      </w:pPr>
      <w:r w:rsidRPr="00CB2EB0">
        <w:t>År 2020 ändrades riktlinjerna för valutaexponeringen från att exponeringen skulle minska till att minskningen upphör i avvaktan på Riksgäldskontorets analys av statsskuldens strategiska valutaexponering. Bakgrunden till förändringen var att Riksgäldskontoret i förslag till riktlinjer för 2020 framförde att myndigheten beslutat att genomföra en ny analys av statsskuldens strategiska valutaexponering med anledning av de föregående årens snabba förändringar på de finansiella marknaderna. I</w:t>
      </w:r>
      <w:r w:rsidR="00B60882">
        <w:t> </w:t>
      </w:r>
      <w:r w:rsidRPr="00CB2EB0">
        <w:t>väntan på analysen avvaktade regeringen med minskningen av valuta</w:t>
      </w:r>
      <w:r w:rsidR="008835EA">
        <w:softHyphen/>
      </w:r>
      <w:r w:rsidRPr="00CB2EB0">
        <w:t xml:space="preserve">exponeringen. </w:t>
      </w:r>
    </w:p>
    <w:p w14:paraId="61D3772A" w14:textId="77777777" w:rsidR="00465872" w:rsidRPr="00CB2EB0" w:rsidRDefault="00465872" w:rsidP="00465872">
      <w:pPr>
        <w:pStyle w:val="Brdtextmedindrag"/>
      </w:pPr>
      <w:r w:rsidRPr="00CB2EB0">
        <w:t xml:space="preserve">Riksgäldskontorets slutliga analys presenterades i samband med förslagen till riktlinjer 2023–2026. Resultatet av analysen visade att valutaexponering inte ger någon systematisk besparing samtidigt som risken i form av kostnadsvariation ökar. Riktvärdet bör alltså vara noll. Statsskuldens faktiska valutaexponering kommer dock att variera runt riktvärdet till följd av Riksgäldskontorets hantering av valutaflöden och valutarisker i den löpande verksamheten. </w:t>
      </w:r>
    </w:p>
    <w:p w14:paraId="088F6A97" w14:textId="363D3A7E" w:rsidR="00465872" w:rsidRPr="00CB2EB0" w:rsidRDefault="00465872" w:rsidP="00465872">
      <w:pPr>
        <w:pStyle w:val="Brdtextmedindrag"/>
      </w:pPr>
      <w:r w:rsidRPr="00CB2EB0">
        <w:t>Regeringen fastställde i riktlinjebeslutet för 2023 att statsskuldens exponering i utländsk valuta ska avvecklas. Detta ska göras successivt från början av 2023 t.o.m. slutet av 2026 för att anta riktvärdet noll fr.o.m. 2027. Avvecklingen av statsskuldens exponering i utländsk valuta ska utvärderas mot en jämn minskningstakt under perioden 2023–2026. Att utvärderingen görs mot en jämn minskningstakt är inte styrande för den faktiska avvecklingstakt som Riksgäldskontoret beslutar. Riksgäldskontoret beslutar med andra ord om den faktiska avvecklingstakten. Riksgäldskontoret har bedömt att det tillvägagångs</w:t>
      </w:r>
      <w:r w:rsidR="007A4F43">
        <w:softHyphen/>
      </w:r>
      <w:r w:rsidRPr="00CB2EB0">
        <w:t>sättet inte påverkar kronkursen.</w:t>
      </w:r>
    </w:p>
    <w:p w14:paraId="35A0B396" w14:textId="10EB1FD2" w:rsidR="00AA4EE5" w:rsidRPr="00CB2EB0" w:rsidRDefault="00AA4EE5" w:rsidP="00AA4EE5">
      <w:pPr>
        <w:pStyle w:val="Brdtextmedindrag"/>
      </w:pPr>
      <w:r w:rsidRPr="00CB2EB0">
        <w:t>Sett över hela jämförelseperioden har beslutet att pausa avvecklingen enligt Riksgäldskontorets analys hittills inneburit en merkostnad på 4,4 miljarder kronor jämfört med alternativscenariot. Totalt sedan avvecklingen återstartade har avstegen</w:t>
      </w:r>
      <w:r>
        <w:t xml:space="preserve"> från en jämn avvecklingstakt</w:t>
      </w:r>
      <w:r w:rsidRPr="00CB2EB0">
        <w:t xml:space="preserve"> gett en besparing på 21 miljoner kronor</w:t>
      </w:r>
      <w:r w:rsidR="00721D91" w:rsidRPr="00CB2EB0">
        <w:t xml:space="preserve">, se avsnitt </w:t>
      </w:r>
      <w:r w:rsidR="00721D91" w:rsidRPr="00CB2EB0">
        <w:fldChar w:fldCharType="begin"/>
      </w:r>
      <w:r w:rsidR="00721D91" w:rsidRPr="00CB2EB0">
        <w:instrText xml:space="preserve"> REF _Ref223609473 \r \h </w:instrText>
      </w:r>
      <w:r w:rsidR="00721D91">
        <w:instrText xml:space="preserve"> \* MERGEFORMAT </w:instrText>
      </w:r>
      <w:r w:rsidR="00721D91" w:rsidRPr="00CB2EB0">
        <w:fldChar w:fldCharType="separate"/>
      </w:r>
      <w:r w:rsidR="001959AC">
        <w:t>5.1</w:t>
      </w:r>
      <w:r w:rsidR="00721D91" w:rsidRPr="00CB2EB0">
        <w:fldChar w:fldCharType="end"/>
      </w:r>
      <w:r w:rsidR="00721D91" w:rsidRPr="00CB2EB0">
        <w:t>.</w:t>
      </w:r>
    </w:p>
    <w:p w14:paraId="5BB257AA" w14:textId="3DDC55E5" w:rsidR="00465872" w:rsidRPr="00CB2EB0" w:rsidRDefault="00465872" w:rsidP="00C266AD">
      <w:pPr>
        <w:pStyle w:val="Brdtextmedindrag"/>
      </w:pPr>
      <w:r w:rsidRPr="00CB2EB0">
        <w:t>I sin utvärderingsrapport för perioden 2019–2023 framför Ekonomistyrningsverket att det är rimligt att avveckla valutaexponeringen eftersom Riksgäldskontorets analys tydligt visar att exponeringen inte innebär någon systematisk kostnadsbesparing, samtidigt som risken i form av kostnadsvariation ökar.</w:t>
      </w:r>
      <w:r w:rsidR="009F6296">
        <w:t xml:space="preserve"> </w:t>
      </w:r>
      <w:r w:rsidR="005C767F" w:rsidRPr="00CB2EB0">
        <w:t xml:space="preserve">Statskontoret bedömer i utvärderingsrapporten för perioden </w:t>
      </w:r>
      <w:r w:rsidR="001A21A4" w:rsidRPr="00CB2EB0">
        <w:t>20</w:t>
      </w:r>
      <w:r w:rsidR="001A21A4">
        <w:t>21</w:t>
      </w:r>
      <w:r w:rsidR="001A21A4" w:rsidRPr="00CB2EB0">
        <w:t>–2025</w:t>
      </w:r>
      <w:r w:rsidR="006F39BF" w:rsidRPr="00CB2EB0">
        <w:t xml:space="preserve"> </w:t>
      </w:r>
      <w:r w:rsidR="005C767F" w:rsidRPr="00CB2EB0">
        <w:t>att flexibiliteten i avvecklingstakten för den strategiska valutaexponeringen har varit till fördel för staten.</w:t>
      </w:r>
    </w:p>
    <w:p w14:paraId="415F2FE8" w14:textId="20F99C32" w:rsidR="00E87286" w:rsidRPr="00CB2EB0" w:rsidRDefault="00471F39" w:rsidP="00FC17EB">
      <w:pPr>
        <w:pStyle w:val="Rubrik5utannumrering"/>
      </w:pPr>
      <w:r w:rsidRPr="00CB2EB0">
        <w:lastRenderedPageBreak/>
        <w:t>Statsskuldens löptid</w:t>
      </w:r>
    </w:p>
    <w:p w14:paraId="2BFE52F1" w14:textId="6F2C4260" w:rsidR="009B384B" w:rsidRPr="00CB2EB0" w:rsidRDefault="009B384B" w:rsidP="00CB2EB0">
      <w:pPr>
        <w:pStyle w:val="Brdtext"/>
      </w:pPr>
      <w:r w:rsidRPr="00CB2EB0">
        <w:rPr>
          <w:u w:val="single"/>
        </w:rPr>
        <w:t>Löptidsintervallet</w:t>
      </w:r>
    </w:p>
    <w:p w14:paraId="7DB23A90" w14:textId="48D80776" w:rsidR="006E191D" w:rsidRPr="00CB2EB0" w:rsidRDefault="006E191D" w:rsidP="00133ADE">
      <w:pPr>
        <w:pStyle w:val="Brdtext"/>
      </w:pPr>
      <w:r w:rsidRPr="00CB2EB0">
        <w:t>Enligt regeringens riktlinjer</w:t>
      </w:r>
      <w:r w:rsidR="00F50A9E" w:rsidRPr="00CB2EB0">
        <w:t xml:space="preserve"> för utvärderingsperioden</w:t>
      </w:r>
      <w:r w:rsidRPr="00CB2EB0">
        <w:t xml:space="preserve"> ska löptiden för statsskulden styras mot 3,5–6 år.</w:t>
      </w:r>
      <w:r w:rsidR="00133ADE" w:rsidRPr="00CB2EB0">
        <w:t xml:space="preserve"> Den renodlade styrningen, framför allt den gemensamma löptiden för hela statsskulden, ger Riksgäldskontoret möjlighet att anpassa upplåningen både efter hur efterfrågan ser ut och utifrån tillfälliga svängningar i lånebehovet och kan på så vis hålla nere upplåningskostnaderna. Denna flexibilitet har varit viktig framför allt under år med osäkerhet med stora fluktuationer i lånebehovet. Syftet med att ha ett löptidsintervall är att skapa förutsättningar för en ändamålsenlig låneplanering och bl.a. hantera prognosavvikelser. Regeringen har inte sett att det f</w:t>
      </w:r>
      <w:r w:rsidR="005443A4" w:rsidRPr="00CB2EB0">
        <w:t>u</w:t>
      </w:r>
      <w:r w:rsidR="00133ADE" w:rsidRPr="00CB2EB0">
        <w:t>nn</w:t>
      </w:r>
      <w:r w:rsidR="005443A4" w:rsidRPr="00CB2EB0">
        <w:t>it</w:t>
      </w:r>
      <w:r w:rsidR="00133ADE" w:rsidRPr="00CB2EB0">
        <w:t xml:space="preserve">s skäl att förändra </w:t>
      </w:r>
      <w:r w:rsidR="00053AB7" w:rsidRPr="00CB2EB0">
        <w:t xml:space="preserve">styrintervallet om </w:t>
      </w:r>
      <w:r w:rsidR="00047AE9" w:rsidRPr="00CB2EB0">
        <w:t>3,5–6</w:t>
      </w:r>
      <w:r w:rsidR="00053AB7" w:rsidRPr="00CB2EB0">
        <w:t xml:space="preserve"> år </w:t>
      </w:r>
      <w:r w:rsidR="00133ADE" w:rsidRPr="00CB2EB0">
        <w:t>under utvärderingsperioden.</w:t>
      </w:r>
    </w:p>
    <w:p w14:paraId="3F29EA11" w14:textId="77777777" w:rsidR="00EF5A40" w:rsidRPr="00CB2EB0" w:rsidRDefault="00EF5A40" w:rsidP="00CB2EB0">
      <w:pPr>
        <w:pStyle w:val="Brdtextmedindrag"/>
      </w:pPr>
    </w:p>
    <w:p w14:paraId="4180263E" w14:textId="2D3A63C6" w:rsidR="00921408" w:rsidRPr="00CB2EB0" w:rsidRDefault="00921408" w:rsidP="00CB2EB0">
      <w:pPr>
        <w:pStyle w:val="Brdtext"/>
        <w:rPr>
          <w:u w:val="single"/>
        </w:rPr>
      </w:pPr>
      <w:r w:rsidRPr="00CB2EB0">
        <w:rPr>
          <w:u w:val="single"/>
        </w:rPr>
        <w:t>Löptidsmåttet</w:t>
      </w:r>
    </w:p>
    <w:p w14:paraId="2B264F2E" w14:textId="173D53E2" w:rsidR="00F1328C" w:rsidRPr="00CB2EB0" w:rsidRDefault="000C41B0" w:rsidP="000C41B0">
      <w:pPr>
        <w:pStyle w:val="Brdtext"/>
      </w:pPr>
      <w:r w:rsidRPr="00CB2EB0">
        <w:t>Regeringen beslutade i riktlinjerna för 2025 att stats</w:t>
      </w:r>
      <w:r w:rsidR="00E13A73">
        <w:t>s</w:t>
      </w:r>
      <w:r w:rsidRPr="00CB2EB0">
        <w:t>kuldens löptid ska gå från att mätas som duration till att mäta genomsnittlig räntebindningstid (ATR).</w:t>
      </w:r>
      <w:r w:rsidR="00C05B2D" w:rsidRPr="00CB2EB0">
        <w:t xml:space="preserve"> </w:t>
      </w:r>
      <w:r w:rsidRPr="00CB2EB0">
        <w:t>ATR är liksom duration ett mått för ränteomsättningsrisk, men det påverkas inte av de oönskade styrsignaler som förändringar i marknads</w:t>
      </w:r>
      <w:r w:rsidR="00772DEE">
        <w:softHyphen/>
      </w:r>
      <w:r w:rsidRPr="00CB2EB0">
        <w:t>räntan kan medföra i durationsmåttet.</w:t>
      </w:r>
    </w:p>
    <w:p w14:paraId="17BCB127" w14:textId="0D349B64" w:rsidR="000C41B0" w:rsidRPr="00CB2EB0" w:rsidRDefault="000C41B0" w:rsidP="00F1328C">
      <w:pPr>
        <w:pStyle w:val="Brdtextmedindrag"/>
      </w:pPr>
      <w:r w:rsidRPr="00CB2EB0">
        <w:t xml:space="preserve">Regeringen beslutade </w:t>
      </w:r>
      <w:r w:rsidR="007219B6">
        <w:t xml:space="preserve">i riktlinjerna för 2025 </w:t>
      </w:r>
      <w:r w:rsidRPr="00CB2EB0">
        <w:t>att låta styrintervallet ligga kvar på 3,5–6 år mätt som ATR</w:t>
      </w:r>
      <w:r w:rsidR="007219B6">
        <w:t>.</w:t>
      </w:r>
      <w:r w:rsidRPr="00CB2EB0">
        <w:t xml:space="preserve"> </w:t>
      </w:r>
      <w:r w:rsidR="007219B6">
        <w:t>I</w:t>
      </w:r>
      <w:r w:rsidRPr="00CB2EB0">
        <w:t xml:space="preserve"> </w:t>
      </w:r>
      <w:r w:rsidR="00AA7B75" w:rsidRPr="00CB2EB0">
        <w:t>Riksgäldskontoret</w:t>
      </w:r>
      <w:r w:rsidRPr="00CB2EB0">
        <w:t>s uppdaterade analys av löptids</w:t>
      </w:r>
      <w:r w:rsidR="003469B1">
        <w:softHyphen/>
      </w:r>
      <w:r w:rsidRPr="00CB2EB0">
        <w:t>premier</w:t>
      </w:r>
      <w:r w:rsidR="007219B6">
        <w:t xml:space="preserve"> visa</w:t>
      </w:r>
      <w:r w:rsidR="00E72720">
        <w:t>des</w:t>
      </w:r>
      <w:r w:rsidRPr="00CB2EB0">
        <w:t xml:space="preserve"> att löptidspremierna visserligen hade ökat efter 2022 men fortfarande låg på en historiskt låg nivå. Det betyder att en förkortning av statsskuldens löptid skulle ge en begränsad förväntad kostnadsfördel och samtidigt öka risken i termer av kostnadsvariation.</w:t>
      </w:r>
    </w:p>
    <w:p w14:paraId="1B0C4BE7" w14:textId="363A07B9" w:rsidR="00F02E8D" w:rsidRPr="00CB2EB0" w:rsidRDefault="00605C02" w:rsidP="00EC77B2">
      <w:pPr>
        <w:pStyle w:val="Brdtextmedindrag"/>
      </w:pPr>
      <w:r w:rsidRPr="00CB2EB0">
        <w:t>Statskontoret bedömer att både det tidigare löptidsmåttet, duration, och det nuvarande löptidsmåttet, räntebindningstid, har nackdelar. Duration påverkas av förändringar i marknadsräntan. För att motverka sådana effekter kan Riksgäldskontoret behöva justera löptiden på de obligationer som emitteras, vilket inte alltid är önskvärt. Räntebindningstiden tar å</w:t>
      </w:r>
      <w:r w:rsidR="00FA6D21">
        <w:t> </w:t>
      </w:r>
      <w:r w:rsidRPr="00CB2EB0">
        <w:t>andra sidan inte hänsyn till kupongbetalningar och diskonterar inte heller betalningar som ligger långt fram i tiden – faktorer som idealt sett bör beaktas. Valet av löptidsmått är därför en fråga om att väga olika för- och nackdelar mot varandra.</w:t>
      </w:r>
    </w:p>
    <w:p w14:paraId="3DA1DAA2" w14:textId="6A3A17BD" w:rsidR="001A1C00" w:rsidRPr="00CB2EB0" w:rsidRDefault="00EC77B2" w:rsidP="00EC77B2">
      <w:pPr>
        <w:pStyle w:val="Brdtextmedindrag"/>
      </w:pPr>
      <w:r w:rsidRPr="00CB2EB0">
        <w:t>Statskontoret menar</w:t>
      </w:r>
      <w:r w:rsidR="00AF58B2" w:rsidRPr="00CB2EB0">
        <w:t xml:space="preserve"> </w:t>
      </w:r>
      <w:r w:rsidRPr="00CB2EB0">
        <w:t>att en grundläggande fråga är vad regeringen önskar uppnå med att ange riktlinjer för statsskuldens löptid. På ett övergripande plan förefaller syftet vara att ange en avvägning mellan kostnad och risk, där lång löptid förväntas medföra lägre risk, men högre kostnader. En justering av riktlinjerna används för att markera statens attityd till risk, där förkortningar anger ökad riskvillighet och förlängningar markera minskad riskvillighet.</w:t>
      </w:r>
      <w:r w:rsidR="00605C02" w:rsidRPr="00CB2EB0">
        <w:t xml:space="preserve"> Statskontoret noterar även att det uppfattas av både regeringen och Riksgäldskontoret som problematiskt att durationen förändras med ränteläget, då löptidsmåttet ändras även vid oförändrat beteende hos Riksgäldskontoret. Statskontoret frågar hur strikt Riksgäldskontoret bör förhålla sig till riktlinjen för löptiden om löptiden mäts med duration och räntan ändrar sig kraftigt på kort tid.</w:t>
      </w:r>
    </w:p>
    <w:p w14:paraId="25E9A82A" w14:textId="237A8262" w:rsidR="00C96A50" w:rsidRPr="00CB2EB0" w:rsidRDefault="00A923BA" w:rsidP="001A1C00">
      <w:pPr>
        <w:pStyle w:val="Brdtextmedindrag"/>
      </w:pPr>
      <w:r w:rsidRPr="00CB2EB0">
        <w:t>I riktlinjerna bestäms avvägningen mellan kostnad och risk utifrån lång</w:t>
      </w:r>
      <w:r w:rsidR="00317243">
        <w:softHyphen/>
      </w:r>
      <w:r w:rsidRPr="00CB2EB0">
        <w:t xml:space="preserve">siktiga strukturella faktorer. </w:t>
      </w:r>
      <w:r w:rsidR="00374973" w:rsidRPr="00CB2EB0">
        <w:t xml:space="preserve">Regeringen </w:t>
      </w:r>
      <w:r w:rsidR="00E80E49" w:rsidRPr="00CB2EB0">
        <w:t xml:space="preserve">understryker </w:t>
      </w:r>
      <w:r w:rsidR="00374973" w:rsidRPr="00CB2EB0">
        <w:t>vikten av ett löptids</w:t>
      </w:r>
      <w:r w:rsidR="008C1E9C">
        <w:softHyphen/>
      </w:r>
      <w:r w:rsidR="00374973" w:rsidRPr="00CB2EB0">
        <w:t>mått som är ändamålsenligt för styrningen av statsskuldens samman</w:t>
      </w:r>
      <w:r w:rsidR="008C1E9C">
        <w:softHyphen/>
      </w:r>
      <w:r w:rsidR="00374973" w:rsidRPr="00CB2EB0">
        <w:lastRenderedPageBreak/>
        <w:t xml:space="preserve">sättning. </w:t>
      </w:r>
      <w:r w:rsidR="00AC77A4" w:rsidRPr="00CB2EB0">
        <w:t xml:space="preserve">Ett löptidsmått som påverkas av ändringar i marknadsräntorna kan ge oönskade och oförutsägbara konsekvenser för skuldförvaltningen. Därför </w:t>
      </w:r>
      <w:r w:rsidR="00DE51E3" w:rsidRPr="00CB2EB0">
        <w:t>bedömer regeringen att</w:t>
      </w:r>
      <w:r w:rsidR="00AC77A4" w:rsidRPr="00CB2EB0">
        <w:t xml:space="preserve"> det</w:t>
      </w:r>
      <w:r w:rsidR="007D59D3" w:rsidRPr="00CB2EB0">
        <w:t xml:space="preserve"> är</w:t>
      </w:r>
      <w:r w:rsidR="00AC77A4" w:rsidRPr="00CB2EB0">
        <w:t xml:space="preserve"> mer ändamålsenligt med ett styrmått som inte påverkas av ändringar i marknadsräntorna. </w:t>
      </w:r>
    </w:p>
    <w:p w14:paraId="163794F3" w14:textId="06622DC9" w:rsidR="00451F34" w:rsidRPr="00CB2EB0" w:rsidRDefault="00451F34" w:rsidP="00FC17EB">
      <w:pPr>
        <w:pStyle w:val="Rubrik5efterram"/>
        <w:outlineLvl w:val="5"/>
      </w:pPr>
      <w:r w:rsidRPr="00CB2EB0">
        <w:t>Riktlinjer för låneberedskap och refinansieringsrisk</w:t>
      </w:r>
    </w:p>
    <w:p w14:paraId="798A73BF" w14:textId="3BAD920D" w:rsidR="008874C1" w:rsidRPr="00CB2EB0" w:rsidRDefault="004F1D32" w:rsidP="00ED1406">
      <w:pPr>
        <w:pStyle w:val="Brdtext"/>
      </w:pPr>
      <w:r w:rsidRPr="00CB2EB0">
        <w:t xml:space="preserve">Statskontoret lyfter </w:t>
      </w:r>
      <w:r w:rsidR="00E5710A" w:rsidRPr="00CB2EB0">
        <w:t xml:space="preserve">fram </w:t>
      </w:r>
      <w:r w:rsidRPr="00CB2EB0">
        <w:t xml:space="preserve">att </w:t>
      </w:r>
      <w:r w:rsidR="008874C1" w:rsidRPr="00CB2EB0">
        <w:t xml:space="preserve">regeringen </w:t>
      </w:r>
      <w:r w:rsidRPr="00CB2EB0">
        <w:t xml:space="preserve">i riktlinjerna för 2026 uttalar </w:t>
      </w:r>
      <w:r w:rsidR="008874C1" w:rsidRPr="00CB2EB0">
        <w:t xml:space="preserve">att </w:t>
      </w:r>
      <w:r w:rsidR="00AA7B75" w:rsidRPr="00CB2EB0">
        <w:t>Riksgäldskontoret</w:t>
      </w:r>
      <w:r w:rsidR="008874C1" w:rsidRPr="00CB2EB0">
        <w:t xml:space="preserve"> förväntas tydligare redovisa hur refinansieringsrisker beaktas. Statskontoret ser positivt på det och ser gärna att regeringen framöver har beredskap och om behov uppstår anger mer detaljerade riktlinjer för hanteringen av refinansieringsrisker och låneberedskap. Exempelvis skulle regeringen om osäkerheten i omvärlden består eller </w:t>
      </w:r>
      <w:r w:rsidR="00544381" w:rsidRPr="00CB2EB0">
        <w:t>t.o.m.</w:t>
      </w:r>
      <w:r w:rsidR="008874C1" w:rsidRPr="00CB2EB0">
        <w:t xml:space="preserve"> ökar kunna se ett ökat behov av god låneberedskap och låg refinansieringsrisk. </w:t>
      </w:r>
      <w:r w:rsidR="00136CB2" w:rsidRPr="00CB2EB0">
        <w:t>Statskontoret menar att d</w:t>
      </w:r>
      <w:r w:rsidR="008874C1" w:rsidRPr="00CB2EB0">
        <w:t>et</w:t>
      </w:r>
      <w:r w:rsidR="00136CB2" w:rsidRPr="00CB2EB0">
        <w:t xml:space="preserve"> </w:t>
      </w:r>
      <w:r w:rsidR="008874C1" w:rsidRPr="00CB2EB0">
        <w:t>då</w:t>
      </w:r>
      <w:r w:rsidR="00136CB2" w:rsidRPr="00CB2EB0">
        <w:t xml:space="preserve"> kan</w:t>
      </w:r>
      <w:r w:rsidR="008874C1" w:rsidRPr="00CB2EB0">
        <w:t xml:space="preserve"> vara bra att redan nu börja undersöka hur en sådan styrning i så fall ska gå till, om den ska vara kvalitativ eller kvantitativ och vilka kvantitativa parametrar som ska användas.</w:t>
      </w:r>
    </w:p>
    <w:p w14:paraId="0F5B1EEB" w14:textId="72201925" w:rsidR="00F51A22" w:rsidRPr="00CB2EB0" w:rsidRDefault="00F51A22" w:rsidP="00F1328C">
      <w:pPr>
        <w:pStyle w:val="Brdtextmedindrag"/>
      </w:pPr>
      <w:r w:rsidRPr="00CB2EB0">
        <w:t>Regeringen</w:t>
      </w:r>
      <w:r w:rsidR="00787DCE" w:rsidRPr="00CB2EB0">
        <w:t xml:space="preserve"> </w:t>
      </w:r>
      <w:r w:rsidRPr="00CB2EB0">
        <w:t xml:space="preserve">noterar Statskontorets </w:t>
      </w:r>
      <w:r w:rsidR="006E07FA" w:rsidRPr="00CB2EB0">
        <w:t xml:space="preserve">förslag </w:t>
      </w:r>
      <w:r w:rsidRPr="00CB2EB0">
        <w:t xml:space="preserve">om </w:t>
      </w:r>
      <w:r w:rsidR="004A2005" w:rsidRPr="00CB2EB0">
        <w:t xml:space="preserve">eventuellt framtagande av </w:t>
      </w:r>
      <w:r w:rsidRPr="00CB2EB0">
        <w:t>mer detaljerade riktlinjer</w:t>
      </w:r>
      <w:r w:rsidR="004A2005" w:rsidRPr="00CB2EB0">
        <w:t xml:space="preserve"> för låneberedskap och refinansieringsrisk</w:t>
      </w:r>
      <w:r w:rsidRPr="00CB2EB0">
        <w:t xml:space="preserve">. Samtidigt bör det understrykas att </w:t>
      </w:r>
      <w:r w:rsidR="004072A8" w:rsidRPr="00CB2EB0">
        <w:t>r</w:t>
      </w:r>
      <w:r w:rsidRPr="00CB2EB0">
        <w:t>egeringen</w:t>
      </w:r>
      <w:r w:rsidR="004072A8" w:rsidRPr="00CB2EB0">
        <w:t xml:space="preserve"> ser att det mest ändamåls</w:t>
      </w:r>
      <w:r w:rsidR="004B2227">
        <w:softHyphen/>
      </w:r>
      <w:r w:rsidR="004072A8" w:rsidRPr="00CB2EB0">
        <w:t>enlig</w:t>
      </w:r>
      <w:r w:rsidR="005F5363" w:rsidRPr="00CB2EB0">
        <w:t>a är</w:t>
      </w:r>
      <w:r w:rsidR="004072A8" w:rsidRPr="00CB2EB0">
        <w:t xml:space="preserve"> </w:t>
      </w:r>
      <w:r w:rsidR="00EA58D1" w:rsidRPr="00CB2EB0">
        <w:t xml:space="preserve">att riktlinjerna är </w:t>
      </w:r>
      <w:r w:rsidR="009A363D" w:rsidRPr="00CB2EB0">
        <w:t xml:space="preserve">på </w:t>
      </w:r>
      <w:r w:rsidR="004F1D32" w:rsidRPr="00CB2EB0">
        <w:t xml:space="preserve">en </w:t>
      </w:r>
      <w:r w:rsidR="004072A8" w:rsidRPr="00CB2EB0">
        <w:t>övergripande nivå,</w:t>
      </w:r>
      <w:r w:rsidRPr="00CB2EB0">
        <w:t xml:space="preserve"> i syfte att ge den flexibilitet som krävs </w:t>
      </w:r>
      <w:r w:rsidR="00893DB9" w:rsidRPr="00CB2EB0">
        <w:t>fö</w:t>
      </w:r>
      <w:r w:rsidR="002B16C8" w:rsidRPr="00CB2EB0">
        <w:t>r</w:t>
      </w:r>
      <w:r w:rsidR="00893DB9" w:rsidRPr="00CB2EB0">
        <w:t xml:space="preserve"> effektivitet </w:t>
      </w:r>
      <w:r w:rsidRPr="00CB2EB0">
        <w:t xml:space="preserve">i den operativa förvaltningen av statsskulden. </w:t>
      </w:r>
    </w:p>
    <w:p w14:paraId="3B66F55D" w14:textId="3DC8200D" w:rsidR="000D4C10" w:rsidRPr="00CB2EB0" w:rsidRDefault="000D4C10" w:rsidP="00FC17EB">
      <w:pPr>
        <w:pStyle w:val="Rubrik1"/>
      </w:pPr>
      <w:bookmarkStart w:id="28" w:name="_Ref223428006"/>
      <w:bookmarkStart w:id="29" w:name="_Toc227766866"/>
      <w:r w:rsidRPr="00CB2EB0">
        <w:t>Riksgäldskontorets</w:t>
      </w:r>
      <w:r w:rsidR="009052D8" w:rsidRPr="00CB2EB0">
        <w:t xml:space="preserve"> operativa förvaltning och</w:t>
      </w:r>
      <w:r w:rsidRPr="00CB2EB0">
        <w:t xml:space="preserve"> tillämpning av riktlinjerna</w:t>
      </w:r>
      <w:bookmarkEnd w:id="28"/>
      <w:bookmarkEnd w:id="29"/>
    </w:p>
    <w:p w14:paraId="2BA80DDA" w14:textId="4D38D4EC" w:rsidR="000D4C10" w:rsidRPr="00CB2EB0" w:rsidRDefault="000D4C10" w:rsidP="000D4C10">
      <w:pPr>
        <w:pStyle w:val="Brdtext"/>
      </w:pPr>
      <w:r w:rsidRPr="00CB2EB0">
        <w:t>Som en del i regeringens utvärdering av statens upplåning och skuld</w:t>
      </w:r>
      <w:r w:rsidR="002B51B8">
        <w:softHyphen/>
      </w:r>
      <w:r w:rsidRPr="00CB2EB0">
        <w:t xml:space="preserve">förvaltning ingår att utvärdera Riksgäldskontorets tillämpning av de av regeringen årligen beslutade riktlinjerna. I avsnitt </w:t>
      </w:r>
      <w:r w:rsidR="004A64D6" w:rsidRPr="00CB2EB0">
        <w:t xml:space="preserve">4 </w:t>
      </w:r>
      <w:r w:rsidRPr="00CB2EB0">
        <w:t>redovisas utvärderingen i den delen.</w:t>
      </w:r>
    </w:p>
    <w:p w14:paraId="2FE819CE" w14:textId="08A6FA1D" w:rsidR="004508F1" w:rsidRPr="00CB2EB0" w:rsidRDefault="004508F1" w:rsidP="004508F1">
      <w:pPr>
        <w:pStyle w:val="Brdtextmedindrag"/>
      </w:pPr>
      <w:r w:rsidRPr="00CB2EB0">
        <w:t>Statskontoret har i sin utvärderingsrapport bedömt att Riksgäldskontoret följt såväl regeringens som myndighetens interna</w:t>
      </w:r>
      <w:r w:rsidR="00012002" w:rsidRPr="00CB2EB0">
        <w:t xml:space="preserve"> riktlinjer</w:t>
      </w:r>
      <w:r w:rsidRPr="00CB2EB0">
        <w:t xml:space="preserve"> under hela utvärderingsperioden. </w:t>
      </w:r>
    </w:p>
    <w:p w14:paraId="1CFCD73A" w14:textId="1CD8AFD6" w:rsidR="00723793" w:rsidRPr="00CB2EB0" w:rsidRDefault="008554AB" w:rsidP="00FC17EB">
      <w:pPr>
        <w:pStyle w:val="Rubrik2"/>
      </w:pPr>
      <w:bookmarkStart w:id="30" w:name="_Ref224140078"/>
      <w:bookmarkStart w:id="31" w:name="_Toc227766867"/>
      <w:r w:rsidRPr="00CB2EB0">
        <w:t xml:space="preserve">Statsskuldens sammansättning </w:t>
      </w:r>
      <w:r w:rsidR="004A64D6" w:rsidRPr="00CB2EB0">
        <w:t>–</w:t>
      </w:r>
      <w:r w:rsidRPr="00CB2EB0">
        <w:t xml:space="preserve"> skuldandelar</w:t>
      </w:r>
      <w:bookmarkEnd w:id="30"/>
      <w:bookmarkEnd w:id="31"/>
    </w:p>
    <w:p w14:paraId="66E620FD" w14:textId="08DEB406" w:rsidR="00723793" w:rsidRPr="00CB2EB0" w:rsidRDefault="00723793" w:rsidP="00FC17EB">
      <w:pPr>
        <w:pStyle w:val="Rubrik4ram"/>
        <w:outlineLvl w:val="2"/>
      </w:pPr>
      <w:r w:rsidRPr="00CB2EB0">
        <w:t>Regeringens bedömning</w:t>
      </w:r>
    </w:p>
    <w:p w14:paraId="2A69CD0D" w14:textId="0F58E7D1" w:rsidR="00332ABB" w:rsidRPr="00CB2EB0" w:rsidRDefault="0049215E" w:rsidP="00332ABB">
      <w:pPr>
        <w:pStyle w:val="Brdtextram"/>
      </w:pPr>
      <w:r w:rsidRPr="00CB2EB0">
        <w:t xml:space="preserve">Den reala kronskulden skulle enligt regeringens riktlinjer för åren </w:t>
      </w:r>
      <w:r w:rsidR="004543CE" w:rsidRPr="00CB2EB0">
        <w:t>2021–2024</w:t>
      </w:r>
      <w:r w:rsidRPr="00CB2EB0">
        <w:t xml:space="preserve"> långsiktigt vara 20</w:t>
      </w:r>
      <w:r w:rsidR="00661189" w:rsidRPr="00CB2EB0">
        <w:t> </w:t>
      </w:r>
      <w:r w:rsidRPr="00CB2EB0">
        <w:t>procent av den totala skulden. Under de</w:t>
      </w:r>
      <w:r w:rsidR="009C1204" w:rsidRPr="00CB2EB0">
        <w:t>ssa</w:t>
      </w:r>
      <w:r w:rsidRPr="00CB2EB0">
        <w:t xml:space="preserve"> år har den reala kronskulden</w:t>
      </w:r>
      <w:r w:rsidR="00E5710A" w:rsidRPr="00CB2EB0">
        <w:t>s andel</w:t>
      </w:r>
      <w:r w:rsidRPr="00CB2EB0">
        <w:t xml:space="preserve"> </w:t>
      </w:r>
      <w:r w:rsidR="002E79B4" w:rsidRPr="00CB2EB0">
        <w:t>vanligen</w:t>
      </w:r>
      <w:r w:rsidRPr="00CB2EB0">
        <w:t xml:space="preserve"> </w:t>
      </w:r>
      <w:r w:rsidR="00E5710A" w:rsidRPr="00CB2EB0">
        <w:t xml:space="preserve">varit </w:t>
      </w:r>
      <w:r w:rsidRPr="00CB2EB0">
        <w:t>över 20</w:t>
      </w:r>
      <w:r w:rsidR="00661189" w:rsidRPr="00CB2EB0">
        <w:t> </w:t>
      </w:r>
      <w:r w:rsidRPr="00CB2EB0">
        <w:t>procent. Mot bakgrund av de svårigheter som finns med att kort</w:t>
      </w:r>
      <w:r w:rsidR="00971B91">
        <w:softHyphen/>
      </w:r>
      <w:r w:rsidRPr="00CB2EB0">
        <w:t>siktigt styra den reala kronskulden samt den osäkerhet som gäller lånebehov och statsskuldens utveckling bedöms Riksgäldskontorets tillämpning ha varit förenlig med regeringens riktlinjer.</w:t>
      </w:r>
      <w:r w:rsidR="00332ABB" w:rsidRPr="00CB2EB0">
        <w:t xml:space="preserve"> </w:t>
      </w:r>
    </w:p>
    <w:p w14:paraId="3B375945" w14:textId="2BDC98EA" w:rsidR="0049215E" w:rsidRPr="00CB2EB0" w:rsidRDefault="001E05F1" w:rsidP="00332ABB">
      <w:pPr>
        <w:pStyle w:val="Brdtextmedindragram"/>
      </w:pPr>
      <w:r w:rsidRPr="00CB2EB0">
        <w:lastRenderedPageBreak/>
        <w:t>Riksgäldskontoret har under 2025 styrt realskulden i enlighet med regeringens riktlinje att Riksgäldskontoret ska fortsätta emittera real</w:t>
      </w:r>
      <w:r w:rsidR="007204B7">
        <w:softHyphen/>
      </w:r>
      <w:r w:rsidRPr="00CB2EB0">
        <w:t>obligationer men att den utstående stocken ska minska successivt för att v</w:t>
      </w:r>
      <w:r w:rsidR="00332ABB" w:rsidRPr="00CB2EB0">
        <w:t>id utgången av 2029 uppgå till en målnivå på ca 80</w:t>
      </w:r>
      <w:r w:rsidR="00661189" w:rsidRPr="00CB2EB0">
        <w:t> </w:t>
      </w:r>
      <w:r w:rsidR="00332ABB" w:rsidRPr="00CB2EB0">
        <w:t xml:space="preserve">miljarder kronor. </w:t>
      </w:r>
    </w:p>
    <w:p w14:paraId="77878AD3" w14:textId="623CC9E2" w:rsidR="00723793" w:rsidRPr="00CB2EB0" w:rsidRDefault="001E05F1" w:rsidP="00332ABB">
      <w:pPr>
        <w:pStyle w:val="Brdtextmedindragram"/>
      </w:pPr>
      <w:r w:rsidRPr="00CB2EB0">
        <w:t xml:space="preserve">Riksgäldskontoret har sedan regeringens beslut i riktlinjerna för 2023 styrt valutaexponeringen i enlighet med riktlinjen </w:t>
      </w:r>
      <w:r w:rsidR="0049215E" w:rsidRPr="00CB2EB0">
        <w:t>att valuta</w:t>
      </w:r>
      <w:r w:rsidR="00251D97">
        <w:softHyphen/>
      </w:r>
      <w:r w:rsidR="0049215E" w:rsidRPr="00CB2EB0">
        <w:t xml:space="preserve">exponeringen ska avvecklas successivt </w:t>
      </w:r>
      <w:r w:rsidR="003202A0" w:rsidRPr="00CB2EB0">
        <w:t>t.o.m.</w:t>
      </w:r>
      <w:r w:rsidR="0049215E" w:rsidRPr="00CB2EB0">
        <w:t xml:space="preserve"> 202</w:t>
      </w:r>
      <w:r w:rsidR="002C7DF1" w:rsidRPr="00CB2EB0">
        <w:t>7</w:t>
      </w:r>
      <w:r w:rsidR="0049215E" w:rsidRPr="00CB2EB0">
        <w:t>.</w:t>
      </w:r>
      <w:r w:rsidR="00332ABB" w:rsidRPr="00CB2EB0">
        <w:t xml:space="preserve"> </w:t>
      </w:r>
    </w:p>
    <w:p w14:paraId="25E5C919" w14:textId="48C38EA0" w:rsidR="00723793" w:rsidRPr="00CB2EB0" w:rsidRDefault="00723793" w:rsidP="00FC17EB">
      <w:pPr>
        <w:pStyle w:val="Rubrik4efterram"/>
        <w:outlineLvl w:val="2"/>
      </w:pPr>
      <w:r w:rsidRPr="00CB2EB0">
        <w:t>Skälen för regeringens bedömning</w:t>
      </w:r>
    </w:p>
    <w:p w14:paraId="4AC85F08" w14:textId="1ED07FA8" w:rsidR="00B27344" w:rsidRPr="00CB2EB0" w:rsidRDefault="00B27344" w:rsidP="008127D2">
      <w:pPr>
        <w:pStyle w:val="Rubrik5efterram"/>
        <w:spacing w:before="0"/>
        <w:outlineLvl w:val="3"/>
      </w:pPr>
      <w:r w:rsidRPr="00CB2EB0">
        <w:t>Real kronskuld</w:t>
      </w:r>
    </w:p>
    <w:p w14:paraId="7752F7C9" w14:textId="6C86A34C" w:rsidR="007428A4" w:rsidRPr="00CB2EB0" w:rsidRDefault="007428A4" w:rsidP="007428A4">
      <w:pPr>
        <w:pStyle w:val="Brdtext"/>
      </w:pPr>
      <w:r w:rsidRPr="00CB2EB0">
        <w:t>Enligt regeringens riktlinjer för 2021–2024 skulle den reala kronskulden på lång sikt vara 20</w:t>
      </w:r>
      <w:r w:rsidR="008B7AF5" w:rsidRPr="00CB2EB0">
        <w:t> </w:t>
      </w:r>
      <w:r w:rsidRPr="00CB2EB0">
        <w:t>procent av den totala skulden. Andelen real kronskuld beror dels på den sammanlagda statsskuldens utveckling, dels på inflationstakten. Båda dessa variabler är svåra att förutse. Därtill är marknaden för realobligationer relativt liten</w:t>
      </w:r>
      <w:r w:rsidR="000537F4">
        <w:t>,</w:t>
      </w:r>
      <w:r w:rsidRPr="00CB2EB0">
        <w:t xml:space="preserve"> vilket leder till en sämre likviditet jämfört med </w:t>
      </w:r>
      <w:r w:rsidR="00475031" w:rsidRPr="00CB2EB0">
        <w:t xml:space="preserve">den </w:t>
      </w:r>
      <w:r w:rsidRPr="00CB2EB0">
        <w:t>för nominella statsobligationer. Det saknas även en utvecklad marknad för derivat kopplade till realobligationer. Samman</w:t>
      </w:r>
      <w:r w:rsidR="00AA5586">
        <w:softHyphen/>
      </w:r>
      <w:r w:rsidRPr="00CB2EB0">
        <w:t>taget medför detta att en alltför stor emission av realobligationer riskerar driva upp realobligationsräntorna på kort sikt och skapa osäkerhet om det framtida utbudet av realobligationer. Omvänt skulle en kraftig minskning, via återköp, riskera att medföra merkostnader. De ovannämnda svårigheterna med att kostnadseffektivt styra andelen real kronskuld på kort sikt</w:t>
      </w:r>
      <w:r w:rsidR="00D64622" w:rsidRPr="00CB2EB0">
        <w:t xml:space="preserve"> har</w:t>
      </w:r>
      <w:r w:rsidRPr="00CB2EB0">
        <w:t xml:space="preserve"> motivera</w:t>
      </w:r>
      <w:r w:rsidR="00D64622" w:rsidRPr="00CB2EB0">
        <w:t>t</w:t>
      </w:r>
      <w:r w:rsidRPr="00CB2EB0">
        <w:t xml:space="preserve"> att målandelen på 20</w:t>
      </w:r>
      <w:r w:rsidR="00992C46" w:rsidRPr="00CB2EB0">
        <w:t> </w:t>
      </w:r>
      <w:r w:rsidRPr="00CB2EB0">
        <w:t>procent var</w:t>
      </w:r>
      <w:r w:rsidR="00F1541A" w:rsidRPr="00CB2EB0">
        <w:t>i</w:t>
      </w:r>
      <w:r w:rsidRPr="00CB2EB0">
        <w:t>t långsiktig.</w:t>
      </w:r>
    </w:p>
    <w:p w14:paraId="44F8D3DA" w14:textId="068978BA" w:rsidR="007428A4" w:rsidRPr="00CB2EB0" w:rsidRDefault="00823A22" w:rsidP="00386864">
      <w:pPr>
        <w:pStyle w:val="Brdtextmedindrag"/>
      </w:pPr>
      <w:r w:rsidRPr="00CB2EB0">
        <w:t>R</w:t>
      </w:r>
      <w:r w:rsidR="007428A4" w:rsidRPr="00CB2EB0">
        <w:t xml:space="preserve">egeringen </w:t>
      </w:r>
      <w:r w:rsidRPr="00CB2EB0">
        <w:t xml:space="preserve">beslutade i riktlinjerna för statsskuldens förvaltning 2025 </w:t>
      </w:r>
      <w:r w:rsidR="007428A4" w:rsidRPr="00CB2EB0">
        <w:t xml:space="preserve">att Riksgäldskontoret ska fortsätta att emittera realobligationer, men att den </w:t>
      </w:r>
      <w:r w:rsidR="00616053" w:rsidRPr="00CB2EB0">
        <w:t>utstående stocken ska minska successivt</w:t>
      </w:r>
      <w:r w:rsidR="007428A4" w:rsidRPr="00CB2EB0">
        <w:t xml:space="preserve">. </w:t>
      </w:r>
      <w:r w:rsidR="00386864" w:rsidRPr="00CB2EB0">
        <w:t>Vid utgången av 2029 ska real</w:t>
      </w:r>
      <w:r w:rsidR="00653F97">
        <w:softHyphen/>
      </w:r>
      <w:r w:rsidR="00386864" w:rsidRPr="00CB2EB0">
        <w:t>skulden uppgå till en målnivå på ca 80</w:t>
      </w:r>
      <w:r w:rsidR="007752AE" w:rsidRPr="00CB2EB0">
        <w:t> </w:t>
      </w:r>
      <w:r w:rsidR="00386864" w:rsidRPr="00CB2EB0">
        <w:t>miljarder kronor</w:t>
      </w:r>
      <w:r w:rsidR="007428A4" w:rsidRPr="00CB2EB0">
        <w:t xml:space="preserve">, se avsnitt </w:t>
      </w:r>
      <w:r w:rsidR="00F97DC7" w:rsidRPr="00CB2EB0">
        <w:fldChar w:fldCharType="begin"/>
      </w:r>
      <w:r w:rsidR="00F97DC7" w:rsidRPr="00CB2EB0">
        <w:instrText xml:space="preserve"> REF _Ref223609531 \r \h  \* MERGEFORMAT </w:instrText>
      </w:r>
      <w:r w:rsidR="00F97DC7" w:rsidRPr="00CB2EB0">
        <w:fldChar w:fldCharType="separate"/>
      </w:r>
      <w:r w:rsidR="001959AC">
        <w:t>3</w:t>
      </w:r>
      <w:r w:rsidR="00F97DC7" w:rsidRPr="00CB2EB0">
        <w:fldChar w:fldCharType="end"/>
      </w:r>
      <w:r w:rsidR="007428A4" w:rsidRPr="00CB2EB0">
        <w:t>.</w:t>
      </w:r>
    </w:p>
    <w:p w14:paraId="224BAD88" w14:textId="76850EB6" w:rsidR="007428A4" w:rsidRPr="00CB2EB0" w:rsidRDefault="007428A4" w:rsidP="003F3637">
      <w:pPr>
        <w:pStyle w:val="Brdtextmedindrag"/>
      </w:pPr>
      <w:r w:rsidRPr="00CB2EB0">
        <w:t xml:space="preserve">Som framgår av </w:t>
      </w:r>
      <w:r w:rsidR="00F97DC7" w:rsidRPr="00CB2EB0">
        <w:fldChar w:fldCharType="begin"/>
      </w:r>
      <w:r w:rsidR="00F97DC7" w:rsidRPr="00CB2EB0">
        <w:instrText xml:space="preserve"> REF  _Ref223609557 \* Lower \h  \* MERGEFORMAT </w:instrText>
      </w:r>
      <w:r w:rsidR="00F97DC7" w:rsidRPr="00CB2EB0">
        <w:fldChar w:fldCharType="separate"/>
      </w:r>
      <w:r w:rsidR="001959AC" w:rsidRPr="00CB2EB0">
        <w:t xml:space="preserve">figur </w:t>
      </w:r>
      <w:r w:rsidR="001959AC">
        <w:rPr>
          <w:noProof/>
        </w:rPr>
        <w:t>4</w:t>
      </w:r>
      <w:r w:rsidR="001959AC" w:rsidRPr="00CB2EB0">
        <w:t>.</w:t>
      </w:r>
      <w:r w:rsidR="001959AC">
        <w:rPr>
          <w:noProof/>
        </w:rPr>
        <w:t>1</w:t>
      </w:r>
      <w:r w:rsidR="00F97DC7" w:rsidRPr="00CB2EB0">
        <w:fldChar w:fldCharType="end"/>
      </w:r>
      <w:r w:rsidR="00F97DC7" w:rsidRPr="00CB2EB0">
        <w:t xml:space="preserve"> </w:t>
      </w:r>
      <w:r w:rsidRPr="00CB2EB0">
        <w:t xml:space="preserve">har andelen real kronskuld </w:t>
      </w:r>
      <w:r w:rsidR="005F1EB1" w:rsidRPr="00CB2EB0">
        <w:t>varit högre än</w:t>
      </w:r>
      <w:r w:rsidRPr="00CB2EB0">
        <w:t xml:space="preserve"> riktvärdet för perioden 20</w:t>
      </w:r>
      <w:r w:rsidR="003F3637" w:rsidRPr="00CB2EB0">
        <w:t>21</w:t>
      </w:r>
      <w:r w:rsidRPr="00CB2EB0">
        <w:t>‒202</w:t>
      </w:r>
      <w:r w:rsidR="003F3637" w:rsidRPr="00CB2EB0">
        <w:t>4</w:t>
      </w:r>
      <w:r w:rsidRPr="00CB2EB0">
        <w:t xml:space="preserve"> förutom under 2021. Realskuldens avvikelse från dess riktvärde har under utvärderingsperioden varit ca </w:t>
      </w:r>
      <w:r w:rsidR="00DC30C9" w:rsidRPr="00CB2EB0">
        <w:t>5</w:t>
      </w:r>
      <w:r w:rsidR="00084E55" w:rsidRPr="00CB2EB0">
        <w:t> </w:t>
      </w:r>
      <w:r w:rsidRPr="00CB2EB0">
        <w:t>procentenheter som mest, och dess andel av statsskulden har i genom</w:t>
      </w:r>
      <w:r w:rsidR="002A703D">
        <w:softHyphen/>
      </w:r>
      <w:r w:rsidRPr="00CB2EB0">
        <w:t>snitt varit 2</w:t>
      </w:r>
      <w:r w:rsidR="00815361" w:rsidRPr="00CB2EB0">
        <w:t>2</w:t>
      </w:r>
      <w:r w:rsidR="006B2407" w:rsidRPr="00CB2EB0">
        <w:t> </w:t>
      </w:r>
      <w:r w:rsidRPr="00CB2EB0">
        <w:t>procent</w:t>
      </w:r>
      <w:r w:rsidR="003F3637" w:rsidRPr="00CB2EB0">
        <w:t xml:space="preserve"> dessa år</w:t>
      </w:r>
      <w:r w:rsidRPr="00CB2EB0">
        <w:t>.</w:t>
      </w:r>
      <w:r w:rsidR="003F3637" w:rsidRPr="00CB2EB0">
        <w:t xml:space="preserve"> Andelen påverkas av faktorer som emissionsvolym, inflationstakt, byten, förfall och statsskuldens storlek. Utestående belopp realskuld minskade under 2025</w:t>
      </w:r>
      <w:r w:rsidR="001514AF" w:rsidRPr="00CB2EB0">
        <w:t xml:space="preserve"> med ca </w:t>
      </w:r>
      <w:r w:rsidR="008E42ED" w:rsidRPr="00CB2EB0">
        <w:t>3</w:t>
      </w:r>
      <w:r w:rsidR="001514AF" w:rsidRPr="00CB2EB0">
        <w:t>0 miljarder</w:t>
      </w:r>
      <w:r w:rsidR="00CE7352">
        <w:t xml:space="preserve"> kronor</w:t>
      </w:r>
      <w:r w:rsidR="003F3637" w:rsidRPr="00CB2EB0">
        <w:t xml:space="preserve">. </w:t>
      </w:r>
    </w:p>
    <w:p w14:paraId="742B293D" w14:textId="52A48818" w:rsidR="00BA2AD3" w:rsidRPr="00CB2EB0" w:rsidRDefault="00BA2AD3" w:rsidP="00BA2AD3">
      <w:pPr>
        <w:pStyle w:val="FigurRubrik"/>
      </w:pPr>
      <w:bookmarkStart w:id="32" w:name="_Ref223609557"/>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4</w:t>
      </w:r>
      <w:r w:rsidRPr="00CB2EB0">
        <w:rPr>
          <w:noProof/>
        </w:rPr>
        <w:fldChar w:fldCharType="end"/>
      </w:r>
      <w:r w:rsidRPr="00CB2EB0">
        <w:t>.</w:t>
      </w:r>
      <w:fldSimple w:instr=" SEQ Figur \* Arabic \s 1  \* MERGEFORMAT ">
        <w:r w:rsidR="001959AC">
          <w:rPr>
            <w:noProof/>
          </w:rPr>
          <w:t>1</w:t>
        </w:r>
      </w:fldSimple>
      <w:bookmarkEnd w:id="32"/>
      <w:r w:rsidRPr="00CB2EB0">
        <w:tab/>
        <w:t>Andel realskuld</w:t>
      </w:r>
    </w:p>
    <w:p w14:paraId="36D9F19C" w14:textId="77777777" w:rsidR="00BA2AD3" w:rsidRPr="00CB2EB0" w:rsidRDefault="00BA2AD3" w:rsidP="00BA2AD3">
      <w:pPr>
        <w:pStyle w:val="FigurUnderrubrik"/>
      </w:pPr>
      <w:r w:rsidRPr="00CB2EB0">
        <w:t>Miljarder kronor respektive procent (höger axel)</w:t>
      </w:r>
    </w:p>
    <w:p w14:paraId="6216CF9A" w14:textId="640E32E5" w:rsidR="00BA2AD3" w:rsidRPr="00CB2EB0" w:rsidRDefault="00D1474B" w:rsidP="00BA2AD3">
      <w:pPr>
        <w:pStyle w:val="Brdtext"/>
      </w:pPr>
      <w:r>
        <w:rPr>
          <w:noProof/>
        </w:rPr>
        <w:drawing>
          <wp:inline distT="0" distB="0" distL="0" distR="0" wp14:anchorId="209E84B5" wp14:editId="0C2FDE94">
            <wp:extent cx="3744595" cy="2460625"/>
            <wp:effectExtent l="0" t="0" r="0" b="0"/>
            <wp:docPr id="118641805"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31650C7" w14:textId="2B2B9431" w:rsidR="008D0242" w:rsidRPr="00CB2EB0" w:rsidRDefault="0067315E" w:rsidP="00770368">
      <w:pPr>
        <w:pStyle w:val="FigurFotnot"/>
      </w:pPr>
      <w:r w:rsidRPr="00CB2EB0">
        <w:t>Källa: Riksgäldskontoret</w:t>
      </w:r>
      <w:r w:rsidR="00C15CD7" w:rsidRPr="00CB2EB0">
        <w:t>.</w:t>
      </w:r>
    </w:p>
    <w:p w14:paraId="75069200" w14:textId="5452798B" w:rsidR="00B27344" w:rsidRPr="00CB2EB0" w:rsidRDefault="00B27344" w:rsidP="00FC17EB">
      <w:pPr>
        <w:pStyle w:val="Rubrik5efterram"/>
        <w:outlineLvl w:val="3"/>
      </w:pPr>
      <w:r w:rsidRPr="00CB2EB0">
        <w:t>Valutaexponering</w:t>
      </w:r>
    </w:p>
    <w:p w14:paraId="0293A46D" w14:textId="5FE0FEB5" w:rsidR="007428A4" w:rsidRPr="00CB2EB0" w:rsidRDefault="007428A4" w:rsidP="007428A4">
      <w:pPr>
        <w:pStyle w:val="Brdtext"/>
      </w:pPr>
      <w:r w:rsidRPr="00CB2EB0">
        <w:t xml:space="preserve">Efter </w:t>
      </w:r>
      <w:r w:rsidR="00F05DB5" w:rsidRPr="00CB2EB0">
        <w:t xml:space="preserve">regeringens </w:t>
      </w:r>
      <w:r w:rsidRPr="00CB2EB0">
        <w:t xml:space="preserve">beslut </w:t>
      </w:r>
      <w:r w:rsidR="00F05DB5" w:rsidRPr="00CB2EB0">
        <w:t>av riktlinjer för statsskuldens förvaltning</w:t>
      </w:r>
      <w:r w:rsidRPr="00CB2EB0">
        <w:t xml:space="preserve"> 2020 var valutaexponeringen i stort sett oförändrad under 2020–2022 i avvaktan på ny översyn. </w:t>
      </w:r>
      <w:r w:rsidR="00B45C15" w:rsidRPr="00CB2EB0">
        <w:t>Regeringen beslutade i</w:t>
      </w:r>
      <w:r w:rsidRPr="00CB2EB0">
        <w:t xml:space="preserve"> riktlinjerna för 2023 att den valuta</w:t>
      </w:r>
      <w:r w:rsidR="00B72327">
        <w:softHyphen/>
      </w:r>
      <w:r w:rsidRPr="00CB2EB0">
        <w:t xml:space="preserve">exponerade delen av statsskulden ska avvecklas successivt och anta riktvärdet noll fr.o.m. 2027, se avsnitt </w:t>
      </w:r>
      <w:r w:rsidR="00F97DC7" w:rsidRPr="00CB2EB0">
        <w:fldChar w:fldCharType="begin"/>
      </w:r>
      <w:r w:rsidR="00F97DC7" w:rsidRPr="00CB2EB0">
        <w:instrText xml:space="preserve"> REF _Ref223609596 \r \h  \* MERGEFORMAT </w:instrText>
      </w:r>
      <w:r w:rsidR="00F97DC7" w:rsidRPr="00CB2EB0">
        <w:fldChar w:fldCharType="separate"/>
      </w:r>
      <w:r w:rsidR="001959AC">
        <w:t>3</w:t>
      </w:r>
      <w:r w:rsidR="00F97DC7" w:rsidRPr="00CB2EB0">
        <w:fldChar w:fldCharType="end"/>
      </w:r>
      <w:r w:rsidRPr="00CB2EB0">
        <w:t>.</w:t>
      </w:r>
    </w:p>
    <w:p w14:paraId="31266DAF" w14:textId="58A3968F" w:rsidR="008E42ED" w:rsidRPr="00CB2EB0" w:rsidRDefault="008E42ED" w:rsidP="00710DA7">
      <w:pPr>
        <w:pStyle w:val="Brdtextmedindrag"/>
      </w:pPr>
      <w:r w:rsidRPr="00CB2EB0">
        <w:t xml:space="preserve">I </w:t>
      </w:r>
      <w:r w:rsidR="00F97DC7" w:rsidRPr="00CB2EB0">
        <w:fldChar w:fldCharType="begin"/>
      </w:r>
      <w:r w:rsidR="00F97DC7" w:rsidRPr="00CB2EB0">
        <w:instrText xml:space="preserve"> REF  _Ref223609625 \* Lower \h  \* MERGEFORMAT </w:instrText>
      </w:r>
      <w:r w:rsidR="00F97DC7" w:rsidRPr="00CB2EB0">
        <w:fldChar w:fldCharType="separate"/>
      </w:r>
      <w:r w:rsidR="001959AC" w:rsidRPr="00CB2EB0">
        <w:t xml:space="preserve">figur </w:t>
      </w:r>
      <w:r w:rsidR="001959AC">
        <w:rPr>
          <w:noProof/>
        </w:rPr>
        <w:t>4</w:t>
      </w:r>
      <w:r w:rsidR="001959AC" w:rsidRPr="00CB2EB0">
        <w:t>.</w:t>
      </w:r>
      <w:r w:rsidR="001959AC">
        <w:rPr>
          <w:noProof/>
        </w:rPr>
        <w:t>2</w:t>
      </w:r>
      <w:r w:rsidR="00F97DC7" w:rsidRPr="00CB2EB0">
        <w:fldChar w:fldCharType="end"/>
      </w:r>
      <w:r w:rsidR="00F97DC7" w:rsidRPr="00CB2EB0">
        <w:t xml:space="preserve"> </w:t>
      </w:r>
      <w:r w:rsidRPr="00CB2EB0">
        <w:t>redovisas valutaexponeringen och dess andel av skulden.</w:t>
      </w:r>
      <w:r w:rsidR="00710DA7" w:rsidRPr="00CB2EB0">
        <w:t xml:space="preserve"> Valutaexponeringen fluktuerade marginellt under perioden 2020–2023. De rörelser i valutaexponeringen som skedde orsakades i hög grad av kronans förstärkning under 2020 och den efterföljande försvagningen 2021–2023. Valutaskulden började sedan minska 2023 och har fortsatt att trendmässigt minska under resterande del av utvärderingsperioden. Vid utvärderingsperiodens utgång bestod statsskuldens </w:t>
      </w:r>
      <w:r w:rsidR="000248E2">
        <w:t xml:space="preserve">strategiska </w:t>
      </w:r>
      <w:r w:rsidR="00710DA7" w:rsidRPr="00CB2EB0">
        <w:t>valuta</w:t>
      </w:r>
      <w:r w:rsidR="0017122E">
        <w:softHyphen/>
      </w:r>
      <w:r w:rsidR="00710DA7" w:rsidRPr="00CB2EB0">
        <w:t>exponering av euro och schweizerfranc.</w:t>
      </w:r>
    </w:p>
    <w:p w14:paraId="109C08AD" w14:textId="61F34E10" w:rsidR="00BA2AD3" w:rsidRPr="00CB2EB0" w:rsidRDefault="00BA2AD3" w:rsidP="004E0277">
      <w:pPr>
        <w:pStyle w:val="FigurRubrik"/>
      </w:pPr>
      <w:bookmarkStart w:id="33" w:name="_Ref223609625"/>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4</w:t>
      </w:r>
      <w:r w:rsidRPr="00CB2EB0">
        <w:rPr>
          <w:noProof/>
        </w:rPr>
        <w:fldChar w:fldCharType="end"/>
      </w:r>
      <w:r w:rsidRPr="00CB2EB0">
        <w:t>.</w:t>
      </w:r>
      <w:fldSimple w:instr=" SEQ Figur \* Arabic \s 1  \* MERGEFORMAT ">
        <w:r w:rsidR="001959AC">
          <w:rPr>
            <w:noProof/>
          </w:rPr>
          <w:t>2</w:t>
        </w:r>
      </w:fldSimple>
      <w:bookmarkEnd w:id="33"/>
      <w:r w:rsidRPr="00CB2EB0">
        <w:tab/>
      </w:r>
      <w:r w:rsidR="00AF3C6D" w:rsidRPr="00CB2EB0">
        <w:t>Valutaexponering och dess andel av statsskulden</w:t>
      </w:r>
    </w:p>
    <w:p w14:paraId="4D057D02" w14:textId="41614E09" w:rsidR="00BA2AD3" w:rsidRPr="00CB2EB0" w:rsidRDefault="006961B9" w:rsidP="002F4A14">
      <w:pPr>
        <w:pStyle w:val="FigurUnderrubrik"/>
      </w:pPr>
      <w:r w:rsidRPr="00CB2EB0">
        <w:t>Miljarder kronor respektive procent</w:t>
      </w:r>
      <w:r w:rsidR="001030CA" w:rsidRPr="00CB2EB0">
        <w:t xml:space="preserve"> (höger axel)</w:t>
      </w:r>
    </w:p>
    <w:p w14:paraId="4EB2F6BE" w14:textId="6111715A" w:rsidR="00BA2AD3" w:rsidRPr="00CB2EB0" w:rsidRDefault="00BF737E" w:rsidP="004051D2">
      <w:pPr>
        <w:pStyle w:val="Brdtext"/>
      </w:pPr>
      <w:r>
        <w:rPr>
          <w:noProof/>
        </w:rPr>
        <w:drawing>
          <wp:inline distT="0" distB="0" distL="0" distR="0" wp14:anchorId="07E60D5C" wp14:editId="2F3E15A4">
            <wp:extent cx="3744595" cy="2460625"/>
            <wp:effectExtent l="0" t="0" r="0" b="0"/>
            <wp:docPr id="1435808329"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A33FAA1" w14:textId="06889548" w:rsidR="00300AE8" w:rsidRPr="00CB2EB0" w:rsidRDefault="00300AE8" w:rsidP="00CB2EB0">
      <w:pPr>
        <w:pStyle w:val="Brdtext"/>
      </w:pPr>
      <w:r w:rsidRPr="00CB2EB0">
        <w:rPr>
          <w:rFonts w:ascii="TradeGothic CondEighteen" w:hAnsi="TradeGothic CondEighteen"/>
          <w:spacing w:val="4"/>
          <w:sz w:val="14"/>
        </w:rPr>
        <w:t>Anm.</w:t>
      </w:r>
      <w:r w:rsidR="00770444">
        <w:rPr>
          <w:rFonts w:ascii="TradeGothic CondEighteen" w:hAnsi="TradeGothic CondEighteen"/>
          <w:spacing w:val="4"/>
          <w:sz w:val="14"/>
        </w:rPr>
        <w:t>:</w:t>
      </w:r>
      <w:r w:rsidRPr="00CB2EB0">
        <w:rPr>
          <w:rFonts w:ascii="TradeGothic CondEighteen" w:hAnsi="TradeGothic CondEighteen"/>
          <w:spacing w:val="4"/>
          <w:sz w:val="14"/>
        </w:rPr>
        <w:t xml:space="preserve"> Exponeringar inom ramen för positionstagningen ingår inte i beräkningen. </w:t>
      </w:r>
    </w:p>
    <w:p w14:paraId="42B0A6F9" w14:textId="28BA9D5E" w:rsidR="00BA2AD3" w:rsidRPr="00CB2EB0" w:rsidRDefault="00DA33E8" w:rsidP="00897BD6">
      <w:pPr>
        <w:pStyle w:val="FigurFotnot"/>
      </w:pPr>
      <w:r w:rsidRPr="00CB2EB0">
        <w:t>Källa: Riksgäldskontoret</w:t>
      </w:r>
      <w:r w:rsidR="00C15CD7" w:rsidRPr="00CB2EB0">
        <w:t>.</w:t>
      </w:r>
    </w:p>
    <w:p w14:paraId="6F5D738D" w14:textId="2F577979" w:rsidR="00E40DC2" w:rsidRPr="00CB2EB0" w:rsidRDefault="00E40DC2" w:rsidP="00FC17EB">
      <w:pPr>
        <w:pStyle w:val="Rubrik5efterram"/>
        <w:outlineLvl w:val="3"/>
      </w:pPr>
      <w:r w:rsidRPr="00CB2EB0">
        <w:t xml:space="preserve">Obligationer i utländsk valuta </w:t>
      </w:r>
      <w:r w:rsidR="00E048C8" w:rsidRPr="00CB2EB0">
        <w:t>emitterades</w:t>
      </w:r>
    </w:p>
    <w:p w14:paraId="189241E3" w14:textId="2E401BFD" w:rsidR="00A0541E" w:rsidRPr="00CB2EB0" w:rsidRDefault="00872D77" w:rsidP="00872D77">
      <w:pPr>
        <w:pStyle w:val="Brdtext"/>
      </w:pPr>
      <w:r w:rsidRPr="00CB2EB0">
        <w:t>Riksgälds</w:t>
      </w:r>
      <w:r w:rsidR="00CC35CE" w:rsidRPr="00CB2EB0">
        <w:t>kontorets</w:t>
      </w:r>
      <w:r w:rsidRPr="00CB2EB0">
        <w:t xml:space="preserve"> strategi innefattar att med viss regelbundenhet ge ut obligationer i utländsk valuta även om det kan medföra en viss merkostnad. Syftet är dels att nå nya investerare, dels att upprätthålla en närvaro på den internationella kapitalmarknaden för att snabbt kunna låna stora belopp där vid behov eller avlasta kronmarknaden när upplånings</w:t>
      </w:r>
      <w:r w:rsidR="00D34B7E">
        <w:softHyphen/>
      </w:r>
      <w:r w:rsidRPr="00CB2EB0">
        <w:t>behovet är stort. Riksgäldskontoret lånar också på kortare löptider i utländsk valuta genom att emittera certifikat inom likviditetsförvaltningen. Valutaupplåningen innebär inte ökad valutaexponering eftersom valuta</w:t>
      </w:r>
      <w:r w:rsidR="002E3787">
        <w:softHyphen/>
      </w:r>
      <w:r w:rsidRPr="00CB2EB0">
        <w:t xml:space="preserve">exponeringen hanteras med derivat. </w:t>
      </w:r>
    </w:p>
    <w:p w14:paraId="05D3EAD3" w14:textId="51E05B54" w:rsidR="00E40DC2" w:rsidRPr="00CB2EB0" w:rsidRDefault="00CC35CE" w:rsidP="00C50F9A">
      <w:pPr>
        <w:pStyle w:val="Brdtextmedindrag"/>
      </w:pPr>
      <w:r w:rsidRPr="00CB2EB0">
        <w:t xml:space="preserve">Under 2024 ställde Riksgäldskontoret ut en </w:t>
      </w:r>
      <w:r w:rsidR="00786B22" w:rsidRPr="00CB2EB0">
        <w:t>amerikansk dollar</w:t>
      </w:r>
      <w:r w:rsidRPr="00CB2EB0">
        <w:t xml:space="preserve">obligation om </w:t>
      </w:r>
      <w:r w:rsidR="00786B22" w:rsidRPr="00CB2EB0">
        <w:t>ca 21</w:t>
      </w:r>
      <w:r w:rsidR="00714760" w:rsidRPr="00CB2EB0">
        <w:t> </w:t>
      </w:r>
      <w:r w:rsidR="00786B22" w:rsidRPr="00CB2EB0">
        <w:t>miljarder</w:t>
      </w:r>
      <w:r w:rsidR="00770444">
        <w:t xml:space="preserve"> kronor</w:t>
      </w:r>
      <w:r w:rsidRPr="00CB2EB0">
        <w:t xml:space="preserve">. Under 2025 emitterade Riksgäldskontoret </w:t>
      </w:r>
      <w:r w:rsidR="00CD7356" w:rsidRPr="00CB2EB0">
        <w:t>en euro</w:t>
      </w:r>
      <w:r w:rsidR="00870C0E">
        <w:softHyphen/>
      </w:r>
      <w:r w:rsidR="00CD7356" w:rsidRPr="00CB2EB0">
        <w:t>obligation</w:t>
      </w:r>
      <w:r w:rsidRPr="00CB2EB0">
        <w:t xml:space="preserve"> </w:t>
      </w:r>
      <w:r w:rsidR="00CD7356" w:rsidRPr="00CB2EB0">
        <w:t>om</w:t>
      </w:r>
      <w:r w:rsidR="00760B72" w:rsidRPr="00CB2EB0">
        <w:t xml:space="preserve"> motsvarande</w:t>
      </w:r>
      <w:r w:rsidR="00CD7356" w:rsidRPr="00CB2EB0">
        <w:t xml:space="preserve"> 21,8</w:t>
      </w:r>
      <w:r w:rsidR="00714760" w:rsidRPr="00CB2EB0">
        <w:t> </w:t>
      </w:r>
      <w:r w:rsidR="00CD7356" w:rsidRPr="00CB2EB0">
        <w:t xml:space="preserve">miljarder </w:t>
      </w:r>
      <w:r w:rsidR="00760B72" w:rsidRPr="00CB2EB0">
        <w:t xml:space="preserve">kronor </w:t>
      </w:r>
      <w:r w:rsidRPr="00CB2EB0">
        <w:t xml:space="preserve">och en </w:t>
      </w:r>
      <w:r w:rsidR="00786B22" w:rsidRPr="00CB2EB0">
        <w:t xml:space="preserve">amerikansk </w:t>
      </w:r>
      <w:r w:rsidRPr="00CB2EB0">
        <w:t>dollar</w:t>
      </w:r>
      <w:r w:rsidR="00836A93">
        <w:softHyphen/>
      </w:r>
      <w:r w:rsidRPr="00CB2EB0">
        <w:t>obligation</w:t>
      </w:r>
      <w:r w:rsidR="00EF5BCF" w:rsidRPr="00CB2EB0">
        <w:t xml:space="preserve"> om</w:t>
      </w:r>
      <w:r w:rsidR="00760B72" w:rsidRPr="00CB2EB0">
        <w:t xml:space="preserve"> motsvarande</w:t>
      </w:r>
      <w:r w:rsidR="00EF5BCF" w:rsidRPr="00CB2EB0">
        <w:t xml:space="preserve"> 18,8</w:t>
      </w:r>
      <w:r w:rsidR="00714760" w:rsidRPr="00CB2EB0">
        <w:t> </w:t>
      </w:r>
      <w:r w:rsidR="00EF5BCF" w:rsidRPr="00CB2EB0">
        <w:t>miljarder kronor</w:t>
      </w:r>
      <w:r w:rsidRPr="00CB2EB0">
        <w:t xml:space="preserve">. </w:t>
      </w:r>
    </w:p>
    <w:p w14:paraId="235BC85E" w14:textId="7C8AAEB6" w:rsidR="00B27344" w:rsidRPr="00CB2EB0" w:rsidRDefault="00B27344" w:rsidP="00FC17EB">
      <w:pPr>
        <w:pStyle w:val="Rubrik5efterram"/>
        <w:outlineLvl w:val="3"/>
      </w:pPr>
      <w:r w:rsidRPr="00CB2EB0">
        <w:t>Ing</w:t>
      </w:r>
      <w:r w:rsidR="00BD27A0" w:rsidRPr="00CB2EB0">
        <w:t>a</w:t>
      </w:r>
      <w:r w:rsidRPr="00CB2EB0">
        <w:t xml:space="preserve"> ny</w:t>
      </w:r>
      <w:r w:rsidR="00BD27A0" w:rsidRPr="00CB2EB0">
        <w:t>a</w:t>
      </w:r>
      <w:r w:rsidRPr="00CB2EB0">
        <w:t xml:space="preserve"> statlig</w:t>
      </w:r>
      <w:r w:rsidR="00BD27A0" w:rsidRPr="00CB2EB0">
        <w:t>a</w:t>
      </w:r>
      <w:r w:rsidRPr="00CB2EB0">
        <w:t xml:space="preserve"> </w:t>
      </w:r>
      <w:r w:rsidR="00D825D7" w:rsidRPr="00CB2EB0">
        <w:t>grön</w:t>
      </w:r>
      <w:r w:rsidR="00676345" w:rsidRPr="00CB2EB0">
        <w:t>a</w:t>
      </w:r>
      <w:r w:rsidR="00D825D7" w:rsidRPr="00CB2EB0">
        <w:t xml:space="preserve"> </w:t>
      </w:r>
      <w:r w:rsidRPr="00CB2EB0">
        <w:t>obligation</w:t>
      </w:r>
      <w:r w:rsidR="00BD27A0" w:rsidRPr="00CB2EB0">
        <w:t>er</w:t>
      </w:r>
      <w:r w:rsidRPr="00CB2EB0">
        <w:t xml:space="preserve"> har emitterats</w:t>
      </w:r>
    </w:p>
    <w:p w14:paraId="788323E5" w14:textId="1D8ABDB3" w:rsidR="00723793" w:rsidRPr="00CB2EB0" w:rsidRDefault="003047C0" w:rsidP="003047C0">
      <w:pPr>
        <w:pStyle w:val="Brdtextmedindrag"/>
        <w:ind w:firstLine="0"/>
      </w:pPr>
      <w:r w:rsidRPr="00CB2EB0">
        <w:t>Riksgäldskontoret emitterade ing</w:t>
      </w:r>
      <w:r w:rsidR="00D825D7" w:rsidRPr="00CB2EB0">
        <w:t>a</w:t>
      </w:r>
      <w:r w:rsidRPr="00CB2EB0">
        <w:t xml:space="preserve"> ny</w:t>
      </w:r>
      <w:r w:rsidR="00D825D7" w:rsidRPr="00CB2EB0">
        <w:t>a</w:t>
      </w:r>
      <w:r w:rsidRPr="00CB2EB0">
        <w:t xml:space="preserve"> statliga gröna obligationer under utvärderingsperioden, men under perioden fanns en utestående grön obligation om 20</w:t>
      </w:r>
      <w:r w:rsidR="00B64DA5" w:rsidRPr="00CB2EB0">
        <w:t> </w:t>
      </w:r>
      <w:r w:rsidRPr="00CB2EB0">
        <w:t>miljarder kronor. Gröna obligationer utgör ett komplement till de nominella statsobligationerna i svenska kronor och de medel som lånas upp kopplas till utgiftsposter i statens budget som rör hållbara investeringar och projekt. Valet av utgifter görs utifrån Sveriges miljö- och klimatmål. De gröna obligationerna omfattas av riktlinjerna för nominella obligationer. För att Riksgäldskontoret ska ha möjlighet att planera för och emittera ytterligare gröna obligationer inom ramen för statsskuldsförvaltningen behövs regeringens beslut om vilka gröna utgifter som ska anses berättigade i statsbudgeten.</w:t>
      </w:r>
    </w:p>
    <w:p w14:paraId="7D5D9C50" w14:textId="32E30FDB" w:rsidR="009B5524" w:rsidRPr="00CB2EB0" w:rsidRDefault="009B5524" w:rsidP="00FC17EB">
      <w:pPr>
        <w:pStyle w:val="Rubrik2"/>
      </w:pPr>
      <w:bookmarkStart w:id="34" w:name="_Toc227766868"/>
      <w:r w:rsidRPr="00CB2EB0">
        <w:lastRenderedPageBreak/>
        <w:t>Statsskuldens löptid</w:t>
      </w:r>
      <w:bookmarkEnd w:id="34"/>
    </w:p>
    <w:p w14:paraId="3C2EA7AF" w14:textId="3229AEC9" w:rsidR="003E1EEA" w:rsidRPr="00CB2EB0" w:rsidRDefault="003E1EEA" w:rsidP="00FC17EB">
      <w:pPr>
        <w:pStyle w:val="Rubrik4ram"/>
        <w:outlineLvl w:val="2"/>
      </w:pPr>
      <w:r w:rsidRPr="00CB2EB0">
        <w:t>Regeringens bedömning</w:t>
      </w:r>
    </w:p>
    <w:p w14:paraId="4C8F0BCC" w14:textId="7E01951E" w:rsidR="00AC2F0F" w:rsidRPr="00CB2EB0" w:rsidRDefault="00AC2F0F" w:rsidP="00AC2F0F">
      <w:pPr>
        <w:pStyle w:val="Brdtextram"/>
      </w:pPr>
      <w:r w:rsidRPr="00CB2EB0">
        <w:t>Riksgäldskontorets styrning av löptiden i statsskulden har följt regeringens riktlinjer.</w:t>
      </w:r>
    </w:p>
    <w:p w14:paraId="37D50B75" w14:textId="39372C47" w:rsidR="003E1EEA" w:rsidRPr="00CB2EB0" w:rsidRDefault="00AC2F0F" w:rsidP="00AC2F0F">
      <w:pPr>
        <w:pStyle w:val="Brdtextmedindragram"/>
      </w:pPr>
      <w:r w:rsidRPr="00CB2EB0">
        <w:t xml:space="preserve">Löptiden för hela statsskulden har varit inom </w:t>
      </w:r>
      <w:r w:rsidR="00CA153D" w:rsidRPr="00CB2EB0">
        <w:t>löptids</w:t>
      </w:r>
      <w:r w:rsidRPr="00CB2EB0">
        <w:t>intervall</w:t>
      </w:r>
      <w:r w:rsidR="00CA153D" w:rsidRPr="00CB2EB0">
        <w:t>et i riktlinjerna</w:t>
      </w:r>
      <w:r w:rsidRPr="00CB2EB0">
        <w:t xml:space="preserve"> </w:t>
      </w:r>
      <w:r w:rsidR="001A6F1A" w:rsidRPr="00CB2EB0">
        <w:t>under hela utvärderingsperioden</w:t>
      </w:r>
      <w:r w:rsidRPr="00CB2EB0">
        <w:t xml:space="preserve">. Statsskuldens löptid har </w:t>
      </w:r>
      <w:r w:rsidR="001A6F1A" w:rsidRPr="00CB2EB0">
        <w:t>under utvärderingsperioden i genomsnitt varit 4,85</w:t>
      </w:r>
      <w:r w:rsidR="009455D9" w:rsidRPr="00CB2EB0">
        <w:t> </w:t>
      </w:r>
      <w:r w:rsidR="001A6F1A" w:rsidRPr="00CB2EB0">
        <w:t>år</w:t>
      </w:r>
      <w:r w:rsidR="00EE4445" w:rsidRPr="00CB2EB0">
        <w:t>, vilket är nära löptidsintervallets mitt</w:t>
      </w:r>
      <w:r w:rsidRPr="00CB2EB0">
        <w:t xml:space="preserve">. </w:t>
      </w:r>
    </w:p>
    <w:p w14:paraId="032569BD" w14:textId="1EF57747" w:rsidR="003E1EEA" w:rsidRPr="00CB2EB0" w:rsidRDefault="003E1EEA" w:rsidP="00FC17EB">
      <w:pPr>
        <w:pStyle w:val="Rubrik4efterram"/>
        <w:outlineLvl w:val="2"/>
      </w:pPr>
      <w:r w:rsidRPr="00CB2EB0">
        <w:t>Skälen för regeringens bedömning</w:t>
      </w:r>
    </w:p>
    <w:p w14:paraId="08663764" w14:textId="51962952" w:rsidR="00CE3127" w:rsidRPr="00CB2EB0" w:rsidRDefault="00CE3127" w:rsidP="00CE3127">
      <w:pPr>
        <w:pStyle w:val="Brdtext"/>
      </w:pPr>
      <w:r w:rsidRPr="00CB2EB0">
        <w:t>Valet av löptid har stor betydelse för avvägningen mellan kostnad och risk i statsskuldsförvaltningen. En kortare löptid medför i regel lägre ränte</w:t>
      </w:r>
      <w:r w:rsidR="00C07D4E">
        <w:softHyphen/>
      </w:r>
      <w:r w:rsidRPr="00CB2EB0">
        <w:t xml:space="preserve">kostnader samtidigt som risken ökar eftersom en större del av skulden då omsätts varje år (till på förhand okända villkor). Under de senaste åren har det inte funnits lika starka kostnadsfördelar som tidigare med att välja en kortare löptid, på grund av att lutningen på avkastningskurvan har varit relativt flack i flera år (se </w:t>
      </w:r>
      <w:r w:rsidR="00B64DA5" w:rsidRPr="00CB2EB0">
        <w:t xml:space="preserve">avsnitt </w:t>
      </w:r>
      <w:r w:rsidR="00B64DA5" w:rsidRPr="00CB2EB0">
        <w:fldChar w:fldCharType="begin"/>
      </w:r>
      <w:r w:rsidR="00B64DA5" w:rsidRPr="00CB2EB0">
        <w:instrText xml:space="preserve"> REF _Ref223609727 \r \h </w:instrText>
      </w:r>
      <w:r w:rsidR="00112757" w:rsidRPr="00CB2EB0">
        <w:instrText xml:space="preserve"> \* MERGEFORMAT </w:instrText>
      </w:r>
      <w:r w:rsidR="00B64DA5" w:rsidRPr="00CB2EB0">
        <w:fldChar w:fldCharType="separate"/>
      </w:r>
      <w:r w:rsidR="001959AC">
        <w:t>2.3</w:t>
      </w:r>
      <w:r w:rsidR="00B64DA5" w:rsidRPr="00CB2EB0">
        <w:fldChar w:fldCharType="end"/>
      </w:r>
      <w:r w:rsidRPr="00CB2EB0">
        <w:t>). Den grundläggande löptids</w:t>
      </w:r>
      <w:r w:rsidR="00355141">
        <w:softHyphen/>
      </w:r>
      <w:r w:rsidRPr="00CB2EB0">
        <w:t>styrningen innebär att upplåningen i real och nominell kronskuld görs på längre löptider. Strategin bidrar till att upprätthålla en likvid marknad för svenska reala och nominella obligationer.</w:t>
      </w:r>
    </w:p>
    <w:p w14:paraId="1D13AECB" w14:textId="1964A6E8" w:rsidR="001A6F1A" w:rsidRPr="00CB2EB0" w:rsidRDefault="007D4F32" w:rsidP="004C52AD">
      <w:pPr>
        <w:pStyle w:val="Brdtextmedindrag"/>
      </w:pPr>
      <w:r w:rsidRPr="00CB2EB0">
        <w:t>Sedan regeringens beslut i riktlinjerna för 2020 finns ett gemensamt löptidsmål för hela statsskulden. Statsskuldens löptid skulle vara mellan 3,5 och 6</w:t>
      </w:r>
      <w:r w:rsidR="00AE09F1" w:rsidRPr="00CB2EB0">
        <w:t> </w:t>
      </w:r>
      <w:r w:rsidRPr="00CB2EB0">
        <w:t>år för hela utvärderingsperioden.</w:t>
      </w:r>
      <w:r w:rsidR="00C36229" w:rsidRPr="00CB2EB0">
        <w:t xml:space="preserve"> Enligt riktlinjerna för 2025 gick Riksgäldskontoret över från att mäta löptiden som duration till att mäta den som genomsnittlig räntebindningstid (ATR), se avsnitt </w:t>
      </w:r>
      <w:r w:rsidR="00B64DA5" w:rsidRPr="00CB2EB0">
        <w:fldChar w:fldCharType="begin"/>
      </w:r>
      <w:r w:rsidR="00B64DA5" w:rsidRPr="00CB2EB0">
        <w:instrText xml:space="preserve"> REF _Ref223609767 \r \h </w:instrText>
      </w:r>
      <w:r w:rsidR="00CB2EB0">
        <w:instrText xml:space="preserve"> \* MERGEFORMAT </w:instrText>
      </w:r>
      <w:r w:rsidR="00B64DA5" w:rsidRPr="00CB2EB0">
        <w:fldChar w:fldCharType="separate"/>
      </w:r>
      <w:r w:rsidR="001959AC">
        <w:t>3</w:t>
      </w:r>
      <w:r w:rsidR="00B64DA5" w:rsidRPr="00CB2EB0">
        <w:fldChar w:fldCharType="end"/>
      </w:r>
      <w:r w:rsidR="00C36229" w:rsidRPr="00CB2EB0">
        <w:t>.</w:t>
      </w:r>
      <w:r w:rsidR="00975DE9" w:rsidRPr="00CB2EB0">
        <w:t xml:space="preserve"> I </w:t>
      </w:r>
      <w:r w:rsidR="00A41F7D" w:rsidRPr="00CB2EB0">
        <w:fldChar w:fldCharType="begin"/>
      </w:r>
      <w:r w:rsidR="00A41F7D" w:rsidRPr="00CB2EB0">
        <w:instrText xml:space="preserve"> REF  _Ref223428244 \* Lower \h  \* MERGEFORMAT </w:instrText>
      </w:r>
      <w:r w:rsidR="00A41F7D" w:rsidRPr="00CB2EB0">
        <w:fldChar w:fldCharType="separate"/>
      </w:r>
      <w:r w:rsidR="001959AC" w:rsidRPr="00CB2EB0">
        <w:t xml:space="preserve">figur </w:t>
      </w:r>
      <w:r w:rsidR="001959AC">
        <w:rPr>
          <w:noProof/>
        </w:rPr>
        <w:t>4</w:t>
      </w:r>
      <w:r w:rsidR="001959AC" w:rsidRPr="00CB2EB0">
        <w:t>.</w:t>
      </w:r>
      <w:r w:rsidR="001959AC">
        <w:rPr>
          <w:noProof/>
        </w:rPr>
        <w:t>3</w:t>
      </w:r>
      <w:r w:rsidR="00A41F7D" w:rsidRPr="00CB2EB0">
        <w:fldChar w:fldCharType="end"/>
      </w:r>
      <w:r w:rsidR="00A41F7D" w:rsidRPr="00CB2EB0">
        <w:t xml:space="preserve"> </w:t>
      </w:r>
      <w:r w:rsidR="00975DE9" w:rsidRPr="00CB2EB0">
        <w:t>visas statsskuldens löptid uppdelat på skuldinstrument.</w:t>
      </w:r>
    </w:p>
    <w:p w14:paraId="05A51545" w14:textId="13C31D29" w:rsidR="00975DE9" w:rsidRPr="00CB2EB0" w:rsidRDefault="001A6F1A" w:rsidP="001A6F1A">
      <w:pPr>
        <w:pStyle w:val="Brdtextmedindrag"/>
      </w:pPr>
      <w:r w:rsidRPr="00CB2EB0">
        <w:t xml:space="preserve">Löptiden för hela statsskulden har varit inom regeringens </w:t>
      </w:r>
      <w:r w:rsidR="0016447E" w:rsidRPr="00CB2EB0">
        <w:t>löptids</w:t>
      </w:r>
      <w:r w:rsidR="0055283A">
        <w:softHyphen/>
      </w:r>
      <w:r w:rsidRPr="00CB2EB0">
        <w:t>intervall för respektive år.</w:t>
      </w:r>
      <w:r w:rsidR="00DE15A4" w:rsidRPr="00CB2EB0">
        <w:t xml:space="preserve"> Statsskuldens löptid har under utvärderings</w:t>
      </w:r>
      <w:r w:rsidR="006850FC">
        <w:softHyphen/>
      </w:r>
      <w:r w:rsidR="00DE15A4" w:rsidRPr="00CB2EB0">
        <w:t>perioden i genomsnitt varit 4,85</w:t>
      </w:r>
      <w:r w:rsidR="00122785" w:rsidRPr="00CB2EB0">
        <w:t> </w:t>
      </w:r>
      <w:r w:rsidR="00DE15A4" w:rsidRPr="00CB2EB0">
        <w:t>år</w:t>
      </w:r>
      <w:r w:rsidR="00606924" w:rsidRPr="00CB2EB0">
        <w:t>, vilket är nära löptidsintervallets mitt.</w:t>
      </w:r>
      <w:r w:rsidR="00DE15A4" w:rsidRPr="00CB2EB0">
        <w:t xml:space="preserve"> </w:t>
      </w:r>
      <w:r w:rsidR="00C007B4" w:rsidRPr="00CB2EB0">
        <w:t xml:space="preserve">I mitten av 2021 steg den genomsnittliga löptiden några tiondels år, vilket berodde på att det emitterades en </w:t>
      </w:r>
      <w:r w:rsidR="00825A6D">
        <w:t>femtio</w:t>
      </w:r>
      <w:r w:rsidR="00C007B4" w:rsidRPr="00CB2EB0">
        <w:t xml:space="preserve">årig statsobligation i juni 2021. Därefter sjönk löptiden, vilket till stor del förklaras av att </w:t>
      </w:r>
      <w:r w:rsidR="00975992" w:rsidRPr="00CB2EB0">
        <w:t xml:space="preserve">högre </w:t>
      </w:r>
      <w:r w:rsidR="00C007B4" w:rsidRPr="00CB2EB0">
        <w:t>marknads</w:t>
      </w:r>
      <w:r w:rsidR="00045A74">
        <w:softHyphen/>
      </w:r>
      <w:r w:rsidR="00C007B4" w:rsidRPr="00CB2EB0">
        <w:t xml:space="preserve">räntor innebär </w:t>
      </w:r>
      <w:r w:rsidR="004C592F" w:rsidRPr="00CB2EB0">
        <w:t xml:space="preserve">lägre </w:t>
      </w:r>
      <w:r w:rsidR="00C007B4" w:rsidRPr="00CB2EB0">
        <w:t xml:space="preserve">duration. </w:t>
      </w:r>
    </w:p>
    <w:p w14:paraId="24955C73" w14:textId="0F1F3A15" w:rsidR="00FA4C5C" w:rsidRPr="00CB2EB0" w:rsidRDefault="00FA4C5C" w:rsidP="00975DE9">
      <w:pPr>
        <w:pStyle w:val="Brdtextmedindrag"/>
      </w:pPr>
      <w:r w:rsidRPr="00CB2EB0">
        <w:t xml:space="preserve">Den nominella kronskuldens löptid </w:t>
      </w:r>
      <w:r w:rsidR="00954141" w:rsidRPr="00CB2EB0">
        <w:t>var</w:t>
      </w:r>
      <w:r w:rsidRPr="00CB2EB0">
        <w:t xml:space="preserve"> i början av utvärderingsperioden nära den övre gränsen av </w:t>
      </w:r>
      <w:r w:rsidR="004C4EAB" w:rsidRPr="00CB2EB0">
        <w:t xml:space="preserve">löptidsintervallet </w:t>
      </w:r>
      <w:r w:rsidRPr="00CB2EB0">
        <w:t>och under 2021 och 2022 över</w:t>
      </w:r>
      <w:r w:rsidR="000654A1">
        <w:softHyphen/>
      </w:r>
      <w:r w:rsidRPr="00CB2EB0">
        <w:t xml:space="preserve">skreds gränsen </w:t>
      </w:r>
      <w:r w:rsidR="00760B72" w:rsidRPr="00CB2EB0">
        <w:t>vid några tillfällen</w:t>
      </w:r>
      <w:r w:rsidRPr="00CB2EB0">
        <w:t>. Under senare delen av utvärderings</w:t>
      </w:r>
      <w:r w:rsidR="000A42F2">
        <w:softHyphen/>
      </w:r>
      <w:r w:rsidRPr="00CB2EB0">
        <w:t>perioden har den nominella kronskuldens löptid varit runt mitten av löptidsintervallet.</w:t>
      </w:r>
      <w:r w:rsidR="00912133" w:rsidRPr="00CB2EB0">
        <w:t xml:space="preserve"> När Riksgäldskontoret planerar upplåningen är utgångs</w:t>
      </w:r>
      <w:r w:rsidR="00A14D13">
        <w:softHyphen/>
      </w:r>
      <w:r w:rsidR="00912133" w:rsidRPr="00CB2EB0">
        <w:t>punkten att styra den övergripande löptiden mot mitten av intervallet. Att den inte hamnar exakt där beror på att skulden påverkas av slumpmässiga faktorer – främst nettolånebehovet – som gör att den faktiska ränte</w:t>
      </w:r>
      <w:r w:rsidR="00A14D13">
        <w:softHyphen/>
      </w:r>
      <w:r w:rsidR="00912133" w:rsidRPr="00CB2EB0">
        <w:t>bindningstiden avviker från den planerade.</w:t>
      </w:r>
    </w:p>
    <w:p w14:paraId="17AA5BE0" w14:textId="0BB105D1" w:rsidR="00912133" w:rsidRPr="00CB2EB0" w:rsidRDefault="00C36476" w:rsidP="00912133">
      <w:pPr>
        <w:pStyle w:val="Brdtextmedindrag"/>
      </w:pPr>
      <w:r w:rsidRPr="00CB2EB0">
        <w:t xml:space="preserve">Löptiden för realskulden </w:t>
      </w:r>
      <w:r w:rsidR="004D2584" w:rsidRPr="00CB2EB0">
        <w:t xml:space="preserve">sjönk under utvärderingsperioden </w:t>
      </w:r>
      <w:r w:rsidR="00975DE9" w:rsidRPr="00CB2EB0">
        <w:t>men</w:t>
      </w:r>
      <w:r w:rsidRPr="00CB2EB0">
        <w:t xml:space="preserve"> låg inom </w:t>
      </w:r>
      <w:r w:rsidR="00205424" w:rsidRPr="00CB2EB0">
        <w:t xml:space="preserve">Riksgäldskontorets interna </w:t>
      </w:r>
      <w:r w:rsidR="005E254C" w:rsidRPr="00CB2EB0">
        <w:t>löptidsintervall</w:t>
      </w:r>
      <w:r w:rsidRPr="00CB2EB0">
        <w:t xml:space="preserve">. </w:t>
      </w:r>
      <w:r w:rsidR="004D2584" w:rsidRPr="00CB2EB0">
        <w:t>Löptiden</w:t>
      </w:r>
      <w:r w:rsidR="00912133" w:rsidRPr="00CB2EB0">
        <w:t xml:space="preserve"> öka</w:t>
      </w:r>
      <w:r w:rsidR="004D2584" w:rsidRPr="00CB2EB0">
        <w:t>de</w:t>
      </w:r>
      <w:r w:rsidR="00912133" w:rsidRPr="00CB2EB0">
        <w:t xml:space="preserve"> tillfälligt </w:t>
      </w:r>
      <w:r w:rsidR="004D2584" w:rsidRPr="00CB2EB0">
        <w:t xml:space="preserve">2025 </w:t>
      </w:r>
      <w:r w:rsidR="00912133" w:rsidRPr="00CB2EB0">
        <w:t xml:space="preserve">då </w:t>
      </w:r>
      <w:r w:rsidR="009352CF" w:rsidRPr="00CB2EB0">
        <w:t xml:space="preserve">en </w:t>
      </w:r>
      <w:r w:rsidR="00912133" w:rsidRPr="00CB2EB0">
        <w:t>realobligation förföll i juni</w:t>
      </w:r>
      <w:r w:rsidR="009352CF" w:rsidRPr="00CB2EB0">
        <w:t>.</w:t>
      </w:r>
      <w:r w:rsidR="001723DF" w:rsidRPr="00CB2EB0">
        <w:t xml:space="preserve"> En realobligation med förfall i närtid drar ned den genomsnittliga löptiden för den reala statsskulden. När en sådan obligation förfaller stiger den genomsnittliga löptiden. </w:t>
      </w:r>
    </w:p>
    <w:p w14:paraId="6091E90F" w14:textId="3828BC6B" w:rsidR="0006556B" w:rsidRPr="00CB2EB0" w:rsidRDefault="0006556B" w:rsidP="00F81A67">
      <w:pPr>
        <w:pStyle w:val="Brdtextmedindrag"/>
      </w:pPr>
      <w:r w:rsidRPr="00CB2EB0">
        <w:lastRenderedPageBreak/>
        <w:t xml:space="preserve">Löptiden </w:t>
      </w:r>
      <w:r w:rsidR="00205424" w:rsidRPr="00CB2EB0">
        <w:t xml:space="preserve">för valutaskulden </w:t>
      </w:r>
      <w:r w:rsidRPr="00CB2EB0">
        <w:t xml:space="preserve">har under utvärderingsperioden legat inom </w:t>
      </w:r>
      <w:r w:rsidR="00205424" w:rsidRPr="00CB2EB0">
        <w:t xml:space="preserve">Riksgäldskontorets interna löptidsintervall </w:t>
      </w:r>
      <w:r w:rsidR="00F81A67" w:rsidRPr="00CB2EB0">
        <w:t>på</w:t>
      </w:r>
      <w:r w:rsidRPr="00CB2EB0">
        <w:t xml:space="preserve"> 0–1</w:t>
      </w:r>
      <w:r w:rsidR="00F47552" w:rsidRPr="00CB2EB0">
        <w:t> </w:t>
      </w:r>
      <w:r w:rsidRPr="00CB2EB0">
        <w:t>år.</w:t>
      </w:r>
      <w:r w:rsidR="00F81A67" w:rsidRPr="00CB2EB0">
        <w:t xml:space="preserve"> Förutsättningarna att styra löptiden i den valutaexponerade delen av skulden är goda, eftersom den generellt utvecklas på ett förutsägbart sätt. Riksgäldskontoret kan också korrigera löptiden om den skulle avvika, eftersom valuta</w:t>
      </w:r>
      <w:r w:rsidR="007924BE">
        <w:softHyphen/>
      </w:r>
      <w:r w:rsidR="00F81A67" w:rsidRPr="00CB2EB0">
        <w:t>exponeringen är skapad med hjälp av likvida derivatinstrument.</w:t>
      </w:r>
    </w:p>
    <w:p w14:paraId="52B4028D" w14:textId="211BDEBD" w:rsidR="0017777C" w:rsidRPr="00CB2EB0" w:rsidRDefault="0017777C" w:rsidP="004E0277">
      <w:pPr>
        <w:pStyle w:val="FigurRubrik"/>
      </w:pPr>
      <w:bookmarkStart w:id="35" w:name="_Ref223428244"/>
      <w:r w:rsidRPr="00CB2EB0">
        <w:t xml:space="preserve">Figur </w:t>
      </w:r>
      <w:r w:rsidRPr="00CB2EB0">
        <w:fldChar w:fldCharType="begin"/>
      </w:r>
      <w:r w:rsidRPr="00CB2EB0">
        <w:instrText xml:space="preserve"> STYLEREF 1 \s </w:instrText>
      </w:r>
      <w:r w:rsidRPr="00CB2EB0">
        <w:fldChar w:fldCharType="separate"/>
      </w:r>
      <w:r w:rsidR="001959AC">
        <w:rPr>
          <w:noProof/>
        </w:rPr>
        <w:t>4</w:t>
      </w:r>
      <w:r w:rsidRPr="00CB2EB0">
        <w:rPr>
          <w:noProof/>
        </w:rPr>
        <w:fldChar w:fldCharType="end"/>
      </w:r>
      <w:r w:rsidRPr="00CB2EB0">
        <w:t>.</w:t>
      </w:r>
      <w:fldSimple w:instr=" SEQ Figur \* Arabic \s 1  \* MERGEFORMAT ">
        <w:r w:rsidR="001959AC">
          <w:rPr>
            <w:noProof/>
          </w:rPr>
          <w:t>3</w:t>
        </w:r>
      </w:fldSimple>
      <w:bookmarkEnd w:id="35"/>
      <w:r w:rsidRPr="00CB2EB0">
        <w:tab/>
      </w:r>
      <w:r w:rsidR="005A5B08" w:rsidRPr="00CB2EB0">
        <w:t>Statsskuldens löptid uppdelat på skuldinstrument</w:t>
      </w:r>
    </w:p>
    <w:p w14:paraId="5ED2AFD1" w14:textId="6C2F4813" w:rsidR="0017777C" w:rsidRPr="00CB2EB0" w:rsidRDefault="005A5B08" w:rsidP="002F4A14">
      <w:pPr>
        <w:pStyle w:val="FigurUnderrubrik"/>
      </w:pPr>
      <w:r w:rsidRPr="00CB2EB0">
        <w:t>Enheten år</w:t>
      </w:r>
      <w:r w:rsidR="002B4BD7" w:rsidRPr="00CB2EB0">
        <w:t xml:space="preserve"> (</w:t>
      </w:r>
      <w:r w:rsidRPr="00CB2EB0">
        <w:t xml:space="preserve">Macaulayduration </w:t>
      </w:r>
      <w:r w:rsidR="00F71B57" w:rsidRPr="00CB2EB0">
        <w:t>2021–20</w:t>
      </w:r>
      <w:r w:rsidR="008E2436" w:rsidRPr="00CB2EB0">
        <w:t>2</w:t>
      </w:r>
      <w:r w:rsidR="00F71B57" w:rsidRPr="00CB2EB0">
        <w:t>4</w:t>
      </w:r>
      <w:r w:rsidRPr="00CB2EB0">
        <w:t>, ATR 2025</w:t>
      </w:r>
      <w:r w:rsidR="002B4BD7" w:rsidRPr="00CB2EB0">
        <w:t>)</w:t>
      </w:r>
    </w:p>
    <w:p w14:paraId="2B38ACEF" w14:textId="6B7700E1" w:rsidR="0017777C" w:rsidRPr="00CB2EB0" w:rsidRDefault="00B258F0" w:rsidP="00B258F0">
      <w:pPr>
        <w:pStyle w:val="Brdtext"/>
      </w:pPr>
      <w:r w:rsidRPr="00CB2EB0">
        <w:rPr>
          <w:noProof/>
        </w:rPr>
        <w:drawing>
          <wp:inline distT="0" distB="0" distL="0" distR="0" wp14:anchorId="6E972181" wp14:editId="3611BC81">
            <wp:extent cx="3744595" cy="2460625"/>
            <wp:effectExtent l="0" t="0" r="8255" b="0"/>
            <wp:docPr id="14"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CA9A5D9" w14:textId="5761EBBE" w:rsidR="00B81C97" w:rsidRPr="00CB2EB0" w:rsidRDefault="00B81C97" w:rsidP="00897BD6">
      <w:pPr>
        <w:pStyle w:val="FigurFotnot"/>
      </w:pPr>
      <w:r w:rsidRPr="00CB2EB0">
        <w:t>Anm.: Fram till januari 2025 mätte Riksgäld</w:t>
      </w:r>
      <w:r w:rsidR="00A90791" w:rsidRPr="00CB2EB0">
        <w:t>skontoret</w:t>
      </w:r>
      <w:r w:rsidRPr="00CB2EB0">
        <w:t xml:space="preserve"> löptiden som Macaulayduration. Därefter </w:t>
      </w:r>
      <w:r w:rsidR="00A90791" w:rsidRPr="00CB2EB0">
        <w:t>mäts</w:t>
      </w:r>
      <w:r w:rsidRPr="00CB2EB0">
        <w:t xml:space="preserve"> löptiden som genomsnittlig räntebindningstid (average time to refixing, ATR).</w:t>
      </w:r>
    </w:p>
    <w:p w14:paraId="384F095E" w14:textId="5DDC778B" w:rsidR="0017777C" w:rsidRPr="00CB2EB0" w:rsidRDefault="00BB4CD7" w:rsidP="00897BD6">
      <w:pPr>
        <w:pStyle w:val="FigurFotnot"/>
      </w:pPr>
      <w:r w:rsidRPr="00CB2EB0">
        <w:t>Källa: Riksgäldskontoret</w:t>
      </w:r>
      <w:r w:rsidR="00C15CD7" w:rsidRPr="00CB2EB0">
        <w:t>.</w:t>
      </w:r>
    </w:p>
    <w:p w14:paraId="252BF77B" w14:textId="77777777" w:rsidR="00B50DC1" w:rsidRPr="00CB2EB0" w:rsidRDefault="00B50DC1" w:rsidP="00B50DC1">
      <w:pPr>
        <w:pStyle w:val="Brdtext"/>
      </w:pPr>
    </w:p>
    <w:p w14:paraId="6FD68731" w14:textId="2D0B4137" w:rsidR="00C007B4" w:rsidRPr="00CB2EB0" w:rsidRDefault="00C007B4" w:rsidP="00C007B4">
      <w:pPr>
        <w:pStyle w:val="Brdtext"/>
      </w:pPr>
      <w:r w:rsidRPr="00CB2EB0">
        <w:t xml:space="preserve">Statskontoret noterar att när löptidsmåttet ändrades från Macaulay-duration till genomsnittlig återstående räntebindningstid ökade löptiden med några tiondels år. Denna ökning återspeglade inte någon ändring i faktisk löptid, utan var bara en effekt av bytet av löptidsmått. Implicit innebär det att regeringen fastställde ett något kortare löptidsintervall </w:t>
      </w:r>
      <w:r w:rsidR="00544381" w:rsidRPr="00CB2EB0">
        <w:t>fr.o.m.</w:t>
      </w:r>
      <w:r w:rsidRPr="00CB2EB0">
        <w:t xml:space="preserve"> 2025. Effekten är</w:t>
      </w:r>
      <w:r w:rsidR="00555A85" w:rsidRPr="00CB2EB0">
        <w:t xml:space="preserve"> </w:t>
      </w:r>
      <w:r w:rsidRPr="00CB2EB0">
        <w:t>i sammanhanget måttlig</w:t>
      </w:r>
      <w:r w:rsidR="00BD4E72" w:rsidRPr="00CB2EB0">
        <w:t xml:space="preserve"> enligt Statskontoret</w:t>
      </w:r>
      <w:r w:rsidRPr="00CB2EB0">
        <w:t>, men kommenteras inte i regeringens riktlinjebeslut eller i Riksgäldskontorets förslag till riktlinjer för 2025.</w:t>
      </w:r>
    </w:p>
    <w:p w14:paraId="2B90EA98" w14:textId="3A9E1470" w:rsidR="003F6964" w:rsidRPr="00CB2EB0" w:rsidRDefault="00CD3DFD" w:rsidP="00CB2EB0">
      <w:pPr>
        <w:pStyle w:val="Brdtextmedindrag"/>
      </w:pPr>
      <w:r w:rsidRPr="00CB2EB0">
        <w:t>Utifrån regeringens riktlinjer ska Riksgäldskontoret besluta om interna riktlinjer inom ramen för den operativa styrningen</w:t>
      </w:r>
      <w:r w:rsidR="004C4EAB" w:rsidRPr="00CB2EB0">
        <w:t>, se figur 4.1</w:t>
      </w:r>
      <w:r w:rsidRPr="00CB2EB0">
        <w:t xml:space="preserve">. </w:t>
      </w:r>
    </w:p>
    <w:p w14:paraId="73FE4D0E" w14:textId="71E2FBC9" w:rsidR="007659F3" w:rsidRPr="00CB2EB0" w:rsidRDefault="007659F3" w:rsidP="00552825">
      <w:pPr>
        <w:pStyle w:val="TabellRubrik"/>
      </w:pPr>
      <w:r w:rsidRPr="00CB2EB0">
        <w:t xml:space="preserve">Tabell </w:t>
      </w:r>
      <w:r w:rsidRPr="00CB2EB0">
        <w:fldChar w:fldCharType="begin"/>
      </w:r>
      <w:r w:rsidRPr="00CB2EB0">
        <w:instrText xml:space="preserve"> STYLEREF 1 \s </w:instrText>
      </w:r>
      <w:r w:rsidRPr="00CB2EB0">
        <w:fldChar w:fldCharType="separate"/>
      </w:r>
      <w:r w:rsidR="001959AC">
        <w:rPr>
          <w:noProof/>
        </w:rPr>
        <w:t>4</w:t>
      </w:r>
      <w:r w:rsidRPr="00CB2EB0">
        <w:rPr>
          <w:noProof/>
        </w:rPr>
        <w:fldChar w:fldCharType="end"/>
      </w:r>
      <w:r w:rsidRPr="00CB2EB0">
        <w:t>.</w:t>
      </w:r>
      <w:fldSimple w:instr=" SEQ Tabell \* Arabic \s 1  \* MERGEFORMAT ">
        <w:r w:rsidR="001959AC">
          <w:rPr>
            <w:noProof/>
          </w:rPr>
          <w:t>1</w:t>
        </w:r>
      </w:fldSimple>
      <w:r w:rsidRPr="00CB2EB0">
        <w:tab/>
        <w:t>Riksgäldskontoret interna löptidsintervall per skuldslag</w:t>
      </w:r>
    </w:p>
    <w:tbl>
      <w:tblPr>
        <w:tblW w:w="5000" w:type="pct"/>
        <w:tblCellMar>
          <w:left w:w="0" w:type="dxa"/>
        </w:tblCellMar>
        <w:tblLook w:val="06A0" w:firstRow="1" w:lastRow="0" w:firstColumn="1" w:lastColumn="0" w:noHBand="1" w:noVBand="1"/>
      </w:tblPr>
      <w:tblGrid>
        <w:gridCol w:w="1589"/>
        <w:gridCol w:w="682"/>
        <w:gridCol w:w="673"/>
        <w:gridCol w:w="682"/>
        <w:gridCol w:w="1590"/>
        <w:gridCol w:w="681"/>
      </w:tblGrid>
      <w:tr w:rsidR="00DF7D1D" w14:paraId="031D1F31" w14:textId="77777777">
        <w:trPr>
          <w:tblHeader/>
        </w:trPr>
        <w:tc>
          <w:tcPr>
            <w:tcW w:w="1348" w:type="pct"/>
            <w:tcBorders>
              <w:top w:val="single" w:sz="8" w:space="0" w:color="auto"/>
              <w:bottom w:val="single" w:sz="6" w:space="0" w:color="auto"/>
            </w:tcBorders>
            <w:shd w:val="clear" w:color="auto" w:fill="auto"/>
          </w:tcPr>
          <w:p w14:paraId="7DDF00AD" w14:textId="5906C10D" w:rsidR="007659F3" w:rsidRPr="00CB2EB0" w:rsidRDefault="007659F3" w:rsidP="007659F3">
            <w:pPr>
              <w:pStyle w:val="TabellHuvud"/>
              <w:jc w:val="left"/>
            </w:pPr>
            <w:r w:rsidRPr="00CB2EB0">
              <w:t>Skuldslag</w:t>
            </w:r>
          </w:p>
        </w:tc>
        <w:tc>
          <w:tcPr>
            <w:tcW w:w="578" w:type="pct"/>
            <w:tcBorders>
              <w:top w:val="single" w:sz="8" w:space="0" w:color="auto"/>
              <w:bottom w:val="single" w:sz="6" w:space="0" w:color="auto"/>
            </w:tcBorders>
            <w:shd w:val="clear" w:color="auto" w:fill="auto"/>
          </w:tcPr>
          <w:p w14:paraId="6F29F0F2" w14:textId="7328EC42" w:rsidR="007659F3" w:rsidRPr="00CB2EB0" w:rsidRDefault="007659F3" w:rsidP="007659F3">
            <w:pPr>
              <w:pStyle w:val="TabellHuvud"/>
            </w:pPr>
            <w:r w:rsidRPr="00CB2EB0">
              <w:t>Löptid 2021–2022</w:t>
            </w:r>
          </w:p>
        </w:tc>
        <w:tc>
          <w:tcPr>
            <w:tcW w:w="571" w:type="pct"/>
            <w:tcBorders>
              <w:top w:val="single" w:sz="8" w:space="0" w:color="auto"/>
              <w:bottom w:val="single" w:sz="6" w:space="0" w:color="auto"/>
            </w:tcBorders>
            <w:shd w:val="clear" w:color="auto" w:fill="auto"/>
          </w:tcPr>
          <w:p w14:paraId="370D56BF" w14:textId="03FC8655" w:rsidR="007659F3" w:rsidRPr="00CB2EB0" w:rsidRDefault="007659F3" w:rsidP="007659F3">
            <w:pPr>
              <w:pStyle w:val="TabellHuvud"/>
            </w:pPr>
            <w:r w:rsidRPr="00CB2EB0">
              <w:t>Löptid 2023</w:t>
            </w:r>
          </w:p>
        </w:tc>
        <w:tc>
          <w:tcPr>
            <w:tcW w:w="578" w:type="pct"/>
            <w:tcBorders>
              <w:top w:val="single" w:sz="8" w:space="0" w:color="auto"/>
              <w:bottom w:val="single" w:sz="6" w:space="0" w:color="auto"/>
            </w:tcBorders>
            <w:shd w:val="clear" w:color="auto" w:fill="auto"/>
          </w:tcPr>
          <w:p w14:paraId="15C5A758" w14:textId="09BA2327" w:rsidR="007659F3" w:rsidRPr="00CB2EB0" w:rsidRDefault="007659F3" w:rsidP="007659F3">
            <w:pPr>
              <w:pStyle w:val="TabellHuvud"/>
            </w:pPr>
            <w:r w:rsidRPr="00CB2EB0">
              <w:t>Löptid 2024–2025</w:t>
            </w:r>
          </w:p>
        </w:tc>
        <w:tc>
          <w:tcPr>
            <w:tcW w:w="1348" w:type="pct"/>
            <w:tcBorders>
              <w:top w:val="single" w:sz="8" w:space="0" w:color="auto"/>
              <w:bottom w:val="single" w:sz="6" w:space="0" w:color="auto"/>
            </w:tcBorders>
            <w:shd w:val="clear" w:color="auto" w:fill="auto"/>
          </w:tcPr>
          <w:p w14:paraId="5AB19928" w14:textId="70670D33" w:rsidR="007659F3" w:rsidRPr="00CB2EB0" w:rsidRDefault="007659F3" w:rsidP="007659F3">
            <w:pPr>
              <w:pStyle w:val="TabellHuvud"/>
            </w:pPr>
            <w:r w:rsidRPr="00CB2EB0">
              <w:t>Skuldslag</w:t>
            </w:r>
          </w:p>
        </w:tc>
        <w:tc>
          <w:tcPr>
            <w:tcW w:w="578" w:type="pct"/>
            <w:tcBorders>
              <w:top w:val="single" w:sz="8" w:space="0" w:color="auto"/>
              <w:bottom w:val="single" w:sz="6" w:space="0" w:color="auto"/>
            </w:tcBorders>
            <w:shd w:val="clear" w:color="auto" w:fill="auto"/>
          </w:tcPr>
          <w:p w14:paraId="6A4D8A97" w14:textId="3C725EC7" w:rsidR="007659F3" w:rsidRPr="00CB2EB0" w:rsidRDefault="007659F3" w:rsidP="007659F3">
            <w:pPr>
              <w:pStyle w:val="TabellHuvud"/>
            </w:pPr>
            <w:r w:rsidRPr="00CB2EB0">
              <w:t>Löptid 2021–2022</w:t>
            </w:r>
          </w:p>
        </w:tc>
      </w:tr>
      <w:tr w:rsidR="00DF7D1D" w14:paraId="0F424A02" w14:textId="77777777">
        <w:tc>
          <w:tcPr>
            <w:tcW w:w="1348" w:type="pct"/>
            <w:tcBorders>
              <w:top w:val="single" w:sz="6" w:space="0" w:color="auto"/>
            </w:tcBorders>
            <w:shd w:val="clear" w:color="auto" w:fill="auto"/>
          </w:tcPr>
          <w:p w14:paraId="7E37A2C2" w14:textId="44E35274" w:rsidR="007659F3" w:rsidRPr="00CB2EB0" w:rsidRDefault="007659F3" w:rsidP="007659F3">
            <w:pPr>
              <w:pStyle w:val="TabellRader"/>
              <w:jc w:val="left"/>
            </w:pPr>
            <w:r w:rsidRPr="00CB2EB0">
              <w:t xml:space="preserve">Statsskuldens löptid (regeringsbeslut) </w:t>
            </w:r>
          </w:p>
        </w:tc>
        <w:tc>
          <w:tcPr>
            <w:tcW w:w="578" w:type="pct"/>
            <w:tcBorders>
              <w:top w:val="single" w:sz="6" w:space="0" w:color="auto"/>
            </w:tcBorders>
            <w:shd w:val="clear" w:color="auto" w:fill="auto"/>
          </w:tcPr>
          <w:p w14:paraId="376BE736" w14:textId="5FDF0A53" w:rsidR="007659F3" w:rsidRPr="00CB2EB0" w:rsidRDefault="007659F3" w:rsidP="007659F3">
            <w:pPr>
              <w:pStyle w:val="TabellRader"/>
            </w:pPr>
            <w:r w:rsidRPr="00CB2EB0">
              <w:t>3,5–6,0 år</w:t>
            </w:r>
          </w:p>
        </w:tc>
        <w:tc>
          <w:tcPr>
            <w:tcW w:w="571" w:type="pct"/>
            <w:tcBorders>
              <w:top w:val="single" w:sz="6" w:space="0" w:color="auto"/>
            </w:tcBorders>
            <w:shd w:val="clear" w:color="auto" w:fill="auto"/>
          </w:tcPr>
          <w:p w14:paraId="4191CA79" w14:textId="0A9BF85C" w:rsidR="007659F3" w:rsidRPr="00CB2EB0" w:rsidRDefault="007659F3" w:rsidP="007659F3">
            <w:pPr>
              <w:pStyle w:val="TabellRader"/>
            </w:pPr>
            <w:r w:rsidRPr="00CB2EB0">
              <w:t>3,5–6,0 år</w:t>
            </w:r>
          </w:p>
        </w:tc>
        <w:tc>
          <w:tcPr>
            <w:tcW w:w="578" w:type="pct"/>
            <w:tcBorders>
              <w:top w:val="single" w:sz="6" w:space="0" w:color="auto"/>
            </w:tcBorders>
            <w:shd w:val="clear" w:color="auto" w:fill="auto"/>
          </w:tcPr>
          <w:p w14:paraId="11116538" w14:textId="1C938B9C" w:rsidR="007659F3" w:rsidRPr="00CB2EB0" w:rsidRDefault="007659F3" w:rsidP="007659F3">
            <w:pPr>
              <w:pStyle w:val="TabellRader"/>
            </w:pPr>
            <w:r w:rsidRPr="00CB2EB0">
              <w:t>3,5–6,0 år</w:t>
            </w:r>
          </w:p>
        </w:tc>
        <w:tc>
          <w:tcPr>
            <w:tcW w:w="1348" w:type="pct"/>
            <w:tcBorders>
              <w:top w:val="single" w:sz="6" w:space="0" w:color="auto"/>
            </w:tcBorders>
            <w:shd w:val="clear" w:color="auto" w:fill="auto"/>
          </w:tcPr>
          <w:p w14:paraId="6364BFFA" w14:textId="0AAADEE0" w:rsidR="007659F3" w:rsidRPr="00CB2EB0" w:rsidRDefault="007659F3" w:rsidP="007659F3">
            <w:pPr>
              <w:pStyle w:val="TabellRader"/>
            </w:pPr>
            <w:r w:rsidRPr="00CB2EB0">
              <w:t xml:space="preserve">Statsskuldens löptid (regeringsbeslut) </w:t>
            </w:r>
          </w:p>
        </w:tc>
        <w:tc>
          <w:tcPr>
            <w:tcW w:w="578" w:type="pct"/>
            <w:tcBorders>
              <w:top w:val="single" w:sz="6" w:space="0" w:color="auto"/>
            </w:tcBorders>
            <w:shd w:val="clear" w:color="auto" w:fill="auto"/>
          </w:tcPr>
          <w:p w14:paraId="2B25C139" w14:textId="5834DE09" w:rsidR="007659F3" w:rsidRPr="00CB2EB0" w:rsidRDefault="007659F3" w:rsidP="007659F3">
            <w:pPr>
              <w:pStyle w:val="TabellRader"/>
            </w:pPr>
            <w:r w:rsidRPr="00CB2EB0">
              <w:t>3,5–6,0 år</w:t>
            </w:r>
          </w:p>
        </w:tc>
      </w:tr>
      <w:tr w:rsidR="00DF7D1D" w14:paraId="7D1DF2D6" w14:textId="77777777">
        <w:tc>
          <w:tcPr>
            <w:tcW w:w="1348" w:type="pct"/>
            <w:shd w:val="clear" w:color="auto" w:fill="auto"/>
          </w:tcPr>
          <w:p w14:paraId="0CF3BFB6" w14:textId="635F9D43" w:rsidR="007659F3" w:rsidRPr="00CB2EB0" w:rsidRDefault="007659F3" w:rsidP="007659F3">
            <w:pPr>
              <w:pStyle w:val="TabellRader"/>
              <w:jc w:val="left"/>
            </w:pPr>
            <w:r w:rsidRPr="00CB2EB0">
              <w:t xml:space="preserve">Nominell kronskuld (internt beslut) </w:t>
            </w:r>
          </w:p>
        </w:tc>
        <w:tc>
          <w:tcPr>
            <w:tcW w:w="578" w:type="pct"/>
            <w:shd w:val="clear" w:color="auto" w:fill="auto"/>
          </w:tcPr>
          <w:p w14:paraId="7E0E5459" w14:textId="6620F904" w:rsidR="007659F3" w:rsidRPr="00CB2EB0" w:rsidRDefault="007659F3" w:rsidP="007659F3">
            <w:pPr>
              <w:pStyle w:val="TabellRader"/>
            </w:pPr>
            <w:r w:rsidRPr="00CB2EB0">
              <w:t>4,1–6,4 år</w:t>
            </w:r>
          </w:p>
        </w:tc>
        <w:tc>
          <w:tcPr>
            <w:tcW w:w="571" w:type="pct"/>
            <w:shd w:val="clear" w:color="auto" w:fill="auto"/>
          </w:tcPr>
          <w:p w14:paraId="06C6D31F" w14:textId="19FDFAF4" w:rsidR="007659F3" w:rsidRPr="00CB2EB0" w:rsidRDefault="007659F3" w:rsidP="007659F3">
            <w:pPr>
              <w:pStyle w:val="TabellRader"/>
            </w:pPr>
            <w:r w:rsidRPr="00CB2EB0">
              <w:t>3,7–6,0 år</w:t>
            </w:r>
          </w:p>
        </w:tc>
        <w:tc>
          <w:tcPr>
            <w:tcW w:w="578" w:type="pct"/>
            <w:shd w:val="clear" w:color="auto" w:fill="auto"/>
          </w:tcPr>
          <w:p w14:paraId="149DF83F" w14:textId="3F9116B7" w:rsidR="007659F3" w:rsidRPr="00CB2EB0" w:rsidRDefault="007659F3" w:rsidP="007659F3">
            <w:pPr>
              <w:pStyle w:val="TabellRader"/>
            </w:pPr>
            <w:r w:rsidRPr="00CB2EB0">
              <w:t>3,9–6,0 år</w:t>
            </w:r>
          </w:p>
        </w:tc>
        <w:tc>
          <w:tcPr>
            <w:tcW w:w="1348" w:type="pct"/>
            <w:shd w:val="clear" w:color="auto" w:fill="auto"/>
          </w:tcPr>
          <w:p w14:paraId="0B495445" w14:textId="7F36F4FA" w:rsidR="007659F3" w:rsidRPr="00CB2EB0" w:rsidRDefault="007659F3" w:rsidP="007659F3">
            <w:pPr>
              <w:pStyle w:val="TabellRader"/>
            </w:pPr>
            <w:r w:rsidRPr="00CB2EB0">
              <w:t xml:space="preserve">Nominell kronskuld (internt beslut) </w:t>
            </w:r>
          </w:p>
        </w:tc>
        <w:tc>
          <w:tcPr>
            <w:tcW w:w="578" w:type="pct"/>
            <w:shd w:val="clear" w:color="auto" w:fill="auto"/>
          </w:tcPr>
          <w:p w14:paraId="17328434" w14:textId="7A6128BB" w:rsidR="007659F3" w:rsidRPr="00CB2EB0" w:rsidRDefault="007659F3" w:rsidP="007659F3">
            <w:pPr>
              <w:pStyle w:val="TabellRader"/>
            </w:pPr>
            <w:r w:rsidRPr="00CB2EB0">
              <w:t>4,1–6,4 år</w:t>
            </w:r>
          </w:p>
        </w:tc>
      </w:tr>
      <w:tr w:rsidR="00DF7D1D" w14:paraId="00F9F0DC" w14:textId="77777777">
        <w:tc>
          <w:tcPr>
            <w:tcW w:w="1348" w:type="pct"/>
            <w:shd w:val="clear" w:color="auto" w:fill="auto"/>
          </w:tcPr>
          <w:p w14:paraId="5928395D" w14:textId="3C214D89" w:rsidR="007659F3" w:rsidRPr="00CB2EB0" w:rsidRDefault="007659F3" w:rsidP="007659F3">
            <w:pPr>
              <w:pStyle w:val="TabellRader"/>
              <w:jc w:val="left"/>
            </w:pPr>
            <w:r w:rsidRPr="00CB2EB0">
              <w:lastRenderedPageBreak/>
              <w:t xml:space="preserve">Real kronskuld (internt beslut) </w:t>
            </w:r>
          </w:p>
        </w:tc>
        <w:tc>
          <w:tcPr>
            <w:tcW w:w="578" w:type="pct"/>
            <w:shd w:val="clear" w:color="auto" w:fill="auto"/>
          </w:tcPr>
          <w:p w14:paraId="772D84FD" w14:textId="64A85F8D" w:rsidR="007659F3" w:rsidRPr="00CB2EB0" w:rsidRDefault="007659F3" w:rsidP="007659F3">
            <w:pPr>
              <w:pStyle w:val="TabellRader"/>
            </w:pPr>
            <w:r w:rsidRPr="00CB2EB0">
              <w:t>5,1–6,6 år</w:t>
            </w:r>
          </w:p>
        </w:tc>
        <w:tc>
          <w:tcPr>
            <w:tcW w:w="571" w:type="pct"/>
            <w:shd w:val="clear" w:color="auto" w:fill="auto"/>
          </w:tcPr>
          <w:p w14:paraId="2853E6CE" w14:textId="2A669BCF" w:rsidR="007659F3" w:rsidRPr="00CB2EB0" w:rsidRDefault="007659F3" w:rsidP="007659F3">
            <w:pPr>
              <w:pStyle w:val="TabellRader"/>
            </w:pPr>
            <w:r w:rsidRPr="00CB2EB0">
              <w:t>4,4–5,6 år</w:t>
            </w:r>
          </w:p>
        </w:tc>
        <w:tc>
          <w:tcPr>
            <w:tcW w:w="578" w:type="pct"/>
            <w:shd w:val="clear" w:color="auto" w:fill="auto"/>
          </w:tcPr>
          <w:p w14:paraId="35CA4148" w14:textId="3D742A24" w:rsidR="007659F3" w:rsidRPr="00CB2EB0" w:rsidRDefault="007659F3" w:rsidP="007659F3">
            <w:pPr>
              <w:pStyle w:val="TabellRader"/>
            </w:pPr>
            <w:r w:rsidRPr="00CB2EB0">
              <w:t>3,5–4,5 år</w:t>
            </w:r>
          </w:p>
        </w:tc>
        <w:tc>
          <w:tcPr>
            <w:tcW w:w="1348" w:type="pct"/>
            <w:shd w:val="clear" w:color="auto" w:fill="auto"/>
          </w:tcPr>
          <w:p w14:paraId="2B3735D5" w14:textId="7C648F55" w:rsidR="007659F3" w:rsidRPr="00CB2EB0" w:rsidRDefault="007659F3" w:rsidP="007659F3">
            <w:pPr>
              <w:pStyle w:val="TabellRader"/>
            </w:pPr>
            <w:r w:rsidRPr="00CB2EB0">
              <w:t xml:space="preserve">Real kronskuld (internt beslut) </w:t>
            </w:r>
          </w:p>
        </w:tc>
        <w:tc>
          <w:tcPr>
            <w:tcW w:w="578" w:type="pct"/>
            <w:shd w:val="clear" w:color="auto" w:fill="auto"/>
          </w:tcPr>
          <w:p w14:paraId="0018FB95" w14:textId="38DBA465" w:rsidR="007659F3" w:rsidRPr="00CB2EB0" w:rsidRDefault="007659F3" w:rsidP="007659F3">
            <w:pPr>
              <w:pStyle w:val="TabellRader"/>
            </w:pPr>
            <w:r w:rsidRPr="00CB2EB0">
              <w:t>5,1–6,6 år</w:t>
            </w:r>
          </w:p>
        </w:tc>
      </w:tr>
      <w:tr w:rsidR="00DF7D1D" w14:paraId="0F99D7CE" w14:textId="77777777">
        <w:tc>
          <w:tcPr>
            <w:tcW w:w="1348" w:type="pct"/>
            <w:tcBorders>
              <w:bottom w:val="single" w:sz="8" w:space="0" w:color="auto"/>
            </w:tcBorders>
            <w:shd w:val="clear" w:color="auto" w:fill="auto"/>
          </w:tcPr>
          <w:p w14:paraId="2E334001" w14:textId="265B6D1D" w:rsidR="007659F3" w:rsidRPr="00CB2EB0" w:rsidRDefault="007659F3" w:rsidP="007659F3">
            <w:pPr>
              <w:pStyle w:val="TabellSlutsumma"/>
              <w:jc w:val="left"/>
            </w:pPr>
            <w:r w:rsidRPr="00CB2EB0">
              <w:t xml:space="preserve">Valutaskulden (internt beslut) </w:t>
            </w:r>
          </w:p>
        </w:tc>
        <w:tc>
          <w:tcPr>
            <w:tcW w:w="578" w:type="pct"/>
            <w:tcBorders>
              <w:bottom w:val="single" w:sz="8" w:space="0" w:color="auto"/>
            </w:tcBorders>
            <w:shd w:val="clear" w:color="auto" w:fill="auto"/>
          </w:tcPr>
          <w:p w14:paraId="7F2B43CC" w14:textId="1C75B606" w:rsidR="007659F3" w:rsidRPr="00CB2EB0" w:rsidRDefault="007659F3" w:rsidP="007659F3">
            <w:pPr>
              <w:pStyle w:val="TabellSlutsumma"/>
            </w:pPr>
            <w:r w:rsidRPr="00CB2EB0">
              <w:t>0–1 år</w:t>
            </w:r>
          </w:p>
        </w:tc>
        <w:tc>
          <w:tcPr>
            <w:tcW w:w="571" w:type="pct"/>
            <w:tcBorders>
              <w:bottom w:val="single" w:sz="8" w:space="0" w:color="auto"/>
            </w:tcBorders>
            <w:shd w:val="clear" w:color="auto" w:fill="auto"/>
          </w:tcPr>
          <w:p w14:paraId="39D4D65B" w14:textId="6AD4B867" w:rsidR="007659F3" w:rsidRPr="00CB2EB0" w:rsidRDefault="007659F3" w:rsidP="007659F3">
            <w:pPr>
              <w:pStyle w:val="TabellSlutsumma"/>
            </w:pPr>
            <w:r w:rsidRPr="00CB2EB0">
              <w:t>0–1 år</w:t>
            </w:r>
          </w:p>
        </w:tc>
        <w:tc>
          <w:tcPr>
            <w:tcW w:w="578" w:type="pct"/>
            <w:tcBorders>
              <w:bottom w:val="single" w:sz="8" w:space="0" w:color="auto"/>
            </w:tcBorders>
            <w:shd w:val="clear" w:color="auto" w:fill="auto"/>
          </w:tcPr>
          <w:p w14:paraId="3530349B" w14:textId="7DB33868" w:rsidR="007659F3" w:rsidRPr="00CB2EB0" w:rsidRDefault="007659F3" w:rsidP="007659F3">
            <w:pPr>
              <w:pStyle w:val="TabellSlutsumma"/>
            </w:pPr>
            <w:r w:rsidRPr="00CB2EB0">
              <w:t>0–1 år</w:t>
            </w:r>
          </w:p>
        </w:tc>
        <w:tc>
          <w:tcPr>
            <w:tcW w:w="1348" w:type="pct"/>
            <w:tcBorders>
              <w:bottom w:val="single" w:sz="8" w:space="0" w:color="auto"/>
            </w:tcBorders>
            <w:shd w:val="clear" w:color="auto" w:fill="auto"/>
          </w:tcPr>
          <w:p w14:paraId="155EE618" w14:textId="5F87EAAF" w:rsidR="007659F3" w:rsidRPr="00CB2EB0" w:rsidRDefault="007659F3" w:rsidP="007659F3">
            <w:pPr>
              <w:pStyle w:val="TabellSlutsumma"/>
            </w:pPr>
            <w:r w:rsidRPr="00CB2EB0">
              <w:t xml:space="preserve">Valutaskulden (internt beslut) </w:t>
            </w:r>
          </w:p>
        </w:tc>
        <w:tc>
          <w:tcPr>
            <w:tcW w:w="578" w:type="pct"/>
            <w:tcBorders>
              <w:bottom w:val="single" w:sz="8" w:space="0" w:color="auto"/>
            </w:tcBorders>
            <w:shd w:val="clear" w:color="auto" w:fill="auto"/>
          </w:tcPr>
          <w:p w14:paraId="74ADDAA4" w14:textId="7C4333FB" w:rsidR="007659F3" w:rsidRPr="00CB2EB0" w:rsidRDefault="007659F3" w:rsidP="007659F3">
            <w:pPr>
              <w:pStyle w:val="TabellSlutsumma"/>
            </w:pPr>
            <w:r w:rsidRPr="00CB2EB0">
              <w:t>0–1 år</w:t>
            </w:r>
          </w:p>
        </w:tc>
      </w:tr>
    </w:tbl>
    <w:p w14:paraId="688C780E" w14:textId="7FE16EFF" w:rsidR="007659F3" w:rsidRPr="00CB2EB0" w:rsidRDefault="007659F3" w:rsidP="00195571">
      <w:pPr>
        <w:pStyle w:val="TabellFotnot"/>
      </w:pPr>
      <w:r w:rsidRPr="00CB2EB0">
        <w:t>Källa: Statskontoret</w:t>
      </w:r>
      <w:r w:rsidR="00872889" w:rsidRPr="00CB2EB0">
        <w:t>s utvärderingsrapport</w:t>
      </w:r>
      <w:r w:rsidR="00C15CD7" w:rsidRPr="00CB2EB0">
        <w:t>.</w:t>
      </w:r>
    </w:p>
    <w:p w14:paraId="6FE68F0B" w14:textId="77777777" w:rsidR="007659F3" w:rsidRPr="00CB2EB0" w:rsidRDefault="007659F3" w:rsidP="003F4295">
      <w:pPr>
        <w:pStyle w:val="Brdtext"/>
      </w:pPr>
    </w:p>
    <w:p w14:paraId="48D23C58" w14:textId="0365089D" w:rsidR="007659F3" w:rsidRPr="00CB2EB0" w:rsidRDefault="00555A85" w:rsidP="00684398">
      <w:pPr>
        <w:pStyle w:val="Brdtext"/>
      </w:pPr>
      <w:r w:rsidRPr="00CB2EB0">
        <w:t>Som nämns ovan har löptiden f</w:t>
      </w:r>
      <w:r w:rsidR="00684398" w:rsidRPr="00CB2EB0">
        <w:t xml:space="preserve">ör den nominella </w:t>
      </w:r>
      <w:r w:rsidRPr="00CB2EB0">
        <w:t xml:space="preserve">skulden </w:t>
      </w:r>
      <w:r w:rsidR="00684398" w:rsidRPr="00CB2EB0">
        <w:t xml:space="preserve">under 2024 och 2025 legat i mitten av </w:t>
      </w:r>
      <w:r w:rsidR="00821B15" w:rsidRPr="00CB2EB0">
        <w:t>löptidsintervallet</w:t>
      </w:r>
      <w:r w:rsidR="00684398" w:rsidRPr="00CB2EB0">
        <w:t xml:space="preserve">. Riksgäldskontoret har aktivt valt att låta löptiden för den reala skulden falla, vilket avspeglat sig i att både löptiden och </w:t>
      </w:r>
      <w:r w:rsidR="0043322A" w:rsidRPr="00CB2EB0">
        <w:t>löptids</w:t>
      </w:r>
      <w:r w:rsidR="00684398" w:rsidRPr="00CB2EB0">
        <w:t xml:space="preserve">intervallet för den reala skulden sjunkit under utvärderingsperioden. </w:t>
      </w:r>
      <w:r w:rsidR="004F6FE3" w:rsidRPr="00CB2EB0">
        <w:t>Valutaskuldens löptid är mycket kort. Det beror på att upplåningen i utländsk valuta kompletteras med derivat som förkortar löptiden.</w:t>
      </w:r>
    </w:p>
    <w:p w14:paraId="4433BB76" w14:textId="2FE29E38" w:rsidR="00B50DC1" w:rsidRPr="00CB2EB0" w:rsidRDefault="003F6964" w:rsidP="00FC17EB">
      <w:pPr>
        <w:pStyle w:val="Rubrik2"/>
      </w:pPr>
      <w:bookmarkStart w:id="36" w:name="_Toc227766869"/>
      <w:r w:rsidRPr="00CB2EB0">
        <w:t>Låneberedskap och refinansiering</w:t>
      </w:r>
      <w:r w:rsidR="00435346" w:rsidRPr="00CB2EB0">
        <w:t>srisk</w:t>
      </w:r>
      <w:bookmarkEnd w:id="36"/>
    </w:p>
    <w:p w14:paraId="1F8BC608" w14:textId="44BB1429" w:rsidR="00A107E7" w:rsidRPr="00CB2EB0" w:rsidRDefault="00A107E7" w:rsidP="00FC17EB">
      <w:pPr>
        <w:pStyle w:val="Rubrik4ram"/>
        <w:outlineLvl w:val="2"/>
      </w:pPr>
      <w:r w:rsidRPr="00CB2EB0">
        <w:t>Regeringens bedömning</w:t>
      </w:r>
    </w:p>
    <w:p w14:paraId="215ECBAA" w14:textId="3132DCF4" w:rsidR="00B36AD8" w:rsidRPr="00CB2EB0" w:rsidRDefault="00B36AD8" w:rsidP="005521EF">
      <w:pPr>
        <w:pStyle w:val="Brdtextram"/>
      </w:pPr>
      <w:r w:rsidRPr="00CB2EB0">
        <w:t xml:space="preserve">Riksgäldskontoret </w:t>
      </w:r>
      <w:r w:rsidR="001D63A9" w:rsidRPr="00CB2EB0">
        <w:t xml:space="preserve">har följt </w:t>
      </w:r>
      <w:r w:rsidR="00CE1002" w:rsidRPr="00CB2EB0">
        <w:t xml:space="preserve">regeringens </w:t>
      </w:r>
      <w:r w:rsidR="001D63A9" w:rsidRPr="00CB2EB0">
        <w:t>riktlinjer om att</w:t>
      </w:r>
      <w:r w:rsidRPr="00CB2EB0">
        <w:t xml:space="preserve"> upplåningen</w:t>
      </w:r>
      <w:r w:rsidR="001D63A9" w:rsidRPr="00CB2EB0">
        <w:t xml:space="preserve"> ska bedrivas</w:t>
      </w:r>
      <w:r w:rsidRPr="00CB2EB0">
        <w:t xml:space="preserve"> så att en bred investerarbas och diversifiering i olika finansieringsvalutor säkerställs i syfte att upprätthålla en god låne</w:t>
      </w:r>
      <w:r w:rsidR="00313A4E">
        <w:softHyphen/>
      </w:r>
      <w:r w:rsidRPr="00CB2EB0">
        <w:t>beredskap</w:t>
      </w:r>
      <w:r w:rsidR="001D63A9" w:rsidRPr="00CB2EB0">
        <w:t xml:space="preserve"> och att </w:t>
      </w:r>
      <w:r w:rsidRPr="00CB2EB0">
        <w:t>refinansieringsrisker</w:t>
      </w:r>
      <w:r w:rsidR="00EB4600" w:rsidRPr="00CB2EB0">
        <w:t xml:space="preserve"> </w:t>
      </w:r>
      <w:r w:rsidR="001D63A9" w:rsidRPr="00CB2EB0">
        <w:t xml:space="preserve">ska beaktas </w:t>
      </w:r>
      <w:r w:rsidR="00EB4600" w:rsidRPr="00CB2EB0">
        <w:t>i förvaltningen av statsskulden</w:t>
      </w:r>
      <w:r w:rsidRPr="00CB2EB0">
        <w:t xml:space="preserve">. </w:t>
      </w:r>
    </w:p>
    <w:p w14:paraId="58C9BA55" w14:textId="3807E166" w:rsidR="00A107E7" w:rsidRPr="00CB2EB0" w:rsidRDefault="005521EF" w:rsidP="00B36AD8">
      <w:pPr>
        <w:pStyle w:val="Brdtextmedindragram"/>
      </w:pPr>
      <w:r w:rsidRPr="00CB2EB0">
        <w:t>Låneberedskapen har varit god och refinansieringsrisken låg under utvärderingsperioden</w:t>
      </w:r>
      <w:r w:rsidR="00A107E7" w:rsidRPr="00CB2EB0">
        <w:t>.</w:t>
      </w:r>
    </w:p>
    <w:p w14:paraId="4DFE45DD" w14:textId="33E7A073" w:rsidR="00A107E7" w:rsidRPr="00CB2EB0" w:rsidRDefault="00A107E7" w:rsidP="00FC17EB">
      <w:pPr>
        <w:pStyle w:val="Rubrik4efterram"/>
        <w:outlineLvl w:val="2"/>
      </w:pPr>
      <w:r w:rsidRPr="00CB2EB0">
        <w:t>Skälen för regeringens bedömning</w:t>
      </w:r>
    </w:p>
    <w:p w14:paraId="44C83B38" w14:textId="3B03D1F0" w:rsidR="001345E6" w:rsidRPr="00CB2EB0" w:rsidRDefault="00CB578C" w:rsidP="001345E6">
      <w:pPr>
        <w:pStyle w:val="Brdtext"/>
      </w:pPr>
      <w:r w:rsidRPr="00CB2EB0">
        <w:t>Enligt regeringens riktlinjer</w:t>
      </w:r>
      <w:r w:rsidR="00926B76" w:rsidRPr="00CB2EB0">
        <w:t xml:space="preserve"> för utvärderingsperioden</w:t>
      </w:r>
      <w:r w:rsidRPr="00CB2EB0">
        <w:t xml:space="preserve"> ska </w:t>
      </w:r>
      <w:r w:rsidR="006840CE" w:rsidRPr="00CB2EB0">
        <w:t>Riksgäldskontorets upplåning bedrivas så att en bred investerarbas och diversifiering i olika finansieringsvalutor säkerställs i syfte att upprätthålla en god låneberedskap.</w:t>
      </w:r>
      <w:r w:rsidRPr="00CB2EB0">
        <w:t xml:space="preserve"> Riksgäldskontoret ska enli</w:t>
      </w:r>
      <w:r w:rsidR="001345E6" w:rsidRPr="00CB2EB0">
        <w:t>g</w:t>
      </w:r>
      <w:r w:rsidRPr="00CB2EB0">
        <w:t>t riktlinjer</w:t>
      </w:r>
      <w:r w:rsidR="00DA3EA0" w:rsidRPr="00CB2EB0">
        <w:t>na även</w:t>
      </w:r>
      <w:r w:rsidRPr="00CB2EB0">
        <w:t xml:space="preserve"> beakta refinansieringsrisker i förvaltningen av statsskulden</w:t>
      </w:r>
      <w:r w:rsidR="00B91F4E" w:rsidRPr="00CB2EB0">
        <w:t>.</w:t>
      </w:r>
    </w:p>
    <w:p w14:paraId="7A9D9B63" w14:textId="7C7641B6" w:rsidR="001345E6" w:rsidRPr="00CB2EB0" w:rsidRDefault="001345E6" w:rsidP="001345E6">
      <w:pPr>
        <w:pStyle w:val="Brdtextmedindrag"/>
      </w:pPr>
      <w:r w:rsidRPr="00CB2EB0">
        <w:t>Statskontoret bedömer sammantaget att låneberedskapen har varit god och refinansieringsrisken låg under utvärderingsperioden. Investerarbasen är</w:t>
      </w:r>
      <w:r w:rsidR="00A007CF" w:rsidRPr="00CB2EB0">
        <w:t xml:space="preserve"> enligt Statskontoret</w:t>
      </w:r>
      <w:r w:rsidR="00926B76" w:rsidRPr="00CB2EB0">
        <w:t>s uppfattning</w:t>
      </w:r>
      <w:r w:rsidRPr="00CB2EB0">
        <w:t xml:space="preserve"> </w:t>
      </w:r>
      <w:r w:rsidR="00B90656" w:rsidRPr="00CB2EB0">
        <w:t>utmanande</w:t>
      </w:r>
      <w:r w:rsidRPr="00CB2EB0">
        <w:t xml:space="preserve"> att bedöma, särskilt längre bak i tiden. Statskontorets samlade intryck är dock att investerabasen breddats i slutet av utvärderingsperioden i och med Riksbankens minskade innehav av statspapper, men att den fortfarande är mindre än längre tillbaka i tiden.</w:t>
      </w:r>
    </w:p>
    <w:p w14:paraId="4697A681" w14:textId="7FBD9363" w:rsidR="00457D65" w:rsidRDefault="001345E6" w:rsidP="00B70489">
      <w:pPr>
        <w:pStyle w:val="Brdtextmedindrag"/>
      </w:pPr>
      <w:r w:rsidRPr="00CB2EB0">
        <w:t xml:space="preserve">Regeringen </w:t>
      </w:r>
      <w:r w:rsidR="00D038D0" w:rsidRPr="00CB2EB0">
        <w:t>delar bedömningen att låneberedskapen varit god och finansieringsrisken låg</w:t>
      </w:r>
      <w:r w:rsidRPr="00CB2EB0">
        <w:t>.</w:t>
      </w:r>
    </w:p>
    <w:p w14:paraId="1F90AD03" w14:textId="77777777" w:rsidR="00A529C4" w:rsidRPr="00CB2EB0" w:rsidRDefault="00A529C4" w:rsidP="00B70489">
      <w:pPr>
        <w:pStyle w:val="Brdtextmedindrag"/>
      </w:pPr>
    </w:p>
    <w:p w14:paraId="443B17E1" w14:textId="708DAFCC" w:rsidR="00045430" w:rsidRPr="00CB2EB0" w:rsidRDefault="00045430" w:rsidP="00FC17EB">
      <w:pPr>
        <w:pStyle w:val="Rubrik5efterram"/>
        <w:outlineLvl w:val="3"/>
      </w:pPr>
      <w:r w:rsidRPr="00CB2EB0">
        <w:lastRenderedPageBreak/>
        <w:t>Hög teckningskvot under hela utvärderingsperioden</w:t>
      </w:r>
    </w:p>
    <w:p w14:paraId="481CDE6C" w14:textId="7C4BB984" w:rsidR="006D1513" w:rsidRPr="00CB2EB0" w:rsidRDefault="006D1513" w:rsidP="006D1513">
      <w:pPr>
        <w:pStyle w:val="Brdtext"/>
      </w:pPr>
      <w:r w:rsidRPr="00CB2EB0">
        <w:t>Riksgälds</w:t>
      </w:r>
      <w:r w:rsidR="00040B36" w:rsidRPr="00CB2EB0">
        <w:t>kontorets</w:t>
      </w:r>
      <w:r w:rsidRPr="00CB2EB0">
        <w:t xml:space="preserve"> regelbundna auktioner utgör primärmarknaden för statspapper. Om volymen av de bud som läggs i auktionerna överstiger den volym som Riksgäld</w:t>
      </w:r>
      <w:r w:rsidR="00040B36" w:rsidRPr="00CB2EB0">
        <w:t>skontoret</w:t>
      </w:r>
      <w:r w:rsidRPr="00CB2EB0">
        <w:t xml:space="preserve"> erbjuder är den så kallade tecknings</w:t>
      </w:r>
      <w:r w:rsidR="004B6DD3">
        <w:softHyphen/>
      </w:r>
      <w:r w:rsidRPr="00CB2EB0">
        <w:t>kvoten större än 1. Höga teckningskvoter tyder på en stark efterfrågan relativt utbudet och indikerar därmed låg finansieringsrisk.</w:t>
      </w:r>
    </w:p>
    <w:p w14:paraId="7E4DF288" w14:textId="5004F8AA" w:rsidR="004B3CE1" w:rsidRPr="00CB2EB0" w:rsidRDefault="004B3CE1" w:rsidP="004B3CE1">
      <w:pPr>
        <w:pStyle w:val="Brdtextmedindrag"/>
      </w:pPr>
      <w:r w:rsidRPr="00CB2EB0">
        <w:t>Trots ett ökat utbud i auktionerna steg den genomsnittliga tecknings</w:t>
      </w:r>
      <w:r w:rsidR="009D187D">
        <w:softHyphen/>
      </w:r>
      <w:r w:rsidRPr="00CB2EB0">
        <w:t xml:space="preserve">kvoten för nominella statsobligationer något under 2025 till 3,2, se </w:t>
      </w:r>
      <w:r w:rsidR="00A41F7D" w:rsidRPr="00CB2EB0">
        <w:fldChar w:fldCharType="begin"/>
      </w:r>
      <w:r w:rsidR="00A41F7D" w:rsidRPr="00CB2EB0">
        <w:instrText xml:space="preserve"> REF  _Ref223428130 \* Lower \h  \* MERGEFORMAT </w:instrText>
      </w:r>
      <w:r w:rsidR="00A41F7D" w:rsidRPr="00CB2EB0">
        <w:fldChar w:fldCharType="separate"/>
      </w:r>
      <w:r w:rsidR="001959AC" w:rsidRPr="00CB2EB0">
        <w:t xml:space="preserve">figur </w:t>
      </w:r>
      <w:r w:rsidR="001959AC">
        <w:t>4</w:t>
      </w:r>
      <w:r w:rsidR="001959AC" w:rsidRPr="00CB2EB0">
        <w:t>.</w:t>
      </w:r>
      <w:r w:rsidR="001959AC">
        <w:rPr>
          <w:noProof/>
        </w:rPr>
        <w:t>4</w:t>
      </w:r>
      <w:r w:rsidR="00A41F7D" w:rsidRPr="00CB2EB0">
        <w:fldChar w:fldCharType="end"/>
      </w:r>
      <w:r w:rsidRPr="00CB2EB0">
        <w:t xml:space="preserve">. Det är en hög nivå sett i ett internationellt perspektiv. Ingen auktion blev undertecknad. Teckningskvoten för realobligationer och statsskuldväxlar minskade under 2025 efter en uppgång 2024. </w:t>
      </w:r>
      <w:r w:rsidR="00926B76" w:rsidRPr="00CB2EB0">
        <w:t>Under 2025 var k</w:t>
      </w:r>
      <w:r w:rsidRPr="00CB2EB0">
        <w:t>voten i genomsnitt 3,3 för realobligationer och 2,3 för statsskuld</w:t>
      </w:r>
      <w:r w:rsidR="00B474E7">
        <w:softHyphen/>
      </w:r>
      <w:r w:rsidRPr="00CB2EB0">
        <w:t xml:space="preserve">växlar, jämfört med 4,8 respektive 2,8 </w:t>
      </w:r>
      <w:r w:rsidR="00926B76" w:rsidRPr="00CB2EB0">
        <w:t xml:space="preserve">det </w:t>
      </w:r>
      <w:r w:rsidRPr="00CB2EB0">
        <w:t>föregående år</w:t>
      </w:r>
      <w:r w:rsidR="00926B76" w:rsidRPr="00CB2EB0">
        <w:t>et</w:t>
      </w:r>
      <w:r w:rsidRPr="00CB2EB0">
        <w:t>. Även i emissionerna av obligationer i utländsk valuta under 2025 var efterfrågan stark.</w:t>
      </w:r>
    </w:p>
    <w:p w14:paraId="4E2457C6" w14:textId="519BA812" w:rsidR="006D1513" w:rsidRDefault="006D1513" w:rsidP="004E0277">
      <w:pPr>
        <w:pStyle w:val="FigurRubrik"/>
      </w:pPr>
      <w:bookmarkStart w:id="37" w:name="_Ref223428130"/>
      <w:r w:rsidRPr="00CB2EB0">
        <w:t xml:space="preserve">Figur </w:t>
      </w:r>
      <w:r w:rsidRPr="00CB2EB0">
        <w:fldChar w:fldCharType="begin"/>
      </w:r>
      <w:r w:rsidRPr="00CB2EB0">
        <w:instrText xml:space="preserve"> STYLEREF 1 \s </w:instrText>
      </w:r>
      <w:r w:rsidRPr="00CB2EB0">
        <w:fldChar w:fldCharType="separate"/>
      </w:r>
      <w:r w:rsidR="001959AC">
        <w:rPr>
          <w:noProof/>
        </w:rPr>
        <w:t>4</w:t>
      </w:r>
      <w:r w:rsidRPr="00CB2EB0">
        <w:rPr>
          <w:noProof/>
        </w:rPr>
        <w:fldChar w:fldCharType="end"/>
      </w:r>
      <w:r w:rsidRPr="00CB2EB0">
        <w:t>.</w:t>
      </w:r>
      <w:fldSimple w:instr=" SEQ Figur \* Arabic \s 1  \* MERGEFORMAT ">
        <w:r w:rsidR="001959AC">
          <w:rPr>
            <w:noProof/>
          </w:rPr>
          <w:t>4</w:t>
        </w:r>
      </w:fldSimple>
      <w:bookmarkEnd w:id="37"/>
      <w:r w:rsidRPr="00CB2EB0">
        <w:tab/>
      </w:r>
      <w:r w:rsidR="009C6957" w:rsidRPr="00CB2EB0">
        <w:t>Genomsnittlig teckningskvot i auktionerna av statspapper</w:t>
      </w:r>
    </w:p>
    <w:p w14:paraId="425C1237" w14:textId="7333E4DD" w:rsidR="006D1513" w:rsidRPr="00CB2EB0" w:rsidRDefault="00EF54DE" w:rsidP="004B03A8">
      <w:pPr>
        <w:pStyle w:val="Brdtext"/>
      </w:pPr>
      <w:r>
        <w:rPr>
          <w:noProof/>
        </w:rPr>
        <w:drawing>
          <wp:inline distT="0" distB="0" distL="0" distR="0" wp14:anchorId="74132962" wp14:editId="27C45EF5">
            <wp:extent cx="3744595" cy="2460625"/>
            <wp:effectExtent l="0" t="0" r="8255" b="0"/>
            <wp:docPr id="640966877"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1CA663C" w14:textId="755C0E95" w:rsidR="003B0852" w:rsidRPr="00CB2EB0" w:rsidRDefault="003B0852" w:rsidP="003B0852">
      <w:pPr>
        <w:pStyle w:val="FigurFotnot"/>
      </w:pPr>
      <w:r w:rsidRPr="00CB2EB0">
        <w:t>Anm.: Budvolym i relation till erbjuden volym i snitt i auktionerna under året. Enbart säljauktioner.</w:t>
      </w:r>
    </w:p>
    <w:p w14:paraId="613393BB" w14:textId="0E7035BE" w:rsidR="006D1513" w:rsidRPr="00CB2EB0" w:rsidRDefault="009C6957" w:rsidP="003B0852">
      <w:pPr>
        <w:pStyle w:val="FigurFotnot"/>
      </w:pPr>
      <w:r w:rsidRPr="00CB2EB0">
        <w:t>Källa: Riksgäldskontoret</w:t>
      </w:r>
      <w:r w:rsidR="00C15CD7" w:rsidRPr="00CB2EB0">
        <w:t>.</w:t>
      </w:r>
    </w:p>
    <w:p w14:paraId="78C5C55D" w14:textId="417D7CEE" w:rsidR="00045430" w:rsidRPr="00CB2EB0" w:rsidRDefault="00045430" w:rsidP="00FC17EB">
      <w:pPr>
        <w:pStyle w:val="Rubrik5efterram"/>
        <w:outlineLvl w:val="3"/>
      </w:pPr>
      <w:r w:rsidRPr="00CB2EB0">
        <w:t xml:space="preserve">Innehav av nominella statsobligationer per investerarkategori </w:t>
      </w:r>
    </w:p>
    <w:p w14:paraId="6CCB0D70" w14:textId="5C071C95" w:rsidR="0018261C" w:rsidRPr="00CB2EB0" w:rsidRDefault="0018261C" w:rsidP="0018261C">
      <w:pPr>
        <w:pStyle w:val="Brdtext"/>
      </w:pPr>
      <w:r w:rsidRPr="00CB2EB0">
        <w:t>En annan indikator på finansieringsrisk och låneberedskap är hur bred investerarbasen är för de värdepapper som Riksgäld</w:t>
      </w:r>
      <w:r w:rsidR="00CC10F8" w:rsidRPr="00CB2EB0">
        <w:t>skontoret</w:t>
      </w:r>
      <w:r w:rsidRPr="00CB2EB0">
        <w:t xml:space="preserve"> emitterar. Denna aspekt är svår att mäta, men ett sätt att bilda sig en uppfattning är att titta på hur ägandet av svenska statspapper utvecklas.</w:t>
      </w:r>
    </w:p>
    <w:p w14:paraId="6F71D2C2" w14:textId="6F6CC189" w:rsidR="0018261C" w:rsidRPr="00CB2EB0" w:rsidRDefault="00337CF8" w:rsidP="00427B3E">
      <w:pPr>
        <w:pStyle w:val="Brdtextmedindrag"/>
      </w:pPr>
      <w:r w:rsidRPr="00CB2EB0">
        <w:fldChar w:fldCharType="begin"/>
      </w:r>
      <w:r w:rsidRPr="00CB2EB0">
        <w:instrText xml:space="preserve"> REF _Ref223606063 \h </w:instrText>
      </w:r>
      <w:r w:rsidR="00CB2EB0">
        <w:instrText xml:space="preserve"> \* MERGEFORMAT </w:instrText>
      </w:r>
      <w:r w:rsidRPr="00CB2EB0">
        <w:fldChar w:fldCharType="separate"/>
      </w:r>
      <w:r w:rsidR="001959AC" w:rsidRPr="00CB2EB0">
        <w:t xml:space="preserve">Figur </w:t>
      </w:r>
      <w:r w:rsidR="001959AC">
        <w:rPr>
          <w:noProof/>
        </w:rPr>
        <w:t>4</w:t>
      </w:r>
      <w:r w:rsidR="001959AC" w:rsidRPr="00CB2EB0">
        <w:t>.</w:t>
      </w:r>
      <w:r w:rsidR="001959AC">
        <w:rPr>
          <w:noProof/>
        </w:rPr>
        <w:t>5</w:t>
      </w:r>
      <w:r w:rsidRPr="00CB2EB0">
        <w:fldChar w:fldCharType="end"/>
      </w:r>
      <w:r w:rsidRPr="00CB2EB0">
        <w:t xml:space="preserve"> </w:t>
      </w:r>
      <w:r w:rsidR="0018261C" w:rsidRPr="00CB2EB0">
        <w:t>visar ägandet av nominella statsobligationer fördelat på olika investerarkategorier den senaste femårsperioden. I takt med att Riksbankens ägande har minskat har investerarbasen breddats genom att ägandet i övriga investerarkategorier ökat.</w:t>
      </w:r>
      <w:r w:rsidR="00427B3E" w:rsidRPr="00CB2EB0">
        <w:t xml:space="preserve"> </w:t>
      </w:r>
    </w:p>
    <w:p w14:paraId="21797E04" w14:textId="537C938C" w:rsidR="003F1E0B" w:rsidRPr="00CB2EB0" w:rsidRDefault="003F1E0B" w:rsidP="004E0277">
      <w:pPr>
        <w:pStyle w:val="FigurRubrik"/>
      </w:pPr>
      <w:bookmarkStart w:id="38" w:name="_Ref223606063"/>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4</w:t>
      </w:r>
      <w:r w:rsidRPr="00CB2EB0">
        <w:rPr>
          <w:noProof/>
        </w:rPr>
        <w:fldChar w:fldCharType="end"/>
      </w:r>
      <w:r w:rsidRPr="00CB2EB0">
        <w:t>.</w:t>
      </w:r>
      <w:fldSimple w:instr=" SEQ Figur \* Arabic \s 1  \* MERGEFORMAT ">
        <w:r w:rsidR="001959AC">
          <w:rPr>
            <w:noProof/>
          </w:rPr>
          <w:t>5</w:t>
        </w:r>
      </w:fldSimple>
      <w:bookmarkEnd w:id="38"/>
      <w:r w:rsidRPr="00CB2EB0">
        <w:tab/>
        <w:t>Innehav av nominella statsobligationer per investerarkategori</w:t>
      </w:r>
    </w:p>
    <w:p w14:paraId="4CE41AF2" w14:textId="07F55CE6" w:rsidR="003F1E0B" w:rsidRPr="00CB2EB0" w:rsidRDefault="003F1E0B" w:rsidP="002F4A14">
      <w:pPr>
        <w:pStyle w:val="FigurUnderrubrik"/>
      </w:pPr>
      <w:r w:rsidRPr="00CB2EB0">
        <w:t>Procent</w:t>
      </w:r>
    </w:p>
    <w:p w14:paraId="141F8990" w14:textId="7E8D9C48" w:rsidR="003F1E0B" w:rsidRPr="00CB2EB0" w:rsidRDefault="00BD2E61" w:rsidP="003F1E0B">
      <w:pPr>
        <w:pStyle w:val="Brdtext"/>
      </w:pPr>
      <w:r>
        <w:rPr>
          <w:noProof/>
        </w:rPr>
        <w:drawing>
          <wp:inline distT="0" distB="0" distL="0" distR="0" wp14:anchorId="6BE73FEE" wp14:editId="4FC0B6FD">
            <wp:extent cx="3744595" cy="2460625"/>
            <wp:effectExtent l="0" t="0" r="8255" b="0"/>
            <wp:docPr id="511102705" name="Diagram 1">
              <a:extLst xmlns:a="http://schemas.openxmlformats.org/drawingml/2006/main">
                <a:ext uri="{FF2B5EF4-FFF2-40B4-BE49-F238E27FC236}">
                  <a16:creationId xmlns:a16="http://schemas.microsoft.com/office/drawing/2014/main" id="{00000000-0008-0000-0100-00001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4F37210" w14:textId="75265212" w:rsidR="00756041" w:rsidRPr="00CB2EB0" w:rsidRDefault="00756041" w:rsidP="00897BD6">
      <w:pPr>
        <w:pStyle w:val="FigurFotnot"/>
      </w:pPr>
      <w:r w:rsidRPr="00CB2EB0">
        <w:t xml:space="preserve">Anm.: Uppgifter om ägandet avser årsgenomsnitt och baseras på statistiken om värdepappersinnehav (VINN) för perioden 2021 </w:t>
      </w:r>
      <w:r w:rsidR="00544381" w:rsidRPr="00CB2EB0">
        <w:t>t.o.m.</w:t>
      </w:r>
      <w:r w:rsidRPr="00CB2EB0">
        <w:t xml:space="preserve"> andra kvartalet 2025.</w:t>
      </w:r>
    </w:p>
    <w:p w14:paraId="18ED1A34" w14:textId="29B4F5D9" w:rsidR="003F1E0B" w:rsidRPr="00CB2EB0" w:rsidRDefault="003F1E0B" w:rsidP="00897BD6">
      <w:pPr>
        <w:pStyle w:val="FigurFotnot"/>
      </w:pPr>
      <w:r w:rsidRPr="00CB2EB0">
        <w:t>Källa: Riksgäldskontoret</w:t>
      </w:r>
      <w:r w:rsidR="00B618D6" w:rsidRPr="00CB2EB0">
        <w:t xml:space="preserve"> och SCB</w:t>
      </w:r>
      <w:r w:rsidR="00C15CD7" w:rsidRPr="00CB2EB0">
        <w:t>.</w:t>
      </w:r>
    </w:p>
    <w:p w14:paraId="7F605144" w14:textId="77777777" w:rsidR="001B4924" w:rsidRPr="00CB2EB0" w:rsidRDefault="001B4924" w:rsidP="0018261C">
      <w:pPr>
        <w:pStyle w:val="Brdtext"/>
      </w:pPr>
    </w:p>
    <w:p w14:paraId="5B12FBE7" w14:textId="48A2E901" w:rsidR="003F1E0B" w:rsidRPr="00CB2EB0" w:rsidRDefault="0018261C" w:rsidP="0018261C">
      <w:pPr>
        <w:pStyle w:val="Brdtext"/>
      </w:pPr>
      <w:r w:rsidRPr="00CB2EB0">
        <w:t xml:space="preserve">Under 2025 var de två största ägarkategorierna i såväl nominella som reala obligationer svenska försäkrings- och pensionsföretag samt utländska investerare. Bankerna är aktiva på obligationsmarknaden i sin roll som återförsäljare men de äger ofta obligationerna bara en kort tid för att sedan sälja dem. Deras innehav är därför vanligen litet. Under 2025 ökade </w:t>
      </w:r>
      <w:r w:rsidR="00CB50BB" w:rsidRPr="00CB2EB0">
        <w:t>bankerna</w:t>
      </w:r>
      <w:r w:rsidRPr="00CB2EB0">
        <w:t xml:space="preserve"> dock sina innehav och ökningen syntes framför allt i nominella statsobligationer som är referenslån. Det kan tyda på att bankerna mötte en ökad efterfrågan på ränteterminer från investerare och därför behövde hålla ett större innehav av statsobligationer för framtida leverans.</w:t>
      </w:r>
    </w:p>
    <w:p w14:paraId="0CEAF86D" w14:textId="5C2A6070" w:rsidR="00C630BF" w:rsidRPr="00CB2EB0" w:rsidRDefault="00C630BF" w:rsidP="005A7664">
      <w:pPr>
        <w:pStyle w:val="Brdtextmedindrag"/>
      </w:pPr>
      <w:r w:rsidRPr="00CB2EB0">
        <w:t xml:space="preserve">Som framgår av avsnitt </w:t>
      </w:r>
      <w:r w:rsidR="00B618D6" w:rsidRPr="00CB2EB0">
        <w:fldChar w:fldCharType="begin"/>
      </w:r>
      <w:r w:rsidR="00B618D6" w:rsidRPr="00CB2EB0">
        <w:instrText xml:space="preserve"> REF _Ref224140078 \r \h </w:instrText>
      </w:r>
      <w:r w:rsidR="00CB2EB0">
        <w:instrText xml:space="preserve"> \* MERGEFORMAT </w:instrText>
      </w:r>
      <w:r w:rsidR="00B618D6" w:rsidRPr="00CB2EB0">
        <w:fldChar w:fldCharType="separate"/>
      </w:r>
      <w:r w:rsidR="001959AC">
        <w:t>4.1</w:t>
      </w:r>
      <w:r w:rsidR="00B618D6" w:rsidRPr="00CB2EB0">
        <w:fldChar w:fldCharType="end"/>
      </w:r>
      <w:r w:rsidRPr="00CB2EB0">
        <w:t xml:space="preserve"> har Riksgäldskontoret </w:t>
      </w:r>
      <w:r w:rsidR="00207AE9" w:rsidRPr="00CB2EB0">
        <w:t>emitterat</w:t>
      </w:r>
      <w:r w:rsidRPr="00CB2EB0">
        <w:t xml:space="preserve"> obligationer i utländska valuta i syfte dels att nå nya investerare, dels att upprätthålla en närvaro på den internationella kapitalmarknaden för att snabbt kunna låna stora belopp där vid behov eller avlasta kronmarknaden när upplåningsbehovet är stort.</w:t>
      </w:r>
    </w:p>
    <w:p w14:paraId="63195207" w14:textId="07350906" w:rsidR="00045430" w:rsidRPr="00CB2EB0" w:rsidRDefault="00045430" w:rsidP="00FC17EB">
      <w:pPr>
        <w:pStyle w:val="Rubrik5efterram"/>
        <w:outlineLvl w:val="3"/>
      </w:pPr>
      <w:r w:rsidRPr="00CB2EB0">
        <w:t>Skuldens förfalloprofil</w:t>
      </w:r>
    </w:p>
    <w:p w14:paraId="2E105F24" w14:textId="080B709F" w:rsidR="008A3C0F" w:rsidRPr="00CB2EB0" w:rsidRDefault="003E7BEE" w:rsidP="008A3C0F">
      <w:pPr>
        <w:pStyle w:val="Brdtext"/>
      </w:pPr>
      <w:r w:rsidRPr="00CB2EB0">
        <w:t>En högre andel skuld som ska refinansieras det närmaste året innebär högre refinansieringsrisk. Samtidigt bidrar även en högre andel förfall det närm</w:t>
      </w:r>
      <w:r w:rsidR="008F400F" w:rsidRPr="00CB2EB0">
        <w:t>a</w:t>
      </w:r>
      <w:r w:rsidRPr="00CB2EB0">
        <w:t>st</w:t>
      </w:r>
      <w:r w:rsidR="004F0F13" w:rsidRPr="00CB2EB0">
        <w:t>e</w:t>
      </w:r>
      <w:r w:rsidRPr="00CB2EB0">
        <w:t xml:space="preserve"> året till flexibilitet att hantera en ökad osäkerhet i nettolåne</w:t>
      </w:r>
      <w:r w:rsidR="00B1002F">
        <w:softHyphen/>
      </w:r>
      <w:r w:rsidRPr="00CB2EB0">
        <w:t xml:space="preserve">behovet. I </w:t>
      </w:r>
      <w:r w:rsidR="00E60DFF" w:rsidRPr="00CB2EB0">
        <w:fldChar w:fldCharType="begin"/>
      </w:r>
      <w:r w:rsidR="00E60DFF" w:rsidRPr="00CB2EB0">
        <w:instrText xml:space="preserve"> REF  _Ref222912925 \* Lower \h  \* MERGEFORMAT </w:instrText>
      </w:r>
      <w:r w:rsidR="00E60DFF" w:rsidRPr="00CB2EB0">
        <w:fldChar w:fldCharType="separate"/>
      </w:r>
      <w:r w:rsidR="001959AC" w:rsidRPr="00CB2EB0">
        <w:t xml:space="preserve">figur </w:t>
      </w:r>
      <w:r w:rsidR="001959AC">
        <w:rPr>
          <w:noProof/>
        </w:rPr>
        <w:t>4</w:t>
      </w:r>
      <w:r w:rsidR="001959AC" w:rsidRPr="00CB2EB0">
        <w:t>.</w:t>
      </w:r>
      <w:r w:rsidR="001959AC">
        <w:rPr>
          <w:noProof/>
        </w:rPr>
        <w:t>6</w:t>
      </w:r>
      <w:r w:rsidR="00E60DFF" w:rsidRPr="00CB2EB0">
        <w:fldChar w:fldCharType="end"/>
      </w:r>
      <w:r w:rsidR="00E60DFF" w:rsidRPr="00CB2EB0">
        <w:t xml:space="preserve"> </w:t>
      </w:r>
      <w:r w:rsidRPr="00CB2EB0">
        <w:t>visas stor andel av statsskulden som förfaller inom tolv</w:t>
      </w:r>
      <w:r w:rsidR="00416CDE">
        <w:t> </w:t>
      </w:r>
      <w:r w:rsidRPr="00CB2EB0">
        <w:t>månader</w:t>
      </w:r>
      <w:r w:rsidR="00955198" w:rsidRPr="00CB2EB0">
        <w:t xml:space="preserve"> respektive inom </w:t>
      </w:r>
      <w:r w:rsidR="001E008C" w:rsidRPr="00CB2EB0">
        <w:t>fem</w:t>
      </w:r>
      <w:r w:rsidR="00955198" w:rsidRPr="00CB2EB0">
        <w:t xml:space="preserve"> år</w:t>
      </w:r>
      <w:r w:rsidRPr="00CB2EB0">
        <w:t>.</w:t>
      </w:r>
      <w:r w:rsidR="008A3C0F" w:rsidRPr="00CB2EB0">
        <w:t xml:space="preserve"> </w:t>
      </w:r>
    </w:p>
    <w:p w14:paraId="3562EDB9" w14:textId="638B6F4D" w:rsidR="006D1513" w:rsidRPr="00CB2EB0" w:rsidRDefault="006D1513" w:rsidP="004E0277">
      <w:pPr>
        <w:pStyle w:val="FigurRubrik"/>
      </w:pPr>
      <w:bookmarkStart w:id="39" w:name="_Ref222912925"/>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4</w:t>
      </w:r>
      <w:r w:rsidRPr="00CB2EB0">
        <w:rPr>
          <w:noProof/>
        </w:rPr>
        <w:fldChar w:fldCharType="end"/>
      </w:r>
      <w:r w:rsidRPr="00CB2EB0">
        <w:t>.</w:t>
      </w:r>
      <w:fldSimple w:instr=" SEQ Figur \* Arabic \s 1  \* MERGEFORMAT ">
        <w:r w:rsidR="001959AC">
          <w:rPr>
            <w:noProof/>
          </w:rPr>
          <w:t>6</w:t>
        </w:r>
      </w:fldSimple>
      <w:bookmarkEnd w:id="39"/>
      <w:r w:rsidRPr="00CB2EB0">
        <w:tab/>
      </w:r>
      <w:r w:rsidR="004E127C" w:rsidRPr="00CB2EB0">
        <w:t xml:space="preserve">Statsskuldens förfallovolym </w:t>
      </w:r>
    </w:p>
    <w:p w14:paraId="2C8B5FAA" w14:textId="16F41A87" w:rsidR="006D1513" w:rsidRPr="00CB2EB0" w:rsidRDefault="002F23AF" w:rsidP="004E127C">
      <w:pPr>
        <w:pStyle w:val="Brdtext"/>
      </w:pPr>
      <w:r>
        <w:rPr>
          <w:noProof/>
        </w:rPr>
        <w:drawing>
          <wp:inline distT="0" distB="0" distL="0" distR="0" wp14:anchorId="5F51473A" wp14:editId="27E9D8B7">
            <wp:extent cx="3744595" cy="2460625"/>
            <wp:effectExtent l="0" t="0" r="8255" b="0"/>
            <wp:docPr id="1369310359"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B70F79B" w14:textId="517C3257" w:rsidR="00651342" w:rsidRPr="00CB2EB0" w:rsidRDefault="00651342" w:rsidP="00651342">
      <w:pPr>
        <w:pStyle w:val="FigurFotnot"/>
      </w:pPr>
      <w:r w:rsidRPr="00CB2EB0">
        <w:t>Anm.: Andel förfall är årligt genomsnitt. Måttet utgår från bruttoskuld och exkluderar därmed förvaltade tillgångar.</w:t>
      </w:r>
    </w:p>
    <w:p w14:paraId="79E1B4CD" w14:textId="171CEB06" w:rsidR="006D1513" w:rsidRPr="00CB2EB0" w:rsidRDefault="004E127C" w:rsidP="00651342">
      <w:pPr>
        <w:pStyle w:val="FigurFotnot"/>
      </w:pPr>
      <w:r w:rsidRPr="00CB2EB0">
        <w:t>Källa: Riksgäldskontoret</w:t>
      </w:r>
      <w:r w:rsidR="00C15CD7" w:rsidRPr="00CB2EB0">
        <w:t>.</w:t>
      </w:r>
    </w:p>
    <w:p w14:paraId="62E21794" w14:textId="77777777" w:rsidR="006D1513" w:rsidRPr="00CB2EB0" w:rsidRDefault="006D1513" w:rsidP="00E22AC9">
      <w:pPr>
        <w:pStyle w:val="Brdtext"/>
      </w:pPr>
    </w:p>
    <w:p w14:paraId="7665F985" w14:textId="201F075B" w:rsidR="006A359D" w:rsidRPr="00CB2EB0" w:rsidRDefault="0034059F" w:rsidP="0034059F">
      <w:pPr>
        <w:pStyle w:val="Brdtext"/>
      </w:pPr>
      <w:r w:rsidRPr="00CB2EB0">
        <w:t xml:space="preserve">Andelen skuld som förfaller inom ett år </w:t>
      </w:r>
      <w:r w:rsidR="00B410DA" w:rsidRPr="00CB2EB0">
        <w:t>var</w:t>
      </w:r>
      <w:r w:rsidRPr="00CB2EB0">
        <w:t xml:space="preserve"> </w:t>
      </w:r>
      <w:r w:rsidR="00544381" w:rsidRPr="00CB2EB0">
        <w:t>ca</w:t>
      </w:r>
      <w:r w:rsidRPr="00CB2EB0">
        <w:t xml:space="preserve"> 30</w:t>
      </w:r>
      <w:r w:rsidR="001E008C" w:rsidRPr="00CB2EB0">
        <w:t> </w:t>
      </w:r>
      <w:r w:rsidRPr="00CB2EB0">
        <w:t xml:space="preserve">procent i slutet av 2025 och andelen inom fem år </w:t>
      </w:r>
      <w:r w:rsidR="00B6253D">
        <w:t>var</w:t>
      </w:r>
      <w:r w:rsidRPr="00CB2EB0">
        <w:t xml:space="preserve"> strax över 60</w:t>
      </w:r>
      <w:r w:rsidR="001E008C" w:rsidRPr="00CB2EB0">
        <w:t> </w:t>
      </w:r>
      <w:r w:rsidRPr="00CB2EB0">
        <w:t>procent. Andelarna har varit relativt stabila under den senaste femårsperioden med en viss ökning under 2025.</w:t>
      </w:r>
      <w:r w:rsidR="006A359D" w:rsidRPr="00CB2EB0">
        <w:t xml:space="preserve"> </w:t>
      </w:r>
      <w:r w:rsidRPr="00CB2EB0">
        <w:t>Den något högre nivån under 2025 förklaras främst av att det ökade lånebehovet till viss del hanterats med kortfristig upplåning.</w:t>
      </w:r>
    </w:p>
    <w:p w14:paraId="3354E211" w14:textId="1B1CD08D" w:rsidR="0034059F" w:rsidRPr="00CB2EB0" w:rsidRDefault="0034059F" w:rsidP="006F7533">
      <w:pPr>
        <w:pStyle w:val="Brdtextmedindrag"/>
      </w:pPr>
      <w:r w:rsidRPr="00CB2EB0">
        <w:t xml:space="preserve">Andelen förfall i närtid är högre i Sverige än i </w:t>
      </w:r>
      <w:r w:rsidR="007255C3" w:rsidRPr="00CB2EB0">
        <w:t>medlemsstaterna</w:t>
      </w:r>
      <w:r w:rsidR="000F3529">
        <w:t xml:space="preserve"> som har euro som valuta</w:t>
      </w:r>
      <w:r w:rsidRPr="00CB2EB0">
        <w:t xml:space="preserve">, enligt det sätt att mäta som används inom EU. Det beror </w:t>
      </w:r>
      <w:r w:rsidR="00C84260" w:rsidRPr="00CB2EB0">
        <w:t>bl.a.</w:t>
      </w:r>
      <w:r w:rsidRPr="00CB2EB0">
        <w:t xml:space="preserve"> på att </w:t>
      </w:r>
      <w:r w:rsidR="005F562E" w:rsidRPr="00CB2EB0">
        <w:t>Riksgäldskontoret</w:t>
      </w:r>
      <w:r w:rsidRPr="00CB2EB0">
        <w:t xml:space="preserve"> inte som skuldkontoren i </w:t>
      </w:r>
      <w:r w:rsidR="000F3529">
        <w:t xml:space="preserve">de </w:t>
      </w:r>
      <w:r w:rsidR="007255C3" w:rsidRPr="00CB2EB0">
        <w:t xml:space="preserve">medlemsstaterna </w:t>
      </w:r>
      <w:r w:rsidRPr="00CB2EB0">
        <w:t xml:space="preserve">får ha en likviditetsbuffert, utan i stället behöver en större kortfristig upplåning för att kunna parera svängningar och oväntade utfall i statens betalningar. </w:t>
      </w:r>
      <w:r w:rsidR="005F562E" w:rsidRPr="00CB2EB0">
        <w:t>Riksgäldskontoret</w:t>
      </w:r>
      <w:r w:rsidRPr="00CB2EB0">
        <w:t xml:space="preserve"> har också en upplåningsstrategi med fokus på att emittera obligationer med löptider upp till </w:t>
      </w:r>
      <w:r w:rsidR="00773CF4">
        <w:t>tolv</w:t>
      </w:r>
      <w:r w:rsidR="00D55AE4" w:rsidRPr="00CB2EB0">
        <w:t> </w:t>
      </w:r>
      <w:r w:rsidRPr="00CB2EB0">
        <w:t xml:space="preserve">år, för att långsiktigt minimera kostnaden för statsskulden. Många </w:t>
      </w:r>
      <w:r w:rsidR="00535621" w:rsidRPr="00CB2EB0">
        <w:t xml:space="preserve">medlemsstater </w:t>
      </w:r>
      <w:r w:rsidR="00EA0ECC">
        <w:t xml:space="preserve">som har euron som valuta </w:t>
      </w:r>
      <w:r w:rsidRPr="00CB2EB0">
        <w:t>emitterar regelbundet obligationer även längre ut på kurvan och har därmed en större andel förfall bortom fem</w:t>
      </w:r>
      <w:r w:rsidR="0049120E" w:rsidRPr="00CB2EB0">
        <w:t> </w:t>
      </w:r>
      <w:r w:rsidRPr="00CB2EB0">
        <w:t xml:space="preserve">år. Förhållandena ser annorlunda ut om volymen lån som förfaller sätts i relation till BNP. Förfallobeloppen utgör då en mindre andel av ekonomin i Sverige än i </w:t>
      </w:r>
      <w:r w:rsidR="007B3B14">
        <w:t xml:space="preserve">de </w:t>
      </w:r>
      <w:r w:rsidR="007B3B14" w:rsidRPr="00CB2EB0">
        <w:t>medlemsstaterna</w:t>
      </w:r>
      <w:r w:rsidRPr="00CB2EB0">
        <w:t xml:space="preserve">, vilket beror på att den svenska statsskulden är lägre. Sett </w:t>
      </w:r>
      <w:r w:rsidR="006A359D" w:rsidRPr="00CB2EB0">
        <w:t xml:space="preserve">ur det perspektivet </w:t>
      </w:r>
      <w:r w:rsidRPr="00CB2EB0">
        <w:t>är den svenska refinansieringsrisken att betrakta som låg</w:t>
      </w:r>
      <w:r w:rsidR="006A359D" w:rsidRPr="00CB2EB0">
        <w:t>.</w:t>
      </w:r>
    </w:p>
    <w:p w14:paraId="089EA5F0" w14:textId="5FB27342" w:rsidR="00B50DC1" w:rsidRPr="00CB2EB0" w:rsidRDefault="00B03273" w:rsidP="00FC17EB">
      <w:pPr>
        <w:pStyle w:val="Rubrik2"/>
      </w:pPr>
      <w:bookmarkStart w:id="40" w:name="_Ref223427202"/>
      <w:bookmarkStart w:id="41" w:name="_Ref223427215"/>
      <w:bookmarkStart w:id="42" w:name="_Ref223427223"/>
      <w:bookmarkStart w:id="43" w:name="_Toc227766870"/>
      <w:r w:rsidRPr="00CB2EB0">
        <w:t>Marknads- och skuldvård</w:t>
      </w:r>
      <w:bookmarkEnd w:id="40"/>
      <w:bookmarkEnd w:id="41"/>
      <w:bookmarkEnd w:id="42"/>
      <w:bookmarkEnd w:id="43"/>
    </w:p>
    <w:p w14:paraId="102362CD" w14:textId="1AC984E5" w:rsidR="009B5524" w:rsidRPr="00CB2EB0" w:rsidRDefault="009B5524" w:rsidP="00FC17EB">
      <w:pPr>
        <w:pStyle w:val="Rubrik4ram"/>
        <w:outlineLvl w:val="2"/>
      </w:pPr>
      <w:r w:rsidRPr="00CB2EB0">
        <w:t xml:space="preserve">Regeringens </w:t>
      </w:r>
      <w:r w:rsidR="00D51E53" w:rsidRPr="00CB2EB0">
        <w:t>bedömning</w:t>
      </w:r>
    </w:p>
    <w:p w14:paraId="20242DAB" w14:textId="448A6926" w:rsidR="00ED1CE0" w:rsidRPr="00CB2EB0" w:rsidRDefault="00ED1CE0" w:rsidP="00ED1CE0">
      <w:pPr>
        <w:pStyle w:val="Brdtextram"/>
      </w:pPr>
      <w:r w:rsidRPr="00CB2EB0">
        <w:t>Riksgäldskontorets principer och strategier för marknads- och skuld</w:t>
      </w:r>
      <w:r w:rsidR="00FD4DB0">
        <w:softHyphen/>
      </w:r>
      <w:r w:rsidRPr="00CB2EB0">
        <w:t xml:space="preserve">vård ger goda förutsättningar för att uppnå det statsskuldspolitiska målet. Genom tydlig kommunikation och aktiva åtgärder har </w:t>
      </w:r>
      <w:r w:rsidRPr="00CB2EB0">
        <w:lastRenderedPageBreak/>
        <w:t xml:space="preserve">Riksgäldskontoret bidragit till en god marknads- och skuldvård. Årliga externa undersökningar ger stöd för att återförsäljare och investerare har förtroende för Riksgäldskontoret. </w:t>
      </w:r>
    </w:p>
    <w:p w14:paraId="46066A23" w14:textId="5FBAE65B" w:rsidR="009B5524" w:rsidRPr="00CB2EB0" w:rsidRDefault="00ED1CE0" w:rsidP="00ED1CE0">
      <w:pPr>
        <w:pStyle w:val="Brdtextmedindragram"/>
      </w:pPr>
      <w:r w:rsidRPr="00CB2EB0">
        <w:t>Riksgäldskontorets likviditetsförvaltning bedöms ha bedrivits i enlighet med det statsskuldspolitiska målet om kostnadsminimering med beaktande av risk.</w:t>
      </w:r>
    </w:p>
    <w:p w14:paraId="7F22942E" w14:textId="3915CC9A" w:rsidR="009B5524" w:rsidRPr="00CB2EB0" w:rsidRDefault="00D51E53" w:rsidP="00FC17EB">
      <w:pPr>
        <w:pStyle w:val="Rubrik4efterram"/>
        <w:outlineLvl w:val="2"/>
      </w:pPr>
      <w:r w:rsidRPr="00CB2EB0">
        <w:t>Skälen för regeringens bedömning</w:t>
      </w:r>
    </w:p>
    <w:p w14:paraId="4E9308CD" w14:textId="77777777" w:rsidR="00F759A7" w:rsidRPr="00CB2EB0" w:rsidRDefault="00F759A7" w:rsidP="00F759A7">
      <w:pPr>
        <w:pStyle w:val="Brdtext"/>
      </w:pPr>
      <w:r w:rsidRPr="00CB2EB0">
        <w:t>Riksgäldskontoret ska genom marknads- och skuldvård bidra till att statspappersmarknaden fungerar väl i syfte att uppnå det långsiktiga kostnadsminimeringsmålet med beaktande av risk. En viktig del för att uppnå detta är att marknaden för svenska statspapper ska vara attraktiv för så många investerare som möjligt. Dessutom främjas likviditeten i marknaden, vilket i sin tur stimulerar efterfrågan på statspapper. Ytterligare en aspekt är att finansieringsrisken blir lägre om många långivare är beredda att låna ut pengar till svenska staten</w:t>
      </w:r>
      <w:r w:rsidR="009B5524" w:rsidRPr="00CB2EB0">
        <w:t>.</w:t>
      </w:r>
    </w:p>
    <w:p w14:paraId="01344BCB" w14:textId="6D711903" w:rsidR="00FF1F7D" w:rsidRPr="00CB2EB0" w:rsidRDefault="00FF1F7D" w:rsidP="00FF1F7D">
      <w:pPr>
        <w:pStyle w:val="Brdtextmedindrag"/>
      </w:pPr>
      <w:r w:rsidRPr="00CB2EB0">
        <w:t xml:space="preserve">Vid försäljning av statspapper använder Riksgäldskontoret </w:t>
      </w:r>
      <w:r w:rsidR="00E57030" w:rsidRPr="00CB2EB0">
        <w:t>både</w:t>
      </w:r>
      <w:r w:rsidRPr="00CB2EB0">
        <w:t xml:space="preserve"> svenska och utländska banker som återförsäljare. Dessa fungerar som mellan</w:t>
      </w:r>
      <w:r w:rsidR="002C592A">
        <w:softHyphen/>
      </w:r>
      <w:r w:rsidRPr="00CB2EB0">
        <w:t xml:space="preserve">händer i auktionerna, agerar marknadsgaranter och har tillgång till marknadsvårdande repor. Kontakten med investerare sker främst via återförsäljarna, men Riksgäldskontoret upprätthåller även direktdialog för att tillgängliggöra information utan behov av mellanhänder. </w:t>
      </w:r>
    </w:p>
    <w:p w14:paraId="561F0053" w14:textId="7BB4ECB7" w:rsidR="00F759A7" w:rsidRPr="00CB2EB0" w:rsidRDefault="001D631A" w:rsidP="00185176">
      <w:pPr>
        <w:pStyle w:val="Brdtextmedindrag"/>
      </w:pPr>
      <w:r w:rsidRPr="00CB2EB0">
        <w:t>En viktig del i Riksgäldskontorets kommunikation till marknads</w:t>
      </w:r>
      <w:r w:rsidR="00175890">
        <w:softHyphen/>
      </w:r>
      <w:r w:rsidRPr="00CB2EB0">
        <w:t>aktörerna utgörs av rapporten Statsupplåning ‒ prognos och analys</w:t>
      </w:r>
      <w:r w:rsidR="003913B4" w:rsidRPr="00CB2EB0">
        <w:t>. Rapporten</w:t>
      </w:r>
      <w:r w:rsidRPr="00CB2EB0">
        <w:t xml:space="preserve"> publicera t</w:t>
      </w:r>
      <w:r w:rsidR="003913B4" w:rsidRPr="00CB2EB0">
        <w:t>vå</w:t>
      </w:r>
      <w:r w:rsidRPr="00CB2EB0">
        <w:t xml:space="preserve"> gånger per år</w:t>
      </w:r>
      <w:r w:rsidR="003913B4" w:rsidRPr="00CB2EB0">
        <w:t xml:space="preserve"> sedan 2025, i</w:t>
      </w:r>
      <w:r w:rsidR="00AE1D3D">
        <w:t xml:space="preserve"> </w:t>
      </w:r>
      <w:r w:rsidR="003913B4" w:rsidRPr="00CB2EB0">
        <w:t>stället för som tidigare tre gånger per år</w:t>
      </w:r>
      <w:r w:rsidRPr="00CB2EB0">
        <w:t xml:space="preserve">. I rapporten beskrivs detaljerat hur Riksgäldskontoret avser att finansiera statsskulden de två kommande åren. Rapporten syftar till att underlätta för marknadsaktörerna att bilda sig en uppfattning om statsskuldspolitiken. </w:t>
      </w:r>
      <w:r w:rsidR="00185176" w:rsidRPr="00CB2EB0">
        <w:t xml:space="preserve">Riksgäldskontoret planerar upplåningen utifrån prognoser på statens budgetsaldo, som i sin tur påverkas av den ekonomiska utvecklingen och finanspolitiken. </w:t>
      </w:r>
    </w:p>
    <w:p w14:paraId="0B9A9731" w14:textId="5A931F5D" w:rsidR="001D631A" w:rsidRPr="00CB2EB0" w:rsidRDefault="005F562E" w:rsidP="00FC17EB">
      <w:pPr>
        <w:pStyle w:val="Rubrik5efterram"/>
        <w:outlineLvl w:val="3"/>
      </w:pPr>
      <w:r w:rsidRPr="00CB2EB0">
        <w:t>Högt</w:t>
      </w:r>
      <w:r w:rsidR="001D631A" w:rsidRPr="00CB2EB0">
        <w:t xml:space="preserve"> förtroende för Riksgäldskontorets upplåningsverksamhet</w:t>
      </w:r>
    </w:p>
    <w:p w14:paraId="6083758B" w14:textId="6AC30307" w:rsidR="001D631A" w:rsidRPr="00CB2EB0" w:rsidRDefault="001D631A" w:rsidP="001D631A">
      <w:pPr>
        <w:pStyle w:val="Brdtext"/>
      </w:pPr>
      <w:r w:rsidRPr="00CB2EB0">
        <w:t xml:space="preserve">På Riksgäldskontorets uppdrag genomför Kantar årligen en undersökning om förtroendet för upplåningsverksamheten. Betyg ges på en femgradig skala där betyg 4 betecknas som ”utmärkt” medan ett värde under 3 är underkänt. I </w:t>
      </w:r>
      <w:r w:rsidR="003B2661" w:rsidRPr="00CB2EB0">
        <w:fldChar w:fldCharType="begin"/>
      </w:r>
      <w:r w:rsidR="003B2661" w:rsidRPr="00CB2EB0">
        <w:instrText xml:space="preserve"> REF  _Ref222755951 \* Lower \h  \* MERGEFORMAT </w:instrText>
      </w:r>
      <w:r w:rsidR="003B2661" w:rsidRPr="00CB2EB0">
        <w:fldChar w:fldCharType="separate"/>
      </w:r>
      <w:r w:rsidR="001959AC" w:rsidRPr="00CB2EB0">
        <w:t xml:space="preserve">figur </w:t>
      </w:r>
      <w:r w:rsidR="001959AC">
        <w:rPr>
          <w:noProof/>
        </w:rPr>
        <w:t>4</w:t>
      </w:r>
      <w:r w:rsidR="001959AC" w:rsidRPr="00CB2EB0">
        <w:t>.</w:t>
      </w:r>
      <w:r w:rsidR="001959AC">
        <w:rPr>
          <w:noProof/>
        </w:rPr>
        <w:t>7</w:t>
      </w:r>
      <w:r w:rsidR="003B2661" w:rsidRPr="00CB2EB0">
        <w:fldChar w:fldCharType="end"/>
      </w:r>
      <w:r w:rsidR="003B2661" w:rsidRPr="00CB2EB0">
        <w:t xml:space="preserve"> </w:t>
      </w:r>
      <w:r w:rsidRPr="00CB2EB0">
        <w:t>redovisas hur förtroendet för Riksgäldskontorets upplåningsverksamhet utvecklats.</w:t>
      </w:r>
    </w:p>
    <w:p w14:paraId="2FFDC155" w14:textId="11D92BEB" w:rsidR="001D631A" w:rsidRPr="00CB2EB0" w:rsidRDefault="003913B4" w:rsidP="004F6CF3">
      <w:pPr>
        <w:pStyle w:val="Brdtextmedindrag"/>
      </w:pPr>
      <w:r w:rsidRPr="00CB2EB0">
        <w:t>Resultatet av 2025 års undersökning visar att förtroendebetyget från investerarna steg för fjärde året i rad till 4,1, medan återförsäljarnas betyg var oförändrat nära 4 efter att ha sjunkit 2024</w:t>
      </w:r>
      <w:r w:rsidR="00206B3E" w:rsidRPr="00CB2EB0">
        <w:t xml:space="preserve">, se </w:t>
      </w:r>
      <w:r w:rsidR="00206B3E" w:rsidRPr="00CB2EB0">
        <w:fldChar w:fldCharType="begin"/>
      </w:r>
      <w:r w:rsidR="00206B3E" w:rsidRPr="00CB2EB0">
        <w:instrText xml:space="preserve"> REF  _Ref222755951 \* Lower \h  \* MERGEFORMAT </w:instrText>
      </w:r>
      <w:r w:rsidR="00206B3E" w:rsidRPr="00CB2EB0">
        <w:fldChar w:fldCharType="separate"/>
      </w:r>
      <w:r w:rsidR="001959AC" w:rsidRPr="00CB2EB0">
        <w:t xml:space="preserve">figur </w:t>
      </w:r>
      <w:r w:rsidR="001959AC">
        <w:rPr>
          <w:noProof/>
        </w:rPr>
        <w:t>4</w:t>
      </w:r>
      <w:r w:rsidR="001959AC" w:rsidRPr="00CB2EB0">
        <w:t>.</w:t>
      </w:r>
      <w:r w:rsidR="001959AC">
        <w:rPr>
          <w:noProof/>
        </w:rPr>
        <w:t>7</w:t>
      </w:r>
      <w:r w:rsidR="00206B3E" w:rsidRPr="00CB2EB0">
        <w:fldChar w:fldCharType="end"/>
      </w:r>
      <w:r w:rsidRPr="00CB2EB0">
        <w:t xml:space="preserve">. </w:t>
      </w:r>
      <w:r w:rsidR="004F444D">
        <w:t>Till och med</w:t>
      </w:r>
      <w:r w:rsidRPr="00CB2EB0">
        <w:t xml:space="preserve"> 2022 ingick även internationella investerare, men i 2023 års </w:t>
      </w:r>
      <w:r w:rsidR="00175F81" w:rsidRPr="00CB2EB0">
        <w:t xml:space="preserve">undersökning </w:t>
      </w:r>
      <w:r w:rsidRPr="00CB2EB0">
        <w:t xml:space="preserve">var deras svar för få för att ge ett tillförlitligt resultat. Även 2024 och 2025 </w:t>
      </w:r>
      <w:r w:rsidR="00342CDB" w:rsidRPr="00CB2EB0">
        <w:t xml:space="preserve">års undersökningar </w:t>
      </w:r>
      <w:r w:rsidRPr="00CB2EB0">
        <w:t>innefattar bara svenska investerare.</w:t>
      </w:r>
      <w:r w:rsidR="004F6CF3" w:rsidRPr="00CB2EB0">
        <w:t xml:space="preserve"> </w:t>
      </w:r>
    </w:p>
    <w:p w14:paraId="0874B86B" w14:textId="0441C335" w:rsidR="0017777C" w:rsidRPr="00CB2EB0" w:rsidRDefault="0017777C" w:rsidP="004E0277">
      <w:pPr>
        <w:pStyle w:val="FigurRubrik"/>
      </w:pPr>
      <w:bookmarkStart w:id="44" w:name="_Ref222755951"/>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4</w:t>
      </w:r>
      <w:r w:rsidRPr="00CB2EB0">
        <w:rPr>
          <w:noProof/>
        </w:rPr>
        <w:fldChar w:fldCharType="end"/>
      </w:r>
      <w:r w:rsidRPr="00CB2EB0">
        <w:t>.</w:t>
      </w:r>
      <w:fldSimple w:instr=" SEQ Figur \* Arabic \s 1  \* MERGEFORMAT ">
        <w:r w:rsidR="001959AC">
          <w:rPr>
            <w:noProof/>
          </w:rPr>
          <w:t>7</w:t>
        </w:r>
      </w:fldSimple>
      <w:bookmarkEnd w:id="44"/>
      <w:r w:rsidRPr="00CB2EB0">
        <w:tab/>
      </w:r>
      <w:r w:rsidR="00DA4C52" w:rsidRPr="00CB2EB0">
        <w:t>Förtroendet för Riksgäldskontorets upplåningsverksamhet</w:t>
      </w:r>
    </w:p>
    <w:p w14:paraId="237AAC98" w14:textId="59787FAF" w:rsidR="0017777C" w:rsidRPr="00CB2EB0" w:rsidRDefault="00DA4C52" w:rsidP="00DA4C52">
      <w:pPr>
        <w:pStyle w:val="Brdtext"/>
      </w:pPr>
      <w:r w:rsidRPr="00CB2EB0">
        <w:rPr>
          <w:noProof/>
        </w:rPr>
        <w:drawing>
          <wp:inline distT="0" distB="0" distL="0" distR="0" wp14:anchorId="10093D25" wp14:editId="4BB04297">
            <wp:extent cx="3744595" cy="2460625"/>
            <wp:effectExtent l="0" t="0" r="8255" b="0"/>
            <wp:docPr id="18"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553C47F" w14:textId="103AB6D8" w:rsidR="003453E1" w:rsidRPr="00CB2EB0" w:rsidRDefault="003453E1" w:rsidP="003453E1">
      <w:pPr>
        <w:pStyle w:val="FigurFotnot"/>
      </w:pPr>
      <w:r w:rsidRPr="00CB2EB0">
        <w:t>Anm.: Viktat profilvärde enligt årlig undersökning av Kantar. Skala 1–5 där 4 och högre tolkas som utmärkt och lägre än 3 som underkänt. Internationella investerare ingick i resultatet fram till och med 2022, därefter bara svenska investerare och Riksgälds</w:t>
      </w:r>
      <w:r w:rsidR="002F4842" w:rsidRPr="00CB2EB0">
        <w:t>kontorets</w:t>
      </w:r>
      <w:r w:rsidRPr="00CB2EB0">
        <w:t xml:space="preserve"> återförsäljare.</w:t>
      </w:r>
    </w:p>
    <w:p w14:paraId="343BFF9D" w14:textId="7F4B6C1A" w:rsidR="0017777C" w:rsidRPr="00CB2EB0" w:rsidRDefault="00DA4C52" w:rsidP="00897BD6">
      <w:pPr>
        <w:pStyle w:val="FigurFotnot"/>
      </w:pPr>
      <w:r w:rsidRPr="00CB2EB0">
        <w:t>Källa: Riksgäldskontoret</w:t>
      </w:r>
      <w:r w:rsidR="00C15CD7" w:rsidRPr="00CB2EB0">
        <w:t>.</w:t>
      </w:r>
    </w:p>
    <w:p w14:paraId="7CC9ECF1" w14:textId="77777777" w:rsidR="0017777C" w:rsidRPr="00CB2EB0" w:rsidRDefault="0017777C" w:rsidP="00E22AC9">
      <w:pPr>
        <w:pStyle w:val="Brdtext"/>
      </w:pPr>
    </w:p>
    <w:p w14:paraId="228AD94E" w14:textId="12021161" w:rsidR="00C97090" w:rsidRPr="00CB2EB0" w:rsidRDefault="00C97090" w:rsidP="0078414E">
      <w:pPr>
        <w:pStyle w:val="Brdtext"/>
      </w:pPr>
      <w:r w:rsidRPr="00CB2EB0">
        <w:t>De strategier som bedöm</w:t>
      </w:r>
      <w:r w:rsidR="00424D32" w:rsidRPr="00CB2EB0">
        <w:t>t</w:t>
      </w:r>
      <w:r w:rsidRPr="00CB2EB0">
        <w:t>s som mest betydelsefulla</w:t>
      </w:r>
      <w:r w:rsidR="003B34F8" w:rsidRPr="00CB2EB0">
        <w:t xml:space="preserve"> i 2025 års under</w:t>
      </w:r>
      <w:r w:rsidR="00C21D26">
        <w:softHyphen/>
      </w:r>
      <w:r w:rsidR="003B34F8" w:rsidRPr="00CB2EB0">
        <w:t>sökning</w:t>
      </w:r>
      <w:r w:rsidRPr="00CB2EB0">
        <w:t xml:space="preserve"> fick alla ett betyg på 4 eller över om man tittar på båda grupperna samlat. Förändringarna i betygen var generellt små och alla betygen var godkända. </w:t>
      </w:r>
      <w:r w:rsidR="00424D32" w:rsidRPr="00CB2EB0">
        <w:t>Lägst betyg fick direktkontakter</w:t>
      </w:r>
      <w:r w:rsidR="0055525A" w:rsidRPr="00CB2EB0">
        <w:t>, om än klar</w:t>
      </w:r>
      <w:r w:rsidR="005D5433" w:rsidRPr="00CB2EB0">
        <w:t>t</w:t>
      </w:r>
      <w:r w:rsidR="0055525A" w:rsidRPr="00CB2EB0">
        <w:t xml:space="preserve"> godkänt</w:t>
      </w:r>
      <w:r w:rsidR="00424D32" w:rsidRPr="00CB2EB0">
        <w:t xml:space="preserve">. Några </w:t>
      </w:r>
      <w:r w:rsidR="00743C74" w:rsidRPr="00CB2EB0">
        <w:t xml:space="preserve">svarande </w:t>
      </w:r>
      <w:r w:rsidR="0078414E" w:rsidRPr="00CB2EB0">
        <w:t xml:space="preserve">lyfte </w:t>
      </w:r>
      <w:r w:rsidR="001858C8">
        <w:t xml:space="preserve">fram </w:t>
      </w:r>
      <w:r w:rsidR="0078414E" w:rsidRPr="00CB2EB0">
        <w:t>att de gärna ser att Riksgäldskontoret tar initiativ till fler kontakter för att ta in synpunkter från investerarna</w:t>
      </w:r>
      <w:r w:rsidR="00424D32" w:rsidRPr="00CB2EB0">
        <w:t xml:space="preserve">. </w:t>
      </w:r>
    </w:p>
    <w:p w14:paraId="43BF4553" w14:textId="249FCD0F" w:rsidR="00C97090" w:rsidRPr="00CB2EB0" w:rsidRDefault="00C97090" w:rsidP="00C97090">
      <w:pPr>
        <w:pStyle w:val="Brdtextmedindrag"/>
      </w:pPr>
      <w:r w:rsidRPr="00CB2EB0">
        <w:t>Kommunikationen om upplåningen sågs fortsatt som den viktigaste strategin och som Riksgälds</w:t>
      </w:r>
      <w:r w:rsidR="00E60DFF" w:rsidRPr="00CB2EB0">
        <w:t>kontorets</w:t>
      </w:r>
      <w:r w:rsidRPr="00CB2EB0">
        <w:t xml:space="preserve"> främsta styrka. Under 2025 publicerade Riksgäld</w:t>
      </w:r>
      <w:r w:rsidR="00E60DFF" w:rsidRPr="00CB2EB0">
        <w:t>skontoret</w:t>
      </w:r>
      <w:r w:rsidRPr="00CB2EB0">
        <w:t xml:space="preserve"> två rapporter i stället för som tidigare tre, en förändring som var en del i en ny kommunikationsstruktur som aviserades 2024. Där ingick även att öka graden av transparens i planen för utbudet av nominella statsobligationer, en förändring som nästan alla svarande i årets undersökning såg som positiv. De flesta var också positiva eller neutralt inställda till det minskade antalet rapporter per år, medan några önskade tätare uppdateringar.</w:t>
      </w:r>
    </w:p>
    <w:p w14:paraId="1BD35FA4" w14:textId="57BB5EE1" w:rsidR="00C97090" w:rsidRPr="00CB2EB0" w:rsidRDefault="00C97090" w:rsidP="00C97090">
      <w:pPr>
        <w:pStyle w:val="Brdtextmedindrag"/>
      </w:pPr>
      <w:r w:rsidRPr="00CB2EB0">
        <w:t>Marknadsvård i form av repor – som bara återförsäljarna bedömer – stod för den största negativa förändringen mellan 2023 och 2024. Riksgäldskontoret gjorde inga förändringar i faciliteterna under 2024, men användandet minskade. Det beror troligen på det ökade utbudet av stats</w:t>
      </w:r>
      <w:r w:rsidR="005458DE">
        <w:softHyphen/>
      </w:r>
      <w:r w:rsidRPr="00CB2EB0">
        <w:t>obligationer på marknaden och den därmed förbättrade marknads</w:t>
      </w:r>
      <w:r w:rsidR="0075606C">
        <w:softHyphen/>
      </w:r>
      <w:r w:rsidRPr="00CB2EB0">
        <w:t>likviditeten</w:t>
      </w:r>
    </w:p>
    <w:p w14:paraId="535EEE4B" w14:textId="6DE1B1D5" w:rsidR="00C97090" w:rsidRDefault="00C97090" w:rsidP="00C97090">
      <w:pPr>
        <w:pStyle w:val="Brdtextmedindrag"/>
      </w:pPr>
      <w:r w:rsidRPr="00CB2EB0">
        <w:t xml:space="preserve">Sammantaget visar den årliga undersökningen att marknadens </w:t>
      </w:r>
      <w:r w:rsidR="005F5696" w:rsidRPr="00CB2EB0">
        <w:t>förtroende för Riksgäldskontoret är högt</w:t>
      </w:r>
      <w:r w:rsidR="00D97A27" w:rsidRPr="00CB2EB0">
        <w:t xml:space="preserve"> och att Riksgäldskontoret </w:t>
      </w:r>
      <w:r w:rsidR="007C5054" w:rsidRPr="00CB2EB0">
        <w:t>gör ett bra arbete</w:t>
      </w:r>
      <w:r w:rsidRPr="00CB2EB0">
        <w:t>.</w:t>
      </w:r>
    </w:p>
    <w:p w14:paraId="41CB07F4" w14:textId="77777777" w:rsidR="00F540F8" w:rsidRPr="00CB2EB0" w:rsidRDefault="00F540F8" w:rsidP="00C97090">
      <w:pPr>
        <w:pStyle w:val="Brdtextmedindrag"/>
      </w:pPr>
    </w:p>
    <w:p w14:paraId="49D55C02" w14:textId="7797586A" w:rsidR="00E45EAA" w:rsidRPr="00CB2EB0" w:rsidRDefault="00E45EAA" w:rsidP="00FC17EB">
      <w:pPr>
        <w:pStyle w:val="Rubrik5efterram"/>
        <w:outlineLvl w:val="3"/>
      </w:pPr>
      <w:r w:rsidRPr="00CB2EB0">
        <w:lastRenderedPageBreak/>
        <w:t>Likviditetsförvaltningen har bedrivits i enlighet med målet</w:t>
      </w:r>
    </w:p>
    <w:p w14:paraId="0184B3B4" w14:textId="597004CA" w:rsidR="00E45EAA" w:rsidRPr="00CB2EB0" w:rsidRDefault="00E45EAA" w:rsidP="00E45EAA">
      <w:pPr>
        <w:pStyle w:val="Brdtext"/>
      </w:pPr>
      <w:r w:rsidRPr="00CB2EB0">
        <w:t>Likviditetsförvaltning behövs för att Riksgäldskontoret alltid ska kunna finansiera statens löpande betalningar. Den är en integrerad del av statsskuldsförvaltningen inom vilken medel både lånas och placeras. Regeringens riktlinjer för statsskuldens förvaltning innehåller inga närmare regler för likviditetsförvaltningen. Däremot fastställer Riksgäldskontoret vägledande principer i finans- och riskpolicyn, bl.a. om vilka instrument som får användas och hur kredit- och motpartsrisker ska begränsas.</w:t>
      </w:r>
    </w:p>
    <w:p w14:paraId="237FBA13" w14:textId="0C8D2146" w:rsidR="004314DD" w:rsidRPr="00CB2EB0" w:rsidRDefault="004314DD" w:rsidP="004314DD">
      <w:pPr>
        <w:pStyle w:val="Brdtextmedindrag"/>
      </w:pPr>
      <w:r w:rsidRPr="00CB2EB0">
        <w:t>Under 2025 behövde Riksgäldskontoret låna i genomsnitt ca 55</w:t>
      </w:r>
      <w:r w:rsidR="00AA1A78" w:rsidRPr="00CB2EB0">
        <w:t> </w:t>
      </w:r>
      <w:r w:rsidRPr="00CB2EB0">
        <w:t>miljarder kronor per dag, en ökning med drygt 7</w:t>
      </w:r>
      <w:r w:rsidR="00345560" w:rsidRPr="00CB2EB0">
        <w:t> </w:t>
      </w:r>
      <w:r w:rsidRPr="00CB2EB0">
        <w:t>miljarder kronor jämfört med 2024. Variationen i kassan var stor under året och periodvis uppstod stora överskott.</w:t>
      </w:r>
    </w:p>
    <w:p w14:paraId="5BE309A4" w14:textId="72E2F954" w:rsidR="00816699" w:rsidRPr="00CB2EB0" w:rsidRDefault="00816699" w:rsidP="00816699">
      <w:pPr>
        <w:pStyle w:val="Brdtextmedindrag"/>
      </w:pPr>
      <w:r w:rsidRPr="00CB2EB0">
        <w:t xml:space="preserve">Riksgäldskontorets likviditetsförvaltning påverkas i hög utsträckning av externa faktorer som ligger utanför </w:t>
      </w:r>
      <w:r w:rsidR="00E52E7C" w:rsidRPr="00CB2EB0">
        <w:t>Riksgäldskonto</w:t>
      </w:r>
      <w:r w:rsidR="00E17CD2">
        <w:t>r</w:t>
      </w:r>
      <w:r w:rsidR="00E52E7C" w:rsidRPr="00CB2EB0">
        <w:t>ets</w:t>
      </w:r>
      <w:r w:rsidRPr="00CB2EB0">
        <w:t xml:space="preserve"> kontroll. Mot den bakgrunden bedöms likviditetsförvaltningen över hela utvärderings</w:t>
      </w:r>
      <w:r w:rsidR="002D75E5">
        <w:softHyphen/>
      </w:r>
      <w:r w:rsidRPr="00CB2EB0">
        <w:t>perioden ha bedrivits i enlighet med det statsskuldspolitiska målet om kostnadsminimering med beaktande av risk.</w:t>
      </w:r>
    </w:p>
    <w:p w14:paraId="39E0F7BB" w14:textId="6960ABE4" w:rsidR="00792F73" w:rsidRPr="00CB2EB0" w:rsidRDefault="00792F73" w:rsidP="00816699">
      <w:pPr>
        <w:pStyle w:val="Brdtextmedindrag"/>
      </w:pPr>
      <w:r w:rsidRPr="00CB2EB0">
        <w:t xml:space="preserve">Statskontoret </w:t>
      </w:r>
      <w:r w:rsidR="00654274" w:rsidRPr="00CB2EB0">
        <w:t xml:space="preserve">lyfter i sin utvärderingsrapport </w:t>
      </w:r>
      <w:r w:rsidR="009879CF">
        <w:t xml:space="preserve">fram </w:t>
      </w:r>
      <w:r w:rsidR="00654274" w:rsidRPr="00CB2EB0">
        <w:t xml:space="preserve">att det försämrade geopolitiska läget skulle kunna föranleda en analys av om överupplåning ska tillåtas i likviditetsförvaltningen (se </w:t>
      </w:r>
      <w:r w:rsidR="00AA0DF4" w:rsidRPr="00CB2EB0">
        <w:t xml:space="preserve">även </w:t>
      </w:r>
      <w:r w:rsidR="00654274" w:rsidRPr="00CB2EB0">
        <w:t xml:space="preserve">avsnitt </w:t>
      </w:r>
      <w:r w:rsidR="00AA0DF4" w:rsidRPr="00CB2EB0">
        <w:fldChar w:fldCharType="begin"/>
      </w:r>
      <w:r w:rsidR="00AA0DF4" w:rsidRPr="00CB2EB0">
        <w:instrText xml:space="preserve"> REF _Ref224564238 \r \h </w:instrText>
      </w:r>
      <w:r w:rsidR="00CB2EB0">
        <w:instrText xml:space="preserve"> \* MERGEFORMAT </w:instrText>
      </w:r>
      <w:r w:rsidR="00AA0DF4" w:rsidRPr="00CB2EB0">
        <w:fldChar w:fldCharType="separate"/>
      </w:r>
      <w:r w:rsidR="001959AC">
        <w:t>5.3</w:t>
      </w:r>
      <w:r w:rsidR="00AA0DF4" w:rsidRPr="00CB2EB0">
        <w:fldChar w:fldCharType="end"/>
      </w:r>
      <w:r w:rsidR="00654274" w:rsidRPr="00CB2EB0">
        <w:t>).</w:t>
      </w:r>
    </w:p>
    <w:p w14:paraId="355B7B24" w14:textId="1694DCD9" w:rsidR="00816699" w:rsidRPr="00CB2EB0" w:rsidRDefault="00816699" w:rsidP="00FC17EB">
      <w:pPr>
        <w:pStyle w:val="Rubrik5efterram"/>
        <w:outlineLvl w:val="3"/>
      </w:pPr>
      <w:r w:rsidRPr="00CB2EB0">
        <w:t>Marknadsvårdande repor</w:t>
      </w:r>
    </w:p>
    <w:p w14:paraId="4D71AD70" w14:textId="56E24EB1" w:rsidR="005C5384" w:rsidRPr="00CB2EB0" w:rsidRDefault="009F1B1E" w:rsidP="00B14144">
      <w:pPr>
        <w:pStyle w:val="Brdtext"/>
      </w:pPr>
      <w:r w:rsidRPr="00CB2EB0">
        <w:t>R</w:t>
      </w:r>
      <w:r w:rsidR="00A42397" w:rsidRPr="00CB2EB0">
        <w:t xml:space="preserve">iksgäldskontoret erbjuder </w:t>
      </w:r>
      <w:r w:rsidRPr="00CB2EB0">
        <w:t xml:space="preserve">en obegränsad mängd marknadsvårdande repor </w:t>
      </w:r>
      <w:r w:rsidR="00A42397" w:rsidRPr="00CB2EB0">
        <w:t>till sina återförsäljare</w:t>
      </w:r>
      <w:r w:rsidRPr="00CB2EB0">
        <w:t xml:space="preserve"> i syfte att minska risken för bristsituationer på marknaden för statspapper</w:t>
      </w:r>
      <w:r w:rsidR="00A42397" w:rsidRPr="00CB2EB0">
        <w:t>. I reporna lånar Riksgäldskontoret ut statsskuldväxlar eller statsobligationer i utbyte mot pengar</w:t>
      </w:r>
      <w:r w:rsidR="00E52E7C" w:rsidRPr="00CB2EB0">
        <w:t>. R</w:t>
      </w:r>
      <w:r w:rsidR="0009133C" w:rsidRPr="00CB2EB0">
        <w:t>epovolymen</w:t>
      </w:r>
      <w:r w:rsidR="00A42397" w:rsidRPr="00CB2EB0">
        <w:t xml:space="preserve"> styrs helt av återförsäljarnas efterfrågan. Ett högt nyttjande indikerar en mindre likvid marknad där det är svårare att få tag på statspapper från andra marknadsaktörer än Riksgäldskontoret. </w:t>
      </w:r>
    </w:p>
    <w:p w14:paraId="2864593D" w14:textId="3BAB22BB" w:rsidR="00A42397" w:rsidRPr="00CB2EB0" w:rsidRDefault="00443BDA" w:rsidP="005C5384">
      <w:pPr>
        <w:pStyle w:val="Brdtextmedindrag"/>
      </w:pPr>
      <w:r w:rsidRPr="00CB2EB0">
        <w:t>Av</w:t>
      </w:r>
      <w:r w:rsidR="00A42397" w:rsidRPr="00CB2EB0">
        <w:t xml:space="preserve"> </w:t>
      </w:r>
      <w:r w:rsidR="00A42397" w:rsidRPr="00CB2EB0">
        <w:fldChar w:fldCharType="begin"/>
      </w:r>
      <w:r w:rsidR="00A42397" w:rsidRPr="00CB2EB0">
        <w:instrText xml:space="preserve"> REF  _Ref222757410 \* Lower \h  \* MERGEFORMAT </w:instrText>
      </w:r>
      <w:r w:rsidR="00A42397" w:rsidRPr="00CB2EB0">
        <w:fldChar w:fldCharType="separate"/>
      </w:r>
      <w:r w:rsidR="001959AC" w:rsidRPr="00CB2EB0">
        <w:t xml:space="preserve">figur </w:t>
      </w:r>
      <w:r w:rsidR="001959AC">
        <w:rPr>
          <w:noProof/>
        </w:rPr>
        <w:t>4</w:t>
      </w:r>
      <w:r w:rsidR="001959AC" w:rsidRPr="00CB2EB0">
        <w:t>.</w:t>
      </w:r>
      <w:r w:rsidR="001959AC">
        <w:rPr>
          <w:noProof/>
        </w:rPr>
        <w:t>8</w:t>
      </w:r>
      <w:r w:rsidR="00A42397" w:rsidRPr="00CB2EB0">
        <w:fldChar w:fldCharType="end"/>
      </w:r>
      <w:r w:rsidR="00A42397" w:rsidRPr="00CB2EB0">
        <w:t xml:space="preserve"> framgår att den totala utestående volymen </w:t>
      </w:r>
      <w:r w:rsidR="00B14144" w:rsidRPr="00CB2EB0">
        <w:t>fortsatt var låg 2025</w:t>
      </w:r>
      <w:r w:rsidR="00A42397" w:rsidRPr="00CB2EB0">
        <w:t xml:space="preserve">. </w:t>
      </w:r>
      <w:r w:rsidR="00B14144" w:rsidRPr="00CB2EB0">
        <w:t xml:space="preserve">Volymen repor mot likvida medel </w:t>
      </w:r>
      <w:r w:rsidR="00A8563F" w:rsidRPr="00CB2EB0">
        <w:t>var</w:t>
      </w:r>
      <w:r w:rsidR="00B14144" w:rsidRPr="00CB2EB0">
        <w:t xml:space="preserve"> i genomsnitt under 1</w:t>
      </w:r>
      <w:r w:rsidR="0092245D" w:rsidRPr="00CB2EB0">
        <w:t> </w:t>
      </w:r>
      <w:r w:rsidR="00B14144" w:rsidRPr="00CB2EB0">
        <w:t>miljard kronor per dag, jämfört med 3</w:t>
      </w:r>
      <w:r w:rsidR="00013016" w:rsidRPr="00CB2EB0">
        <w:t> </w:t>
      </w:r>
      <w:r w:rsidR="00B14144" w:rsidRPr="00CB2EB0">
        <w:t>miljarder kronor 2024. Nyttjandet av faciliteten har minskat i takt med att utbudet av statspapper har ökat</w:t>
      </w:r>
      <w:r w:rsidR="00013016" w:rsidRPr="00CB2EB0">
        <w:t xml:space="preserve"> (se </w:t>
      </w:r>
      <w:r w:rsidR="00A41DDC" w:rsidRPr="00CB2EB0">
        <w:t xml:space="preserve">även </w:t>
      </w:r>
      <w:r w:rsidR="00013016" w:rsidRPr="00CB2EB0">
        <w:t xml:space="preserve">avsnitt </w:t>
      </w:r>
      <w:r w:rsidR="00013016" w:rsidRPr="00CB2EB0">
        <w:fldChar w:fldCharType="begin"/>
      </w:r>
      <w:r w:rsidR="00013016" w:rsidRPr="00CB2EB0">
        <w:instrText xml:space="preserve"> REF _Ref223610943 \r \h  \* MERGEFORMAT </w:instrText>
      </w:r>
      <w:r w:rsidR="00013016" w:rsidRPr="00CB2EB0">
        <w:fldChar w:fldCharType="separate"/>
      </w:r>
      <w:r w:rsidR="001959AC">
        <w:t>5.2</w:t>
      </w:r>
      <w:r w:rsidR="00013016" w:rsidRPr="00CB2EB0">
        <w:fldChar w:fldCharType="end"/>
      </w:r>
      <w:r w:rsidR="00013016" w:rsidRPr="00CB2EB0">
        <w:t>)</w:t>
      </w:r>
      <w:r w:rsidR="00A42397" w:rsidRPr="00CB2EB0">
        <w:t>.</w:t>
      </w:r>
    </w:p>
    <w:p w14:paraId="7667F06A" w14:textId="3B8E7C0F" w:rsidR="00CC12E0" w:rsidRPr="00CB2EB0" w:rsidRDefault="00CC12E0" w:rsidP="00A42397">
      <w:pPr>
        <w:pStyle w:val="FigurRubrik"/>
      </w:pPr>
      <w:bookmarkStart w:id="45" w:name="_Ref222757410"/>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4</w:t>
      </w:r>
      <w:r w:rsidRPr="00CB2EB0">
        <w:rPr>
          <w:noProof/>
        </w:rPr>
        <w:fldChar w:fldCharType="end"/>
      </w:r>
      <w:r w:rsidRPr="00CB2EB0">
        <w:t>.</w:t>
      </w:r>
      <w:fldSimple w:instr=" SEQ Figur \* Arabic \s 1  \* MERGEFORMAT ">
        <w:r w:rsidR="001959AC">
          <w:rPr>
            <w:noProof/>
          </w:rPr>
          <w:t>8</w:t>
        </w:r>
      </w:fldSimple>
      <w:bookmarkEnd w:id="45"/>
      <w:r w:rsidRPr="00CB2EB0">
        <w:tab/>
        <w:t>Volym marknadsvårdande repor</w:t>
      </w:r>
    </w:p>
    <w:p w14:paraId="70EEC488" w14:textId="5D17C252" w:rsidR="00471E0D" w:rsidRPr="00CB2EB0" w:rsidRDefault="00471E0D" w:rsidP="002F4A14">
      <w:pPr>
        <w:pStyle w:val="FigurUnderrubrik"/>
      </w:pPr>
      <w:r w:rsidRPr="00CB2EB0">
        <w:t>Miljarder kronor</w:t>
      </w:r>
    </w:p>
    <w:p w14:paraId="1993B973" w14:textId="4407A647" w:rsidR="00B70A93" w:rsidRPr="00CB2EB0" w:rsidRDefault="00B70A93" w:rsidP="00B70A93">
      <w:pPr>
        <w:pStyle w:val="Brdtext"/>
      </w:pPr>
      <w:r w:rsidRPr="00CB2EB0">
        <w:rPr>
          <w:noProof/>
        </w:rPr>
        <w:drawing>
          <wp:inline distT="0" distB="0" distL="0" distR="0" wp14:anchorId="686BCEF0" wp14:editId="22D9D9AC">
            <wp:extent cx="3744595" cy="2460625"/>
            <wp:effectExtent l="0" t="0" r="8255" b="0"/>
            <wp:docPr id="19"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71D3854" w14:textId="7FED4D35" w:rsidR="0074085C" w:rsidRPr="00CB2EB0" w:rsidRDefault="0074085C" w:rsidP="00897BD6">
      <w:pPr>
        <w:pStyle w:val="FigurFotnot"/>
      </w:pPr>
      <w:r w:rsidRPr="00CB2EB0">
        <w:t>Anm.: Genomsnitt av det utestående nominella beloppet av det underliggande värdepappret.</w:t>
      </w:r>
    </w:p>
    <w:p w14:paraId="533E26BA" w14:textId="4413652D" w:rsidR="00B70A93" w:rsidRPr="00CB2EB0" w:rsidRDefault="00523BCD" w:rsidP="00897BD6">
      <w:pPr>
        <w:pStyle w:val="FigurFotnot"/>
      </w:pPr>
      <w:r w:rsidRPr="00CB2EB0">
        <w:t>Käll</w:t>
      </w:r>
      <w:r w:rsidR="000E7D35" w:rsidRPr="00CB2EB0">
        <w:t>a</w:t>
      </w:r>
      <w:r w:rsidRPr="00CB2EB0">
        <w:t>: Riksgäldskontoret</w:t>
      </w:r>
      <w:r w:rsidR="00C15CD7" w:rsidRPr="00CB2EB0">
        <w:t>.</w:t>
      </w:r>
    </w:p>
    <w:p w14:paraId="6F14FCF5" w14:textId="31944376" w:rsidR="00E050FB" w:rsidRPr="00CB2EB0" w:rsidRDefault="00E050FB" w:rsidP="00FC17EB">
      <w:pPr>
        <w:pStyle w:val="Rubrik5efterram"/>
        <w:outlineLvl w:val="3"/>
      </w:pPr>
      <w:bookmarkStart w:id="46" w:name="_Toc221707224"/>
      <w:r w:rsidRPr="00CB2EB0">
        <w:t>Utvärdering av bytet av auktionsform för realränteobligationer</w:t>
      </w:r>
      <w:bookmarkEnd w:id="46"/>
    </w:p>
    <w:p w14:paraId="49340246" w14:textId="4CFD8949" w:rsidR="00E050FB" w:rsidRPr="00CB2EB0" w:rsidRDefault="00E050FB" w:rsidP="00E050FB">
      <w:pPr>
        <w:pStyle w:val="Brdtext"/>
      </w:pPr>
      <w:r w:rsidRPr="00CB2EB0">
        <w:t>Riksgäldskontoret tillämpade fram till utgången av 2024 så kallad sluten flerprisauktion för alla typer av statspapper. Det innebär att budgivaren får tilldelning baserat på sin budränta i auktionen. Om flera bud lagts på ränte</w:t>
      </w:r>
      <w:r w:rsidR="00CA5C4A">
        <w:softHyphen/>
      </w:r>
      <w:r w:rsidRPr="00CB2EB0">
        <w:t>nivåer som understiger den högsta accepterade räntan sker tilldelning baserat på budräntorna. Budet med den lägsta räntan accepteras först, därefter budet med näst lägst ränta och så vidare till önskad volym är fylld. Budgivarna köper därmed statspapperet till olika räntor vid auktions</w:t>
      </w:r>
      <w:r w:rsidR="00CA5C4A">
        <w:softHyphen/>
      </w:r>
      <w:r w:rsidRPr="00CB2EB0">
        <w:t xml:space="preserve">tillfället. Med sluten budgivning avses att en återförsäljare enbart ser sina egna bud. För den andra typen av förfarande, enhetsprisauktioner, sker tilldelning av statspapperet baserat på den högsta accepterade räntan, även om en eller flera budgivare har lagt lägre budräntor. Det innebär att alla som får tilldelning köper statspapperet till samma ränta. </w:t>
      </w:r>
    </w:p>
    <w:p w14:paraId="4AC48D1A" w14:textId="0CA3C0C3" w:rsidR="00E050FB" w:rsidRPr="00CB2EB0" w:rsidRDefault="00E050FB" w:rsidP="00E050FB">
      <w:pPr>
        <w:pStyle w:val="Brdtextmedindrag"/>
      </w:pPr>
      <w:r w:rsidRPr="00CB2EB0">
        <w:t>Riksgäldskontoret bytte auktionsform för realobligationer till enhetsprisauktion vid årsskiftet 2024/2025. Till grund för beslutet låg en genomgång av både teoretiska och empiriska studier av vilken auktions</w:t>
      </w:r>
      <w:r w:rsidR="00285859">
        <w:softHyphen/>
      </w:r>
      <w:r w:rsidRPr="00CB2EB0">
        <w:t xml:space="preserve">form som fungerar bäst under olika förutsättningar. Likviditeten i realobligationsmarknaden har under senare år fått underkänt betyg av återförsäljare och investerare. Eftersom regeringen i riktlinjerna beslutat att stocken av realobligationer ska minska de närmaste åren kan </w:t>
      </w:r>
      <w:r w:rsidR="001C5487" w:rsidRPr="00CB2EB0">
        <w:t xml:space="preserve">det </w:t>
      </w:r>
      <w:r w:rsidRPr="00CB2EB0">
        <w:t>öka likviditetsriskpremien och leda till en högre osäkerhet rörande prisbilden vid auktioner.</w:t>
      </w:r>
    </w:p>
    <w:p w14:paraId="5945D356" w14:textId="213A1C34" w:rsidR="00E050FB" w:rsidRPr="00CB2EB0" w:rsidRDefault="00E050FB" w:rsidP="00E050FB">
      <w:pPr>
        <w:pStyle w:val="Brdtextmedindrag"/>
      </w:pPr>
      <w:r w:rsidRPr="00CB2EB0">
        <w:t>Statskontoret anser att Riksgäld</w:t>
      </w:r>
      <w:r w:rsidR="00926127" w:rsidRPr="00CB2EB0">
        <w:t>s</w:t>
      </w:r>
      <w:r w:rsidRPr="00CB2EB0">
        <w:t>kontorets process vid bytet av auktions</w:t>
      </w:r>
      <w:r w:rsidR="00161A4A">
        <w:softHyphen/>
      </w:r>
      <w:r w:rsidRPr="00CB2EB0">
        <w:t xml:space="preserve">form har varit föredömlig. </w:t>
      </w:r>
      <w:r w:rsidR="00BB0407" w:rsidRPr="00CB2EB0">
        <w:t xml:space="preserve">Före </w:t>
      </w:r>
      <w:r w:rsidRPr="00CB2EB0">
        <w:t>bytet gjordes en analys av olika auktions</w:t>
      </w:r>
      <w:r w:rsidR="00161A4A">
        <w:softHyphen/>
      </w:r>
      <w:r w:rsidRPr="00CB2EB0">
        <w:t>former och efter bytet gjordes en väldesignad utvärdering.</w:t>
      </w:r>
      <w:r w:rsidR="00C52439" w:rsidRPr="00CB2EB0">
        <w:t xml:space="preserve"> </w:t>
      </w:r>
      <w:r w:rsidRPr="00CB2EB0">
        <w:t xml:space="preserve">Statskontoret kan se </w:t>
      </w:r>
      <w:r w:rsidR="005266C5" w:rsidRPr="00CB2EB0">
        <w:t>skäl för</w:t>
      </w:r>
      <w:r w:rsidRPr="00CB2EB0">
        <w:t xml:space="preserve"> att göra en uppföljande analys längre fram, när mer data tillkommit.</w:t>
      </w:r>
    </w:p>
    <w:p w14:paraId="594C4AAF" w14:textId="437088A3" w:rsidR="009015C2" w:rsidRPr="00CB2EB0" w:rsidRDefault="009015C2" w:rsidP="00FC17EB">
      <w:pPr>
        <w:pStyle w:val="Rubrik2"/>
      </w:pPr>
      <w:bookmarkStart w:id="47" w:name="_Ref222902643"/>
      <w:bookmarkStart w:id="48" w:name="_Toc227766871"/>
      <w:r w:rsidRPr="00CB2EB0">
        <w:lastRenderedPageBreak/>
        <w:t>Positionstagande</w:t>
      </w:r>
      <w:bookmarkEnd w:id="47"/>
      <w:bookmarkEnd w:id="48"/>
    </w:p>
    <w:p w14:paraId="726F7667" w14:textId="758E9B65" w:rsidR="009015C2" w:rsidRPr="00CB2EB0" w:rsidRDefault="009015C2" w:rsidP="00FC17EB">
      <w:pPr>
        <w:pStyle w:val="Rubrik4ram"/>
        <w:outlineLvl w:val="2"/>
      </w:pPr>
      <w:r w:rsidRPr="00CB2EB0">
        <w:t>Regeringens bedömning</w:t>
      </w:r>
    </w:p>
    <w:p w14:paraId="601BE360" w14:textId="0C334803" w:rsidR="00E03135" w:rsidRPr="00CB2EB0" w:rsidRDefault="00E03135" w:rsidP="00E03135">
      <w:pPr>
        <w:pStyle w:val="Brdtextram"/>
      </w:pPr>
      <w:r w:rsidRPr="00CB2EB0">
        <w:t xml:space="preserve">Riksgäldskontorets positionstagning i kronans </w:t>
      </w:r>
      <w:r w:rsidR="007E2191" w:rsidRPr="00CB2EB0">
        <w:t>valuta</w:t>
      </w:r>
      <w:r w:rsidRPr="00CB2EB0">
        <w:t>kurs och i utländska valutor har varit inom givna riskmandat.</w:t>
      </w:r>
    </w:p>
    <w:p w14:paraId="4C49DA8D" w14:textId="52F7D659" w:rsidR="009015C2" w:rsidRPr="00CB2EB0" w:rsidRDefault="004B4E78" w:rsidP="00B35B3C">
      <w:pPr>
        <w:pStyle w:val="Brdtextmedindragram"/>
      </w:pPr>
      <w:r w:rsidRPr="00CB2EB0">
        <w:t>Under 2021–2025 var det genomsnittliga resultatet för den löpande positionstagningen 25</w:t>
      </w:r>
      <w:r w:rsidR="0050782B" w:rsidRPr="00CB2EB0">
        <w:t> </w:t>
      </w:r>
      <w:r w:rsidRPr="00CB2EB0">
        <w:t>miljoner kronor per år.</w:t>
      </w:r>
      <w:r w:rsidR="00B35B3C" w:rsidRPr="00CB2EB0">
        <w:t xml:space="preserve"> Det kvantitativa målet om att positionsverksamheten ska bidra till att sänka kostnaden för statsskulden har uppnåtts.</w:t>
      </w:r>
    </w:p>
    <w:p w14:paraId="48523A66" w14:textId="1AE80A18" w:rsidR="009015C2" w:rsidRPr="00CB2EB0" w:rsidRDefault="009015C2" w:rsidP="00FC17EB">
      <w:pPr>
        <w:pStyle w:val="Rubrik4efterram"/>
        <w:outlineLvl w:val="2"/>
      </w:pPr>
      <w:r w:rsidRPr="00CB2EB0">
        <w:t>Skälen för regeringens bedömning</w:t>
      </w:r>
    </w:p>
    <w:p w14:paraId="39874E23" w14:textId="21459D63" w:rsidR="00960158" w:rsidRPr="00CB2EB0" w:rsidRDefault="00B35B3C" w:rsidP="00B35B3C">
      <w:pPr>
        <w:pStyle w:val="Brdtext"/>
      </w:pPr>
      <w:r w:rsidRPr="00CB2EB0">
        <w:t xml:space="preserve">Riksgäldskontoret får ta positioner i utländsk valuta och i kronans valutakurs i syfte att sänka kostnaden för statsskulden. Med positioner avses transaktioner som motiveras av en bedömning att kostnaden kan sänkas genom att avvika från skuldens löptid eller sammansättning. Positioner får endast tas på marknader som medger att marknadsrisken kan hanteras genom likvida och väl utvecklade derivatinstrument och som potentiellt är en lånevaluta inom ramen för skuldförvaltningen. Positioner får inte tas på den svenska räntemarknaden. Regeringen styr riskexponeringen i positionsverksamheten genom att i riktlinjerna besluta om två olika mandat för positionstagande. Riksgäldskontorets utrymme att ta positioner har varit oförändrat under utvärderingsperioden. Positioner i utländsk valuta begränsas till 300 miljoner kronor, mätt som daglig </w:t>
      </w:r>
      <w:r w:rsidR="00E11EDB">
        <w:t>v</w:t>
      </w:r>
      <w:r w:rsidRPr="00CB2EB0">
        <w:t>alue-at-</w:t>
      </w:r>
      <w:r w:rsidR="00E11EDB">
        <w:t>r</w:t>
      </w:r>
      <w:r w:rsidRPr="00CB2EB0">
        <w:t>isk vid 95</w:t>
      </w:r>
      <w:r w:rsidR="005C19FA" w:rsidRPr="00CB2EB0">
        <w:t> </w:t>
      </w:r>
      <w:r w:rsidRPr="00CB2EB0">
        <w:t>procents sannolikhet. Positioner i kronans valutakurs begränsas till maximalt 7,5</w:t>
      </w:r>
      <w:r w:rsidR="005C19FA" w:rsidRPr="00CB2EB0">
        <w:t> </w:t>
      </w:r>
      <w:r w:rsidRPr="00CB2EB0">
        <w:t>miljarder kronor. Sedan mars 2018 har Riksgäldskontoret ingen extern positionstagning, dvs. med hjälp av externa förvaltare, och sedan utgången av 2022 har Riksgäldskontoret stängt positionen för starkare krona.</w:t>
      </w:r>
      <w:r w:rsidR="00F749D7" w:rsidRPr="00CB2EB0">
        <w:t xml:space="preserve"> </w:t>
      </w:r>
    </w:p>
    <w:p w14:paraId="2C29FA82" w14:textId="6FB056EF" w:rsidR="00BF56BA" w:rsidRPr="00CB2EB0" w:rsidRDefault="00F749D7" w:rsidP="00BF56BA">
      <w:pPr>
        <w:pStyle w:val="Brdtextmedindrag"/>
      </w:pPr>
      <w:r w:rsidRPr="00CB2EB0">
        <w:t xml:space="preserve">I </w:t>
      </w:r>
      <w:r w:rsidR="00E922F9" w:rsidRPr="00CB2EB0">
        <w:fldChar w:fldCharType="begin"/>
      </w:r>
      <w:r w:rsidR="00E922F9" w:rsidRPr="00CB2EB0">
        <w:instrText xml:space="preserve"> REF  _Ref223426385 \* Lower \h  \* MERGEFORMAT </w:instrText>
      </w:r>
      <w:r w:rsidR="00E922F9" w:rsidRPr="00CB2EB0">
        <w:fldChar w:fldCharType="separate"/>
      </w:r>
      <w:r w:rsidR="001959AC" w:rsidRPr="00CB2EB0">
        <w:t xml:space="preserve">tabell </w:t>
      </w:r>
      <w:r w:rsidR="001959AC">
        <w:rPr>
          <w:noProof/>
        </w:rPr>
        <w:t>4</w:t>
      </w:r>
      <w:r w:rsidR="001959AC" w:rsidRPr="00CB2EB0">
        <w:t>.</w:t>
      </w:r>
      <w:r w:rsidR="001959AC">
        <w:rPr>
          <w:noProof/>
        </w:rPr>
        <w:t>2</w:t>
      </w:r>
      <w:r w:rsidR="00E922F9" w:rsidRPr="00CB2EB0">
        <w:fldChar w:fldCharType="end"/>
      </w:r>
      <w:r w:rsidR="00E922F9" w:rsidRPr="00CB2EB0">
        <w:t xml:space="preserve"> </w:t>
      </w:r>
      <w:r w:rsidRPr="00CB2EB0">
        <w:t xml:space="preserve">redovisas resultatet för den löpande positionstagningen. </w:t>
      </w:r>
      <w:r w:rsidR="005F562E" w:rsidRPr="00CB2EB0">
        <w:t>Riksgäldskontoret</w:t>
      </w:r>
      <w:r w:rsidR="0049415B" w:rsidRPr="00CB2EB0">
        <w:t>s löpande positionstagning i utländska valutor och räntor visade ett positivt resultat på 0,5</w:t>
      </w:r>
      <w:r w:rsidR="005C19FA" w:rsidRPr="00CB2EB0">
        <w:t> </w:t>
      </w:r>
      <w:r w:rsidR="0049415B" w:rsidRPr="00CB2EB0">
        <w:t>miljoner kronor 2025, jämfört med 4,7</w:t>
      </w:r>
      <w:r w:rsidR="005C19FA" w:rsidRPr="00CB2EB0">
        <w:t> </w:t>
      </w:r>
      <w:r w:rsidR="0049415B" w:rsidRPr="00CB2EB0">
        <w:t>miljoner kronor 2024. Av det riskmandat som regeringen ger i rikt</w:t>
      </w:r>
      <w:r w:rsidR="00217454">
        <w:softHyphen/>
      </w:r>
      <w:r w:rsidR="0049415B" w:rsidRPr="00CB2EB0">
        <w:t>linjerna utnyttjades bara ca 0,6</w:t>
      </w:r>
      <w:r w:rsidR="005C19FA" w:rsidRPr="00CB2EB0">
        <w:t> </w:t>
      </w:r>
      <w:r w:rsidR="0049415B" w:rsidRPr="00CB2EB0">
        <w:t xml:space="preserve">procent under året. Detta var i linje med utnyttjandet de senaste fem åren. </w:t>
      </w:r>
      <w:r w:rsidR="004B4E78" w:rsidRPr="00CB2EB0">
        <w:t xml:space="preserve">Under </w:t>
      </w:r>
      <w:r w:rsidR="00AC6D5D" w:rsidRPr="00CB2EB0">
        <w:t xml:space="preserve">perioden </w:t>
      </w:r>
      <w:r w:rsidR="004B4E78" w:rsidRPr="00CB2EB0">
        <w:t>2021–2025 var det genomsnittliga resultatet för den löpande positionstagningen 25</w:t>
      </w:r>
      <w:r w:rsidR="005C19FA" w:rsidRPr="00CB2EB0">
        <w:t> </w:t>
      </w:r>
      <w:r w:rsidR="004B4E78" w:rsidRPr="00CB2EB0">
        <w:t>miljoner kronor per år. Sharpekvoten, som är ett mått på avkastningen i förhållande till risken, var i genomsnitt 1,0 för perioden</w:t>
      </w:r>
      <w:r w:rsidR="0049415B" w:rsidRPr="00CB2EB0">
        <w:t>.</w:t>
      </w:r>
    </w:p>
    <w:p w14:paraId="4506E741" w14:textId="32DC9EC1" w:rsidR="00A65071" w:rsidRPr="00CB2EB0" w:rsidRDefault="00A65071" w:rsidP="003D6F49">
      <w:pPr>
        <w:pStyle w:val="TabellRubrik"/>
      </w:pPr>
      <w:bookmarkStart w:id="49" w:name="_Ref223426385"/>
      <w:r w:rsidRPr="00CB2EB0">
        <w:t xml:space="preserve">Tabell </w:t>
      </w:r>
      <w:r w:rsidRPr="00CB2EB0">
        <w:fldChar w:fldCharType="begin"/>
      </w:r>
      <w:r w:rsidRPr="00CB2EB0">
        <w:instrText xml:space="preserve"> STYLEREF 1 \s </w:instrText>
      </w:r>
      <w:r w:rsidRPr="00CB2EB0">
        <w:fldChar w:fldCharType="separate"/>
      </w:r>
      <w:r w:rsidR="001959AC">
        <w:rPr>
          <w:noProof/>
        </w:rPr>
        <w:t>4</w:t>
      </w:r>
      <w:r w:rsidRPr="00CB2EB0">
        <w:rPr>
          <w:noProof/>
        </w:rPr>
        <w:fldChar w:fldCharType="end"/>
      </w:r>
      <w:r w:rsidRPr="00CB2EB0">
        <w:t>.</w:t>
      </w:r>
      <w:fldSimple w:instr=" SEQ Tabell \* Arabic \s 1  \* MERGEFORMAT ">
        <w:r w:rsidR="001959AC">
          <w:rPr>
            <w:noProof/>
          </w:rPr>
          <w:t>2</w:t>
        </w:r>
      </w:fldSimple>
      <w:bookmarkEnd w:id="49"/>
      <w:r w:rsidRPr="00CB2EB0">
        <w:tab/>
      </w:r>
      <w:r w:rsidR="00D43DA1" w:rsidRPr="00CB2EB0">
        <w:t>Resultat för den löpande positionstagningen</w:t>
      </w:r>
    </w:p>
    <w:tbl>
      <w:tblPr>
        <w:tblW w:w="5000" w:type="pct"/>
        <w:tblCellMar>
          <w:left w:w="0" w:type="dxa"/>
        </w:tblCellMar>
        <w:tblLook w:val="06A0" w:firstRow="1" w:lastRow="0" w:firstColumn="1" w:lastColumn="0" w:noHBand="1" w:noVBand="1"/>
      </w:tblPr>
      <w:tblGrid>
        <w:gridCol w:w="1527"/>
        <w:gridCol w:w="538"/>
        <w:gridCol w:w="538"/>
        <w:gridCol w:w="538"/>
        <w:gridCol w:w="538"/>
        <w:gridCol w:w="538"/>
        <w:gridCol w:w="607"/>
        <w:gridCol w:w="1073"/>
      </w:tblGrid>
      <w:tr w:rsidR="00DF7D1D" w14:paraId="58126702" w14:textId="77777777">
        <w:trPr>
          <w:tblHeader/>
        </w:trPr>
        <w:tc>
          <w:tcPr>
            <w:tcW w:w="1295" w:type="pct"/>
            <w:tcBorders>
              <w:top w:val="single" w:sz="8" w:space="0" w:color="auto"/>
              <w:bottom w:val="single" w:sz="6" w:space="0" w:color="auto"/>
            </w:tcBorders>
            <w:shd w:val="clear" w:color="auto" w:fill="auto"/>
          </w:tcPr>
          <w:p w14:paraId="6E382A64" w14:textId="26EF7465" w:rsidR="00F134F1" w:rsidRPr="00CB2EB0" w:rsidRDefault="00F134F1" w:rsidP="00A65071">
            <w:pPr>
              <w:pStyle w:val="TabellHuvud"/>
              <w:jc w:val="left"/>
            </w:pPr>
            <w:r w:rsidRPr="00CB2EB0">
              <w:t>Positionstagning</w:t>
            </w:r>
          </w:p>
        </w:tc>
        <w:tc>
          <w:tcPr>
            <w:tcW w:w="456" w:type="pct"/>
            <w:tcBorders>
              <w:top w:val="single" w:sz="8" w:space="0" w:color="auto"/>
              <w:bottom w:val="single" w:sz="6" w:space="0" w:color="auto"/>
            </w:tcBorders>
            <w:shd w:val="clear" w:color="auto" w:fill="auto"/>
          </w:tcPr>
          <w:p w14:paraId="7BBF341D" w14:textId="4B510F72" w:rsidR="00F134F1" w:rsidRPr="00CB2EB0" w:rsidRDefault="00F134F1" w:rsidP="00A65071">
            <w:pPr>
              <w:pStyle w:val="TabellHuvud"/>
            </w:pPr>
            <w:r w:rsidRPr="00CB2EB0">
              <w:t>2021</w:t>
            </w:r>
          </w:p>
        </w:tc>
        <w:tc>
          <w:tcPr>
            <w:tcW w:w="456" w:type="pct"/>
            <w:tcBorders>
              <w:top w:val="single" w:sz="8" w:space="0" w:color="auto"/>
              <w:bottom w:val="single" w:sz="6" w:space="0" w:color="auto"/>
            </w:tcBorders>
            <w:shd w:val="clear" w:color="auto" w:fill="auto"/>
          </w:tcPr>
          <w:p w14:paraId="713F2B0D" w14:textId="7FCA7090" w:rsidR="00F134F1" w:rsidRPr="00CB2EB0" w:rsidRDefault="00F134F1" w:rsidP="00A65071">
            <w:pPr>
              <w:pStyle w:val="TabellHuvud"/>
            </w:pPr>
            <w:r w:rsidRPr="00CB2EB0">
              <w:t>2022</w:t>
            </w:r>
          </w:p>
        </w:tc>
        <w:tc>
          <w:tcPr>
            <w:tcW w:w="456" w:type="pct"/>
            <w:tcBorders>
              <w:top w:val="single" w:sz="8" w:space="0" w:color="auto"/>
              <w:bottom w:val="single" w:sz="6" w:space="0" w:color="auto"/>
            </w:tcBorders>
            <w:shd w:val="clear" w:color="auto" w:fill="auto"/>
          </w:tcPr>
          <w:p w14:paraId="1F638EEE" w14:textId="144D3096" w:rsidR="00F134F1" w:rsidRPr="00CB2EB0" w:rsidRDefault="00F134F1" w:rsidP="00A65071">
            <w:pPr>
              <w:pStyle w:val="TabellHuvud"/>
            </w:pPr>
            <w:r w:rsidRPr="00CB2EB0">
              <w:t>2023</w:t>
            </w:r>
          </w:p>
        </w:tc>
        <w:tc>
          <w:tcPr>
            <w:tcW w:w="456" w:type="pct"/>
            <w:tcBorders>
              <w:top w:val="single" w:sz="8" w:space="0" w:color="auto"/>
              <w:bottom w:val="single" w:sz="6" w:space="0" w:color="auto"/>
            </w:tcBorders>
            <w:shd w:val="clear" w:color="auto" w:fill="auto"/>
          </w:tcPr>
          <w:p w14:paraId="496F0804" w14:textId="704DB019" w:rsidR="00F134F1" w:rsidRPr="00CB2EB0" w:rsidRDefault="00F134F1" w:rsidP="00A65071">
            <w:pPr>
              <w:pStyle w:val="TabellHuvud"/>
            </w:pPr>
            <w:r w:rsidRPr="00CB2EB0">
              <w:t>2024</w:t>
            </w:r>
          </w:p>
        </w:tc>
        <w:tc>
          <w:tcPr>
            <w:tcW w:w="456" w:type="pct"/>
            <w:tcBorders>
              <w:top w:val="single" w:sz="8" w:space="0" w:color="auto"/>
              <w:bottom w:val="single" w:sz="6" w:space="0" w:color="auto"/>
            </w:tcBorders>
            <w:shd w:val="clear" w:color="auto" w:fill="auto"/>
          </w:tcPr>
          <w:p w14:paraId="43936D33" w14:textId="6F69A577" w:rsidR="00F134F1" w:rsidRPr="00CB2EB0" w:rsidRDefault="00F134F1" w:rsidP="00A65071">
            <w:pPr>
              <w:pStyle w:val="TabellHuvud"/>
            </w:pPr>
            <w:r w:rsidRPr="00CB2EB0">
              <w:t>2025</w:t>
            </w:r>
          </w:p>
        </w:tc>
        <w:tc>
          <w:tcPr>
            <w:tcW w:w="515" w:type="pct"/>
            <w:tcBorders>
              <w:top w:val="single" w:sz="8" w:space="0" w:color="auto"/>
              <w:bottom w:val="single" w:sz="6" w:space="0" w:color="auto"/>
            </w:tcBorders>
            <w:shd w:val="clear" w:color="auto" w:fill="auto"/>
          </w:tcPr>
          <w:p w14:paraId="09D11F03" w14:textId="42FDC622" w:rsidR="00F134F1" w:rsidRPr="00CB2EB0" w:rsidRDefault="00F134F1" w:rsidP="00A65071">
            <w:pPr>
              <w:pStyle w:val="TabellHuvud"/>
            </w:pPr>
            <w:r w:rsidRPr="00CB2EB0">
              <w:t>Totalt</w:t>
            </w:r>
          </w:p>
        </w:tc>
        <w:tc>
          <w:tcPr>
            <w:tcW w:w="910" w:type="pct"/>
            <w:tcBorders>
              <w:top w:val="single" w:sz="8" w:space="0" w:color="auto"/>
              <w:bottom w:val="single" w:sz="6" w:space="0" w:color="auto"/>
            </w:tcBorders>
            <w:shd w:val="clear" w:color="auto" w:fill="auto"/>
          </w:tcPr>
          <w:p w14:paraId="369F75A1" w14:textId="1CA6E297" w:rsidR="00F134F1" w:rsidRPr="00CB2EB0" w:rsidRDefault="00F134F1" w:rsidP="00A65071">
            <w:pPr>
              <w:pStyle w:val="TabellHuvud"/>
            </w:pPr>
            <w:r w:rsidRPr="00CB2EB0">
              <w:t>Genomsnitt</w:t>
            </w:r>
          </w:p>
        </w:tc>
      </w:tr>
      <w:tr w:rsidR="00DF7D1D" w14:paraId="5506937A" w14:textId="77777777">
        <w:tc>
          <w:tcPr>
            <w:tcW w:w="1295" w:type="pct"/>
            <w:tcBorders>
              <w:top w:val="single" w:sz="6" w:space="0" w:color="auto"/>
            </w:tcBorders>
            <w:shd w:val="clear" w:color="auto" w:fill="auto"/>
          </w:tcPr>
          <w:p w14:paraId="19BA477D" w14:textId="494F8555" w:rsidR="00F134F1" w:rsidRPr="00CB2EB0" w:rsidRDefault="00F134F1" w:rsidP="00A65071">
            <w:pPr>
              <w:pStyle w:val="TabellRader"/>
              <w:jc w:val="left"/>
            </w:pPr>
            <w:r w:rsidRPr="00CB2EB0">
              <w:t>Resultat, miljoner kronor</w:t>
            </w:r>
          </w:p>
        </w:tc>
        <w:tc>
          <w:tcPr>
            <w:tcW w:w="456" w:type="pct"/>
            <w:tcBorders>
              <w:top w:val="single" w:sz="6" w:space="0" w:color="auto"/>
            </w:tcBorders>
            <w:shd w:val="clear" w:color="auto" w:fill="auto"/>
          </w:tcPr>
          <w:p w14:paraId="1A55402F" w14:textId="0ABAFCDA" w:rsidR="00F134F1" w:rsidRPr="00CB2EB0" w:rsidRDefault="00F134F1" w:rsidP="00A65071">
            <w:pPr>
              <w:pStyle w:val="TabellRader"/>
            </w:pPr>
            <w:r w:rsidRPr="00CB2EB0">
              <w:t>16,1</w:t>
            </w:r>
          </w:p>
        </w:tc>
        <w:tc>
          <w:tcPr>
            <w:tcW w:w="456" w:type="pct"/>
            <w:tcBorders>
              <w:top w:val="single" w:sz="6" w:space="0" w:color="auto"/>
            </w:tcBorders>
            <w:shd w:val="clear" w:color="auto" w:fill="auto"/>
          </w:tcPr>
          <w:p w14:paraId="538C0046" w14:textId="4282EB0C" w:rsidR="00F134F1" w:rsidRPr="00CB2EB0" w:rsidRDefault="00F134F1" w:rsidP="00A65071">
            <w:pPr>
              <w:pStyle w:val="TabellRader"/>
            </w:pPr>
            <w:r w:rsidRPr="00CB2EB0">
              <w:t>95,1</w:t>
            </w:r>
          </w:p>
        </w:tc>
        <w:tc>
          <w:tcPr>
            <w:tcW w:w="456" w:type="pct"/>
            <w:tcBorders>
              <w:top w:val="single" w:sz="6" w:space="0" w:color="auto"/>
            </w:tcBorders>
            <w:shd w:val="clear" w:color="auto" w:fill="auto"/>
          </w:tcPr>
          <w:p w14:paraId="3CF355EC" w14:textId="337FF983" w:rsidR="00F134F1" w:rsidRPr="00CB2EB0" w:rsidRDefault="00F134F1" w:rsidP="00A65071">
            <w:pPr>
              <w:pStyle w:val="TabellRader"/>
            </w:pPr>
            <w:r w:rsidRPr="00CB2EB0">
              <w:t>8,4</w:t>
            </w:r>
          </w:p>
        </w:tc>
        <w:tc>
          <w:tcPr>
            <w:tcW w:w="456" w:type="pct"/>
            <w:tcBorders>
              <w:top w:val="single" w:sz="6" w:space="0" w:color="auto"/>
            </w:tcBorders>
            <w:shd w:val="clear" w:color="auto" w:fill="auto"/>
          </w:tcPr>
          <w:p w14:paraId="5E340611" w14:textId="4F93DB60" w:rsidR="00F134F1" w:rsidRPr="00CB2EB0" w:rsidRDefault="00F134F1" w:rsidP="00A65071">
            <w:pPr>
              <w:pStyle w:val="TabellRader"/>
            </w:pPr>
            <w:r w:rsidRPr="00CB2EB0">
              <w:t>4,7</w:t>
            </w:r>
          </w:p>
        </w:tc>
        <w:tc>
          <w:tcPr>
            <w:tcW w:w="456" w:type="pct"/>
            <w:tcBorders>
              <w:top w:val="single" w:sz="6" w:space="0" w:color="auto"/>
            </w:tcBorders>
            <w:shd w:val="clear" w:color="auto" w:fill="auto"/>
          </w:tcPr>
          <w:p w14:paraId="0CD99105" w14:textId="7653C1F8" w:rsidR="00F134F1" w:rsidRPr="00CB2EB0" w:rsidRDefault="00F134F1" w:rsidP="00A65071">
            <w:pPr>
              <w:pStyle w:val="TabellRader"/>
            </w:pPr>
            <w:r w:rsidRPr="00CB2EB0">
              <w:t>0,5</w:t>
            </w:r>
          </w:p>
        </w:tc>
        <w:tc>
          <w:tcPr>
            <w:tcW w:w="515" w:type="pct"/>
            <w:tcBorders>
              <w:top w:val="single" w:sz="6" w:space="0" w:color="auto"/>
            </w:tcBorders>
            <w:shd w:val="clear" w:color="auto" w:fill="auto"/>
          </w:tcPr>
          <w:p w14:paraId="119D344D" w14:textId="06454DF8" w:rsidR="00F134F1" w:rsidRPr="00CB2EB0" w:rsidRDefault="00F134F1" w:rsidP="00A65071">
            <w:pPr>
              <w:pStyle w:val="TabellRader"/>
            </w:pPr>
            <w:r w:rsidRPr="00CB2EB0">
              <w:t>124,8</w:t>
            </w:r>
          </w:p>
        </w:tc>
        <w:tc>
          <w:tcPr>
            <w:tcW w:w="910" w:type="pct"/>
            <w:tcBorders>
              <w:top w:val="single" w:sz="6" w:space="0" w:color="auto"/>
            </w:tcBorders>
            <w:shd w:val="clear" w:color="auto" w:fill="auto"/>
          </w:tcPr>
          <w:p w14:paraId="56EC2C63" w14:textId="2BCCD4C6" w:rsidR="00F134F1" w:rsidRPr="00CB2EB0" w:rsidRDefault="00F134F1" w:rsidP="00A65071">
            <w:pPr>
              <w:pStyle w:val="TabellRader"/>
            </w:pPr>
            <w:r w:rsidRPr="00CB2EB0">
              <w:t>25,0</w:t>
            </w:r>
          </w:p>
        </w:tc>
      </w:tr>
      <w:tr w:rsidR="00DF7D1D" w14:paraId="78548616" w14:textId="77777777">
        <w:tc>
          <w:tcPr>
            <w:tcW w:w="1295" w:type="pct"/>
            <w:shd w:val="clear" w:color="auto" w:fill="auto"/>
          </w:tcPr>
          <w:p w14:paraId="102BB677" w14:textId="6C0B73D0" w:rsidR="00F134F1" w:rsidRPr="00CB2EB0" w:rsidRDefault="00F134F1" w:rsidP="00A65071">
            <w:pPr>
              <w:pStyle w:val="TabellRader"/>
              <w:jc w:val="left"/>
            </w:pPr>
            <w:r w:rsidRPr="00CB2EB0">
              <w:t>Sharpekvot</w:t>
            </w:r>
          </w:p>
        </w:tc>
        <w:tc>
          <w:tcPr>
            <w:tcW w:w="456" w:type="pct"/>
            <w:shd w:val="clear" w:color="auto" w:fill="auto"/>
          </w:tcPr>
          <w:p w14:paraId="78039FCF" w14:textId="0E66E222" w:rsidR="00F134F1" w:rsidRPr="00CB2EB0" w:rsidRDefault="00F134F1" w:rsidP="00A65071">
            <w:pPr>
              <w:pStyle w:val="TabellRader"/>
            </w:pPr>
            <w:r w:rsidRPr="00CB2EB0">
              <w:t>0,6</w:t>
            </w:r>
          </w:p>
        </w:tc>
        <w:tc>
          <w:tcPr>
            <w:tcW w:w="456" w:type="pct"/>
            <w:shd w:val="clear" w:color="auto" w:fill="auto"/>
          </w:tcPr>
          <w:p w14:paraId="3E16CB53" w14:textId="1BFDF7AA" w:rsidR="00F134F1" w:rsidRPr="00CB2EB0" w:rsidRDefault="00F134F1" w:rsidP="00A65071">
            <w:pPr>
              <w:pStyle w:val="TabellRader"/>
            </w:pPr>
            <w:r w:rsidRPr="00CB2EB0">
              <w:t>3,9</w:t>
            </w:r>
          </w:p>
        </w:tc>
        <w:tc>
          <w:tcPr>
            <w:tcW w:w="456" w:type="pct"/>
            <w:shd w:val="clear" w:color="auto" w:fill="auto"/>
          </w:tcPr>
          <w:p w14:paraId="0B830433" w14:textId="7912E8E8" w:rsidR="00F134F1" w:rsidRPr="00CB2EB0" w:rsidRDefault="00F134F1" w:rsidP="00A65071">
            <w:pPr>
              <w:pStyle w:val="TabellRader"/>
            </w:pPr>
            <w:r w:rsidRPr="00CB2EB0">
              <w:t>0,4</w:t>
            </w:r>
          </w:p>
        </w:tc>
        <w:tc>
          <w:tcPr>
            <w:tcW w:w="456" w:type="pct"/>
            <w:shd w:val="clear" w:color="auto" w:fill="auto"/>
          </w:tcPr>
          <w:p w14:paraId="3C44D239" w14:textId="657DF64E" w:rsidR="00F134F1" w:rsidRPr="00CB2EB0" w:rsidRDefault="00F134F1" w:rsidP="00A65071">
            <w:pPr>
              <w:pStyle w:val="TabellRader"/>
            </w:pPr>
            <w:r w:rsidRPr="00CB2EB0">
              <w:t>0,2</w:t>
            </w:r>
          </w:p>
        </w:tc>
        <w:tc>
          <w:tcPr>
            <w:tcW w:w="456" w:type="pct"/>
            <w:shd w:val="clear" w:color="auto" w:fill="auto"/>
          </w:tcPr>
          <w:p w14:paraId="3741A94D" w14:textId="2C5EE913" w:rsidR="00F134F1" w:rsidRPr="00CB2EB0" w:rsidRDefault="00F134F1" w:rsidP="00A65071">
            <w:pPr>
              <w:pStyle w:val="TabellRader"/>
            </w:pPr>
            <w:r w:rsidRPr="00CB2EB0">
              <w:t>0,0</w:t>
            </w:r>
          </w:p>
        </w:tc>
        <w:tc>
          <w:tcPr>
            <w:tcW w:w="515" w:type="pct"/>
            <w:shd w:val="clear" w:color="auto" w:fill="auto"/>
          </w:tcPr>
          <w:p w14:paraId="6D08CB95" w14:textId="77777777" w:rsidR="00F134F1" w:rsidRPr="00CB2EB0" w:rsidRDefault="00F134F1" w:rsidP="00A65071">
            <w:pPr>
              <w:pStyle w:val="TabellRader"/>
            </w:pPr>
          </w:p>
        </w:tc>
        <w:tc>
          <w:tcPr>
            <w:tcW w:w="910" w:type="pct"/>
            <w:shd w:val="clear" w:color="auto" w:fill="auto"/>
          </w:tcPr>
          <w:p w14:paraId="05770074" w14:textId="50205678" w:rsidR="00F134F1" w:rsidRPr="00CB2EB0" w:rsidRDefault="00F134F1" w:rsidP="00A65071">
            <w:pPr>
              <w:pStyle w:val="TabellRader"/>
            </w:pPr>
            <w:r w:rsidRPr="00CB2EB0">
              <w:t>1,0</w:t>
            </w:r>
          </w:p>
        </w:tc>
      </w:tr>
      <w:tr w:rsidR="00DF7D1D" w14:paraId="5DA8E0DE" w14:textId="77777777">
        <w:tc>
          <w:tcPr>
            <w:tcW w:w="1295" w:type="pct"/>
            <w:shd w:val="clear" w:color="auto" w:fill="auto"/>
          </w:tcPr>
          <w:p w14:paraId="096A9950" w14:textId="03A207E6" w:rsidR="00F134F1" w:rsidRPr="00CB2EB0" w:rsidRDefault="00F134F1" w:rsidP="00A65071">
            <w:pPr>
              <w:pStyle w:val="TabellRader"/>
              <w:jc w:val="left"/>
            </w:pPr>
            <w:r w:rsidRPr="00CB2EB0">
              <w:t>Riskutnyttjande, procent</w:t>
            </w:r>
          </w:p>
        </w:tc>
        <w:tc>
          <w:tcPr>
            <w:tcW w:w="456" w:type="pct"/>
            <w:shd w:val="clear" w:color="auto" w:fill="auto"/>
          </w:tcPr>
          <w:p w14:paraId="598841A4" w14:textId="7A15AEE9" w:rsidR="00F134F1" w:rsidRPr="00CB2EB0" w:rsidRDefault="00F134F1" w:rsidP="00A65071">
            <w:pPr>
              <w:pStyle w:val="TabellRader"/>
            </w:pPr>
            <w:r w:rsidRPr="00CB2EB0">
              <w:t>1,0</w:t>
            </w:r>
          </w:p>
        </w:tc>
        <w:tc>
          <w:tcPr>
            <w:tcW w:w="456" w:type="pct"/>
            <w:shd w:val="clear" w:color="auto" w:fill="auto"/>
          </w:tcPr>
          <w:p w14:paraId="5B4B1787" w14:textId="2CE40EDE" w:rsidR="00F134F1" w:rsidRPr="00CB2EB0" w:rsidRDefault="00F134F1" w:rsidP="00A65071">
            <w:pPr>
              <w:pStyle w:val="TabellRader"/>
            </w:pPr>
            <w:r w:rsidRPr="00CB2EB0">
              <w:t>0,8</w:t>
            </w:r>
          </w:p>
        </w:tc>
        <w:tc>
          <w:tcPr>
            <w:tcW w:w="456" w:type="pct"/>
            <w:shd w:val="clear" w:color="auto" w:fill="auto"/>
          </w:tcPr>
          <w:p w14:paraId="6AD285E9" w14:textId="441B159E" w:rsidR="00F134F1" w:rsidRPr="00CB2EB0" w:rsidRDefault="00F134F1" w:rsidP="00A65071">
            <w:pPr>
              <w:pStyle w:val="TabellRader"/>
            </w:pPr>
            <w:r w:rsidRPr="00CB2EB0">
              <w:t>0,7</w:t>
            </w:r>
          </w:p>
        </w:tc>
        <w:tc>
          <w:tcPr>
            <w:tcW w:w="456" w:type="pct"/>
            <w:shd w:val="clear" w:color="auto" w:fill="auto"/>
          </w:tcPr>
          <w:p w14:paraId="29681CC1" w14:textId="5E19265D" w:rsidR="00F134F1" w:rsidRPr="00CB2EB0" w:rsidRDefault="00F134F1" w:rsidP="00A65071">
            <w:pPr>
              <w:pStyle w:val="TabellRader"/>
            </w:pPr>
            <w:r w:rsidRPr="00CB2EB0">
              <w:t>1,0</w:t>
            </w:r>
          </w:p>
        </w:tc>
        <w:tc>
          <w:tcPr>
            <w:tcW w:w="456" w:type="pct"/>
            <w:shd w:val="clear" w:color="auto" w:fill="auto"/>
          </w:tcPr>
          <w:p w14:paraId="1A23DB2D" w14:textId="05E1A112" w:rsidR="00F134F1" w:rsidRPr="00CB2EB0" w:rsidRDefault="00F134F1" w:rsidP="00A65071">
            <w:pPr>
              <w:pStyle w:val="TabellRader"/>
            </w:pPr>
            <w:r w:rsidRPr="00CB2EB0">
              <w:t>0,6</w:t>
            </w:r>
          </w:p>
        </w:tc>
        <w:tc>
          <w:tcPr>
            <w:tcW w:w="515" w:type="pct"/>
            <w:shd w:val="clear" w:color="auto" w:fill="auto"/>
          </w:tcPr>
          <w:p w14:paraId="6C9C16A0" w14:textId="77777777" w:rsidR="00F134F1" w:rsidRPr="00CB2EB0" w:rsidRDefault="00F134F1" w:rsidP="00A65071">
            <w:pPr>
              <w:pStyle w:val="TabellRader"/>
            </w:pPr>
          </w:p>
        </w:tc>
        <w:tc>
          <w:tcPr>
            <w:tcW w:w="910" w:type="pct"/>
            <w:shd w:val="clear" w:color="auto" w:fill="auto"/>
          </w:tcPr>
          <w:p w14:paraId="3B1CEAB1" w14:textId="3BECD681" w:rsidR="00F134F1" w:rsidRPr="00CB2EB0" w:rsidRDefault="00F134F1" w:rsidP="00A65071">
            <w:pPr>
              <w:pStyle w:val="TabellRader"/>
            </w:pPr>
            <w:r w:rsidRPr="00CB2EB0">
              <w:t>0,8</w:t>
            </w:r>
          </w:p>
        </w:tc>
      </w:tr>
      <w:tr w:rsidR="00DF7D1D" w14:paraId="2C90F8F6" w14:textId="77777777">
        <w:tc>
          <w:tcPr>
            <w:tcW w:w="1295" w:type="pct"/>
            <w:tcBorders>
              <w:bottom w:val="single" w:sz="8" w:space="0" w:color="auto"/>
            </w:tcBorders>
            <w:shd w:val="clear" w:color="auto" w:fill="auto"/>
          </w:tcPr>
          <w:p w14:paraId="55832365" w14:textId="7A321ED6" w:rsidR="00F134F1" w:rsidRPr="00CB2EB0" w:rsidRDefault="00F134F1" w:rsidP="00A65071">
            <w:pPr>
              <w:pStyle w:val="TabellSlutsumma"/>
              <w:jc w:val="left"/>
            </w:pPr>
            <w:r w:rsidRPr="00CB2EB0">
              <w:lastRenderedPageBreak/>
              <w:t>Resultat, miljoner kronor</w:t>
            </w:r>
          </w:p>
        </w:tc>
        <w:tc>
          <w:tcPr>
            <w:tcW w:w="456" w:type="pct"/>
            <w:tcBorders>
              <w:bottom w:val="single" w:sz="8" w:space="0" w:color="auto"/>
            </w:tcBorders>
            <w:shd w:val="clear" w:color="auto" w:fill="auto"/>
          </w:tcPr>
          <w:p w14:paraId="22F1C358" w14:textId="6FD5F6F8" w:rsidR="00F134F1" w:rsidRPr="00CB2EB0" w:rsidRDefault="00F134F1" w:rsidP="00A65071">
            <w:pPr>
              <w:pStyle w:val="TabellSlutsumma"/>
            </w:pPr>
            <w:r w:rsidRPr="00CB2EB0">
              <w:t>16,1</w:t>
            </w:r>
          </w:p>
        </w:tc>
        <w:tc>
          <w:tcPr>
            <w:tcW w:w="456" w:type="pct"/>
            <w:tcBorders>
              <w:bottom w:val="single" w:sz="8" w:space="0" w:color="auto"/>
            </w:tcBorders>
            <w:shd w:val="clear" w:color="auto" w:fill="auto"/>
          </w:tcPr>
          <w:p w14:paraId="2FDFBECB" w14:textId="7E70726A" w:rsidR="00F134F1" w:rsidRPr="00CB2EB0" w:rsidRDefault="00F134F1" w:rsidP="00A65071">
            <w:pPr>
              <w:pStyle w:val="TabellSlutsumma"/>
            </w:pPr>
            <w:r w:rsidRPr="00CB2EB0">
              <w:t>95,1</w:t>
            </w:r>
          </w:p>
        </w:tc>
        <w:tc>
          <w:tcPr>
            <w:tcW w:w="456" w:type="pct"/>
            <w:tcBorders>
              <w:bottom w:val="single" w:sz="8" w:space="0" w:color="auto"/>
            </w:tcBorders>
            <w:shd w:val="clear" w:color="auto" w:fill="auto"/>
          </w:tcPr>
          <w:p w14:paraId="35A73196" w14:textId="3AE2431F" w:rsidR="00F134F1" w:rsidRPr="00CB2EB0" w:rsidRDefault="00F134F1" w:rsidP="00A65071">
            <w:pPr>
              <w:pStyle w:val="TabellSlutsumma"/>
            </w:pPr>
            <w:r w:rsidRPr="00CB2EB0">
              <w:t>8,4</w:t>
            </w:r>
          </w:p>
        </w:tc>
        <w:tc>
          <w:tcPr>
            <w:tcW w:w="456" w:type="pct"/>
            <w:tcBorders>
              <w:bottom w:val="single" w:sz="8" w:space="0" w:color="auto"/>
            </w:tcBorders>
            <w:shd w:val="clear" w:color="auto" w:fill="auto"/>
          </w:tcPr>
          <w:p w14:paraId="6A26180A" w14:textId="1535C46C" w:rsidR="00F134F1" w:rsidRPr="00CB2EB0" w:rsidRDefault="00F134F1" w:rsidP="00A65071">
            <w:pPr>
              <w:pStyle w:val="TabellSlutsumma"/>
            </w:pPr>
            <w:r w:rsidRPr="00CB2EB0">
              <w:t>4,7</w:t>
            </w:r>
          </w:p>
        </w:tc>
        <w:tc>
          <w:tcPr>
            <w:tcW w:w="456" w:type="pct"/>
            <w:tcBorders>
              <w:bottom w:val="single" w:sz="8" w:space="0" w:color="auto"/>
            </w:tcBorders>
            <w:shd w:val="clear" w:color="auto" w:fill="auto"/>
          </w:tcPr>
          <w:p w14:paraId="52751B96" w14:textId="4ABD13A3" w:rsidR="00F134F1" w:rsidRPr="00CB2EB0" w:rsidRDefault="00F134F1" w:rsidP="00A65071">
            <w:pPr>
              <w:pStyle w:val="TabellSlutsumma"/>
            </w:pPr>
            <w:r w:rsidRPr="00CB2EB0">
              <w:t>0,5</w:t>
            </w:r>
          </w:p>
        </w:tc>
        <w:tc>
          <w:tcPr>
            <w:tcW w:w="515" w:type="pct"/>
            <w:tcBorders>
              <w:bottom w:val="single" w:sz="8" w:space="0" w:color="auto"/>
            </w:tcBorders>
            <w:shd w:val="clear" w:color="auto" w:fill="auto"/>
          </w:tcPr>
          <w:p w14:paraId="71B02F2B" w14:textId="52A73B17" w:rsidR="00F134F1" w:rsidRPr="00CB2EB0" w:rsidRDefault="00F134F1" w:rsidP="00A65071">
            <w:pPr>
              <w:pStyle w:val="TabellSlutsumma"/>
            </w:pPr>
            <w:r w:rsidRPr="00CB2EB0">
              <w:t>124,8</w:t>
            </w:r>
          </w:p>
        </w:tc>
        <w:tc>
          <w:tcPr>
            <w:tcW w:w="910" w:type="pct"/>
            <w:tcBorders>
              <w:bottom w:val="single" w:sz="8" w:space="0" w:color="auto"/>
            </w:tcBorders>
            <w:shd w:val="clear" w:color="auto" w:fill="auto"/>
          </w:tcPr>
          <w:p w14:paraId="0F0E711F" w14:textId="7492CA41" w:rsidR="00F134F1" w:rsidRPr="00CB2EB0" w:rsidRDefault="00F134F1" w:rsidP="00A65071">
            <w:pPr>
              <w:pStyle w:val="TabellSlutsumma"/>
            </w:pPr>
            <w:r w:rsidRPr="00CB2EB0">
              <w:t>25,0</w:t>
            </w:r>
          </w:p>
        </w:tc>
      </w:tr>
    </w:tbl>
    <w:p w14:paraId="401601AF" w14:textId="2DBEF716" w:rsidR="00B35B3C" w:rsidRPr="00CB2EB0" w:rsidRDefault="00B35B3C" w:rsidP="00960158">
      <w:pPr>
        <w:pStyle w:val="TabellFotnot"/>
      </w:pPr>
      <w:r w:rsidRPr="00CB2EB0">
        <w:t>Anm.: Resultatet redovisas i termer av marknadsvärden. Riskutnyttjandet uttrycks i förhållande till regeringens beslutade mandat om 300</w:t>
      </w:r>
      <w:r w:rsidR="00A1150E" w:rsidRPr="00CB2EB0">
        <w:rPr>
          <w:rFonts w:ascii="Cambria" w:hAnsi="Cambria"/>
        </w:rPr>
        <w:t> </w:t>
      </w:r>
      <w:r w:rsidRPr="00CB2EB0">
        <w:t xml:space="preserve">miljoner kronor, mätt som daglig </w:t>
      </w:r>
      <w:r w:rsidR="001D35E3">
        <w:t>v</w:t>
      </w:r>
      <w:r w:rsidRPr="00CB2EB0">
        <w:t>alue-at-</w:t>
      </w:r>
      <w:r w:rsidR="001D35E3">
        <w:t>r</w:t>
      </w:r>
      <w:r w:rsidRPr="00CB2EB0">
        <w:t>isk vid 95</w:t>
      </w:r>
      <w:r w:rsidR="00BC4044" w:rsidRPr="00CB2EB0">
        <w:rPr>
          <w:rFonts w:ascii="Cambria" w:hAnsi="Cambria"/>
        </w:rPr>
        <w:t> </w:t>
      </w:r>
      <w:r w:rsidRPr="00CB2EB0">
        <w:t>procents sannolikhet. I regeringens skrivelse Utvärdering av statens upplåning och skuldförvaltning 2019–2023 (skr</w:t>
      </w:r>
      <w:r w:rsidR="009B3E60">
        <w:t>.</w:t>
      </w:r>
      <w:r w:rsidRPr="00CB2EB0">
        <w:t xml:space="preserve"> 2023/24:104) redovisades resultat för intern positionstagning, extern positionstagning och position för starkare krona, inklusive sammanställning för den totala löpande positionstagningen samt den totala positionstagningen. Den interna positionstagningen utgör sedan utgången av 2022 både den totala löpande positionstagningen och den totala positionstagningen.</w:t>
      </w:r>
      <w:r w:rsidR="00960158" w:rsidRPr="00CB2EB0">
        <w:t xml:space="preserve"> Resultatet för den löpande positionstagningen är ändrat för 2023. Det beror på ett beräkningsfel som uppstod i affärssystemet under 2023.</w:t>
      </w:r>
    </w:p>
    <w:p w14:paraId="3F4261EA" w14:textId="779B75ED" w:rsidR="00A65071" w:rsidRPr="00CB2EB0" w:rsidRDefault="00D43DA1" w:rsidP="00195571">
      <w:pPr>
        <w:pStyle w:val="TabellFotnot"/>
      </w:pPr>
      <w:r w:rsidRPr="00CB2EB0">
        <w:t>Källa: Riksgäldskontoret</w:t>
      </w:r>
      <w:r w:rsidR="00C15CD7" w:rsidRPr="00CB2EB0">
        <w:t>.</w:t>
      </w:r>
    </w:p>
    <w:p w14:paraId="146F0EFC" w14:textId="2A087817" w:rsidR="00A33453" w:rsidRPr="00CB2EB0" w:rsidRDefault="009015C2" w:rsidP="00FC17EB">
      <w:pPr>
        <w:pStyle w:val="Rubrik2"/>
      </w:pPr>
      <w:bookmarkStart w:id="50" w:name="_Toc227766872"/>
      <w:r w:rsidRPr="00CB2EB0">
        <w:t>Upplåning på privatmarknaden</w:t>
      </w:r>
      <w:bookmarkEnd w:id="50"/>
    </w:p>
    <w:p w14:paraId="180A26ED" w14:textId="6660BDAD" w:rsidR="00C843E4" w:rsidRPr="00CB2EB0" w:rsidRDefault="00003A11" w:rsidP="00003A11">
      <w:pPr>
        <w:pStyle w:val="Brdtext"/>
      </w:pPr>
      <w:r w:rsidRPr="00CB2EB0">
        <w:t>De senaste årens låga räntenivåer har medfört att privatmarknads</w:t>
      </w:r>
      <w:r w:rsidR="000B058E">
        <w:softHyphen/>
      </w:r>
      <w:r w:rsidRPr="00CB2EB0">
        <w:t>upplåningen inte bidragit till målet att minska kostnaderna för statsskulden i förhållande till motsvarande upplåning på institutionsmarknaden. I</w:t>
      </w:r>
      <w:r w:rsidR="00C80C3E">
        <w:t> </w:t>
      </w:r>
      <w:r w:rsidRPr="00CB2EB0">
        <w:t>riktlinjerna för 2019 togs riktlinjen om att privatmarknadsupplåning ska vara en del i finansieringen av statsskulden bort. Eftersom den sista premieobligationen förföll i december 2021 aviserade regeringen i riktlinjerna för 2023 att uppföljning av kostnadsbesparing för upplåning på privatmarknaden upphör.</w:t>
      </w:r>
      <w:r w:rsidR="005F3B8D" w:rsidRPr="00CB2EB0">
        <w:t xml:space="preserve"> </w:t>
      </w:r>
    </w:p>
    <w:p w14:paraId="7788E84A" w14:textId="45CB01A0" w:rsidR="00003A11" w:rsidRPr="00CB2EB0" w:rsidRDefault="005F3B8D" w:rsidP="006F7533">
      <w:pPr>
        <w:pStyle w:val="Brdtextmedindrag"/>
      </w:pPr>
      <w:r w:rsidRPr="00CB2EB0">
        <w:t>Mot bakgrund av detta avser regeringen inte längre inkludera upplåningen på privatmarknaden i utvärderingarna.</w:t>
      </w:r>
    </w:p>
    <w:p w14:paraId="20E2CDBD" w14:textId="024FADC1" w:rsidR="009015C2" w:rsidRPr="00CB2EB0" w:rsidRDefault="009015C2" w:rsidP="00FC17EB">
      <w:pPr>
        <w:pStyle w:val="Rubrik2"/>
      </w:pPr>
      <w:bookmarkStart w:id="51" w:name="_Toc227766873"/>
      <w:r w:rsidRPr="00CB2EB0">
        <w:t>Lån för att tillgodose behovet av statslån</w:t>
      </w:r>
      <w:bookmarkEnd w:id="51"/>
    </w:p>
    <w:p w14:paraId="032182C2" w14:textId="64299C33" w:rsidR="001F6474" w:rsidRPr="00CB2EB0" w:rsidRDefault="001F6474" w:rsidP="00FC17EB">
      <w:pPr>
        <w:pStyle w:val="Rubrik4ram"/>
        <w:outlineLvl w:val="2"/>
      </w:pPr>
      <w:r w:rsidRPr="00CB2EB0">
        <w:t xml:space="preserve">Regeringens </w:t>
      </w:r>
      <w:r w:rsidR="00003A11" w:rsidRPr="00CB2EB0">
        <w:t>bedömning</w:t>
      </w:r>
    </w:p>
    <w:p w14:paraId="33AFAE2C" w14:textId="46CE1645" w:rsidR="001F6474" w:rsidRPr="00CB2EB0" w:rsidRDefault="00003A11" w:rsidP="00003A11">
      <w:pPr>
        <w:pStyle w:val="Brdtextram"/>
      </w:pPr>
      <w:r w:rsidRPr="00CB2EB0">
        <w:t>Det har inte funnits skäl att ta upp lån för att tillgodose behovet av statslån under utvärderingsperioden 2021‒2025. Riksgäldskontoret har inte tagit upp några extra lån för detta ändamål</w:t>
      </w:r>
      <w:r w:rsidR="001F6474" w:rsidRPr="00CB2EB0">
        <w:t>.</w:t>
      </w:r>
    </w:p>
    <w:p w14:paraId="75B9ACC4" w14:textId="62F24F52" w:rsidR="001F6474" w:rsidRPr="00CB2EB0" w:rsidRDefault="00FF1B93" w:rsidP="00FC17EB">
      <w:pPr>
        <w:pStyle w:val="Rubrik4efterram"/>
        <w:outlineLvl w:val="2"/>
      </w:pPr>
      <w:r w:rsidRPr="00CB2EB0">
        <w:t>Skälen för regeringens bedömning</w:t>
      </w:r>
    </w:p>
    <w:p w14:paraId="5EAA9119" w14:textId="39E90811" w:rsidR="00FF1B93" w:rsidRPr="00CB2EB0" w:rsidRDefault="00FF1B93" w:rsidP="00FF1B93">
      <w:pPr>
        <w:pStyle w:val="Brdtext"/>
      </w:pPr>
      <w:r w:rsidRPr="00CB2EB0">
        <w:t>Möjligheten att emittera lån för att tillgodose behovet av statslån har sin bakgrund i den kraftiga efterfrågeökning för statspapper som uppstod efter den internationella finanskrisen 2008. Mot den bakgrunden infördes den 30 oktober 2008 ett nytt upplåningsändamål i dåvarande 1 § första stycket</w:t>
      </w:r>
      <w:r w:rsidR="00B7783B" w:rsidRPr="00CB2EB0">
        <w:t> </w:t>
      </w:r>
      <w:r w:rsidRPr="00CB2EB0">
        <w:t xml:space="preserve">4 lagen (1988:1387) om statens upplåning och skuldförvaltning (nuvarande 5 kap. 1 § första stycket 4 budgetlagen [2011:203]). Detta gjordes för att tillgodose behovet av statslån med olika löptid. </w:t>
      </w:r>
      <w:r w:rsidR="00544381" w:rsidRPr="00CB2EB0">
        <w:t>Fr</w:t>
      </w:r>
      <w:r w:rsidR="00201D39">
        <w:t xml:space="preserve">ån </w:t>
      </w:r>
      <w:r w:rsidR="00544381" w:rsidRPr="00CB2EB0">
        <w:t>o</w:t>
      </w:r>
      <w:r w:rsidR="00201D39">
        <w:t xml:space="preserve">ch </w:t>
      </w:r>
      <w:r w:rsidR="00544381" w:rsidRPr="00CB2EB0">
        <w:t>m</w:t>
      </w:r>
      <w:r w:rsidR="00201D39">
        <w:t>ed</w:t>
      </w:r>
      <w:r w:rsidRPr="00CB2EB0">
        <w:t xml:space="preserve"> riktlinjerna </w:t>
      </w:r>
      <w:r w:rsidR="00EA7641" w:rsidRPr="00CB2EB0">
        <w:t>f</w:t>
      </w:r>
      <w:r w:rsidR="00EA7641">
        <w:t>ör</w:t>
      </w:r>
      <w:r w:rsidR="00EA7641" w:rsidRPr="00CB2EB0">
        <w:t xml:space="preserve"> </w:t>
      </w:r>
      <w:r w:rsidRPr="00CB2EB0">
        <w:t xml:space="preserve">2009 får den utestående volymen för ändamålet maximalt uppgå till ett värde av 200 miljarder kronor. </w:t>
      </w:r>
      <w:r w:rsidR="00397B61" w:rsidRPr="00CB2EB0">
        <w:t>Av</w:t>
      </w:r>
      <w:r w:rsidRPr="00CB2EB0">
        <w:t xml:space="preserve"> riktlinjerna framgår att statslån endast får nyttjas om det är påkallat på grund av hot mot den finansiella marknadens funktion och att placering av medel som tagits upp genom lån för att tillgodose behovet av statslån bör vägledas av de principer som anges i lagen (2015:1017) om förebyggande statligt stöd till kreditinstitut</w:t>
      </w:r>
      <w:r w:rsidR="00AC6D5D" w:rsidRPr="00CB2EB0">
        <w:t xml:space="preserve"> och om stabilitetsfonden</w:t>
      </w:r>
      <w:r w:rsidRPr="00CB2EB0">
        <w:t>.</w:t>
      </w:r>
    </w:p>
    <w:p w14:paraId="6F25D2C9" w14:textId="41BFE061" w:rsidR="001F6474" w:rsidRPr="00CB2EB0" w:rsidRDefault="00FF1B93" w:rsidP="00FF1B93">
      <w:pPr>
        <w:pStyle w:val="Brdtextmedindrag"/>
      </w:pPr>
      <w:r w:rsidRPr="00CB2EB0">
        <w:lastRenderedPageBreak/>
        <w:t>Under utvärderingsperioden 20</w:t>
      </w:r>
      <w:r w:rsidR="00F07FD1" w:rsidRPr="00CB2EB0">
        <w:t>21</w:t>
      </w:r>
      <w:r w:rsidRPr="00CB2EB0">
        <w:t>‒202</w:t>
      </w:r>
      <w:r w:rsidR="00F07FD1" w:rsidRPr="00CB2EB0">
        <w:t>5</w:t>
      </w:r>
      <w:r w:rsidRPr="00CB2EB0">
        <w:t xml:space="preserve"> har det inte uppstått hot mot den finansiella stabiliteten som motiverat extra emissioner av statslån. Riksgäldskontoret har under utvärderingsperioden inte heller tagit upp lån för detta ändamål.</w:t>
      </w:r>
    </w:p>
    <w:p w14:paraId="52651EF2" w14:textId="1C45CCDD" w:rsidR="004842CC" w:rsidRPr="00CB2EB0" w:rsidRDefault="002206C9" w:rsidP="00FC17EB">
      <w:pPr>
        <w:pStyle w:val="Rubrik1"/>
      </w:pPr>
      <w:bookmarkStart w:id="52" w:name="_Toc227766874"/>
      <w:r w:rsidRPr="00CB2EB0">
        <w:t>U</w:t>
      </w:r>
      <w:r w:rsidR="004842CC" w:rsidRPr="00CB2EB0">
        <w:t>tvärdering av statsskuldsförvaltningens mål</w:t>
      </w:r>
      <w:bookmarkEnd w:id="52"/>
    </w:p>
    <w:p w14:paraId="57B73F2C" w14:textId="77777777" w:rsidR="00984293" w:rsidRPr="00CB2EB0" w:rsidRDefault="00984293" w:rsidP="00984293">
      <w:pPr>
        <w:pStyle w:val="Brdtext"/>
      </w:pPr>
      <w:r w:rsidRPr="00CB2EB0">
        <w:t xml:space="preserve">Målet för statsskuldspolitiken är att statens skuld ska förvaltas så att kostnaden för skulden långsiktigt minimeras samtidigt som risken i förvaltningen beaktas. </w:t>
      </w:r>
    </w:p>
    <w:p w14:paraId="7E182C4D" w14:textId="77777777" w:rsidR="00984293" w:rsidRPr="00CB2EB0" w:rsidRDefault="00984293" w:rsidP="00984293">
      <w:pPr>
        <w:pStyle w:val="Brdtextmedindrag"/>
      </w:pPr>
      <w:r w:rsidRPr="00CB2EB0">
        <w:t xml:space="preserve">Att exakt utvärdera om målet att låna till lägsta möjliga kostnad utan att ta för stora risker uppnåtts är inte möjligt. Anledningen är att det finns flera olika slags risker som statsskuldsförvaltningen har att hantera och att riskerna kan variera över tiden. </w:t>
      </w:r>
    </w:p>
    <w:p w14:paraId="46D3285E" w14:textId="4EEB118F" w:rsidR="00984293" w:rsidRPr="00CB2EB0" w:rsidRDefault="00984293" w:rsidP="00984293">
      <w:pPr>
        <w:pStyle w:val="Brdtextmedindrag"/>
      </w:pPr>
      <w:r w:rsidRPr="00CB2EB0">
        <w:t>Som ett led i utvärderingen av statsskuldsförvaltningens mål belyses i avsnitt</w:t>
      </w:r>
      <w:r w:rsidR="00C62FAF" w:rsidRPr="00CB2EB0">
        <w:t> </w:t>
      </w:r>
      <w:r w:rsidR="00AF4914" w:rsidRPr="00CB2EB0">
        <w:t>5</w:t>
      </w:r>
      <w:r w:rsidRPr="00CB2EB0">
        <w:t xml:space="preserve"> kostnaden för statsskulden och riskerna i statsskulds</w:t>
      </w:r>
      <w:r w:rsidR="005654CC">
        <w:softHyphen/>
      </w:r>
      <w:r w:rsidRPr="00CB2EB0">
        <w:t xml:space="preserve">förvaltningen. </w:t>
      </w:r>
    </w:p>
    <w:p w14:paraId="1ECAC451" w14:textId="0ADD59BD" w:rsidR="00984293" w:rsidRPr="00CB2EB0" w:rsidRDefault="00984293" w:rsidP="00984293">
      <w:pPr>
        <w:pStyle w:val="Brdtextmedindrag"/>
      </w:pPr>
      <w:r w:rsidRPr="00CB2EB0">
        <w:t>Både riktlinjerna för statsskuldsförvaltningen och Riksgäldskontorets tillämpning av dessa påverkar hur väl målet uppfylls, men det kan vara svårt att särskilja de två och att särskilja utvecklingen från omvärlds</w:t>
      </w:r>
      <w:r w:rsidR="005654CC">
        <w:softHyphen/>
      </w:r>
      <w:r w:rsidRPr="00CB2EB0">
        <w:t xml:space="preserve">faktorer. Därför görs en sammantagen bedömning av måluppfyllelsen i avsnitt </w:t>
      </w:r>
      <w:r w:rsidR="000E571C" w:rsidRPr="00CB2EB0">
        <w:t>5.3</w:t>
      </w:r>
      <w:r w:rsidRPr="00CB2EB0">
        <w:t>.</w:t>
      </w:r>
    </w:p>
    <w:p w14:paraId="5B800D31" w14:textId="3EF8300D" w:rsidR="00A603B9" w:rsidRPr="00CB2EB0" w:rsidRDefault="001F6474" w:rsidP="00FC17EB">
      <w:pPr>
        <w:pStyle w:val="Rubrik2"/>
      </w:pPr>
      <w:bookmarkStart w:id="53" w:name="_Ref223427993"/>
      <w:bookmarkStart w:id="54" w:name="_Ref223609473"/>
      <w:bookmarkStart w:id="55" w:name="_Toc227766875"/>
      <w:r w:rsidRPr="00CB2EB0">
        <w:t>Statsskuldens kostnad</w:t>
      </w:r>
      <w:bookmarkEnd w:id="53"/>
      <w:bookmarkEnd w:id="54"/>
      <w:bookmarkEnd w:id="55"/>
    </w:p>
    <w:p w14:paraId="69F08954" w14:textId="2F99DE3A" w:rsidR="001F6474" w:rsidRPr="00CB2EB0" w:rsidRDefault="001F6474" w:rsidP="00FC17EB">
      <w:pPr>
        <w:pStyle w:val="Rubrik4ram"/>
        <w:outlineLvl w:val="2"/>
      </w:pPr>
      <w:r w:rsidRPr="00CB2EB0">
        <w:t>Regeringens bedömning</w:t>
      </w:r>
    </w:p>
    <w:p w14:paraId="4BD14E15" w14:textId="31D205F2" w:rsidR="00642391" w:rsidRPr="00CB2EB0" w:rsidRDefault="00642391" w:rsidP="00642391">
      <w:pPr>
        <w:pStyle w:val="Brdtextram"/>
      </w:pPr>
      <w:r w:rsidRPr="00CB2EB0">
        <w:t xml:space="preserve">Kostnaden för statsskulden har under utvärderingsperioden </w:t>
      </w:r>
      <w:r w:rsidR="00254202">
        <w:t>ökat</w:t>
      </w:r>
      <w:r w:rsidR="00254202" w:rsidRPr="00CB2EB0">
        <w:t xml:space="preserve"> </w:t>
      </w:r>
      <w:r w:rsidRPr="00CB2EB0">
        <w:t xml:space="preserve">från historiskt låga nivåer, med en kraftig ökning under 2022, för att åter sjunka något efterföljande år. Kostnaden för den nominella kronskulden har </w:t>
      </w:r>
      <w:r w:rsidR="00254202">
        <w:t>ökat</w:t>
      </w:r>
      <w:r w:rsidR="00254202" w:rsidRPr="00CB2EB0">
        <w:t xml:space="preserve"> </w:t>
      </w:r>
      <w:r w:rsidRPr="00CB2EB0">
        <w:t>trendmässigt under utvärderingsperioden.</w:t>
      </w:r>
    </w:p>
    <w:p w14:paraId="0E25203F" w14:textId="613AF379" w:rsidR="001F6474" w:rsidRPr="00CB2EB0" w:rsidRDefault="005E04D4" w:rsidP="005E04D4">
      <w:pPr>
        <w:pStyle w:val="Brdtextmedindragram"/>
      </w:pPr>
      <w:r w:rsidRPr="00CB2EB0">
        <w:t>Kostnadsökningen</w:t>
      </w:r>
      <w:r w:rsidR="00B64DA5" w:rsidRPr="00CB2EB0">
        <w:t xml:space="preserve"> i mitten av utvärderingsperioden</w:t>
      </w:r>
      <w:r w:rsidRPr="00CB2EB0">
        <w:t xml:space="preserve"> beror främst på att inflationen öka</w:t>
      </w:r>
      <w:r w:rsidR="00D92C13" w:rsidRPr="00CB2EB0">
        <w:t>de</w:t>
      </w:r>
      <w:r w:rsidR="00B64DA5" w:rsidRPr="00CB2EB0">
        <w:t xml:space="preserve">. Detta har dels drivit upp kostnaderna för realobligationerna, dels </w:t>
      </w:r>
      <w:r w:rsidRPr="00CB2EB0">
        <w:t>lett till valutakursförluster för den del av skulden som är exponerad mot utländsk valuta.</w:t>
      </w:r>
      <w:r w:rsidR="00B64DA5" w:rsidRPr="00CB2EB0">
        <w:t xml:space="preserve"> En trendmässigt </w:t>
      </w:r>
      <w:r w:rsidR="00B201BE">
        <w:t>ökande</w:t>
      </w:r>
      <w:r w:rsidR="00B201BE" w:rsidRPr="00CB2EB0">
        <w:t xml:space="preserve"> </w:t>
      </w:r>
      <w:r w:rsidR="00B64DA5" w:rsidRPr="00CB2EB0">
        <w:t>kostnad för den nominella kronskulden förklaras av stigande marknadsräntor.</w:t>
      </w:r>
    </w:p>
    <w:p w14:paraId="4152C14A" w14:textId="6D1BAE3B" w:rsidR="001F6474" w:rsidRPr="00CB2EB0" w:rsidRDefault="001F6474" w:rsidP="00FC17EB">
      <w:pPr>
        <w:pStyle w:val="Rubrik4efterram"/>
        <w:outlineLvl w:val="2"/>
      </w:pPr>
      <w:r w:rsidRPr="00CB2EB0">
        <w:t>Skälen för regeringens bedömning</w:t>
      </w:r>
    </w:p>
    <w:p w14:paraId="1ECE1AC3" w14:textId="1DBB3E05" w:rsidR="001F6474" w:rsidRPr="00CB2EB0" w:rsidRDefault="00C3331A" w:rsidP="009E5B8B">
      <w:pPr>
        <w:pStyle w:val="Brdtext"/>
      </w:pPr>
      <w:r w:rsidRPr="00CB2EB0">
        <w:t>Statsskuldens kostnad</w:t>
      </w:r>
      <w:r w:rsidR="00FB5416">
        <w:t>, m</w:t>
      </w:r>
      <w:r w:rsidR="00FB5416" w:rsidRPr="00FB5416">
        <w:t>ätt som kostnadsmässiga räntor enligt värderingsprincipen upplupet anskaffningsvärde</w:t>
      </w:r>
      <w:r w:rsidR="00FB5416">
        <w:t>,</w:t>
      </w:r>
      <w:r w:rsidRPr="00CB2EB0">
        <w:t xml:space="preserve"> </w:t>
      </w:r>
      <w:r w:rsidR="009E5B8B" w:rsidRPr="00CB2EB0">
        <w:t>var 13</w:t>
      </w:r>
      <w:r w:rsidR="004757D9" w:rsidRPr="00CB2EB0">
        <w:t> </w:t>
      </w:r>
      <w:r w:rsidR="009E5B8B" w:rsidRPr="00CB2EB0">
        <w:t>miljarder kronor 2025</w:t>
      </w:r>
      <w:r w:rsidR="00E75463" w:rsidRPr="00CB2EB0">
        <w:t xml:space="preserve">, </w:t>
      </w:r>
      <w:r w:rsidR="009E5B8B" w:rsidRPr="00CB2EB0">
        <w:t xml:space="preserve">se </w:t>
      </w:r>
      <w:r w:rsidR="001E5701" w:rsidRPr="00CB2EB0">
        <w:fldChar w:fldCharType="begin"/>
      </w:r>
      <w:r w:rsidR="001E5701" w:rsidRPr="00CB2EB0">
        <w:instrText xml:space="preserve"> REF  _Ref223428085 \* Lower \h  \* MERGEFORMAT </w:instrText>
      </w:r>
      <w:r w:rsidR="001E5701" w:rsidRPr="00CB2EB0">
        <w:fldChar w:fldCharType="separate"/>
      </w:r>
      <w:r w:rsidR="001959AC" w:rsidRPr="00CB2EB0">
        <w:t xml:space="preserve">tabell </w:t>
      </w:r>
      <w:r w:rsidR="001959AC">
        <w:rPr>
          <w:noProof/>
        </w:rPr>
        <w:t>5</w:t>
      </w:r>
      <w:r w:rsidR="001959AC" w:rsidRPr="00CB2EB0">
        <w:t>.</w:t>
      </w:r>
      <w:r w:rsidR="001959AC">
        <w:rPr>
          <w:noProof/>
        </w:rPr>
        <w:t>1</w:t>
      </w:r>
      <w:r w:rsidR="001E5701" w:rsidRPr="00CB2EB0">
        <w:fldChar w:fldCharType="end"/>
      </w:r>
      <w:r w:rsidR="009E5B8B" w:rsidRPr="00CB2EB0">
        <w:t>.</w:t>
      </w:r>
      <w:r w:rsidRPr="00CB2EB0">
        <w:t xml:space="preserve"> Det motsvarar 0,2</w:t>
      </w:r>
      <w:r w:rsidR="00454F1D" w:rsidRPr="00CB2EB0">
        <w:t> </w:t>
      </w:r>
      <w:r w:rsidRPr="00CB2EB0">
        <w:t>procent av BNP</w:t>
      </w:r>
      <w:r w:rsidR="00EB5EB2">
        <w:t>.</w:t>
      </w:r>
      <w:r w:rsidRPr="00CB2EB0">
        <w:t xml:space="preserve"> För 2024 var kostnaden något högre och uppgick till 17</w:t>
      </w:r>
      <w:r w:rsidR="004F33B2" w:rsidRPr="00CB2EB0">
        <w:t> </w:t>
      </w:r>
      <w:r w:rsidRPr="00CB2EB0">
        <w:t>miljarder kronor.</w:t>
      </w:r>
      <w:r w:rsidR="009E5B8B" w:rsidRPr="00CB2EB0">
        <w:t xml:space="preserve"> Minskningen mellan åren beror främst på att kostnaden för den valutaexponerade delen </w:t>
      </w:r>
      <w:r w:rsidR="009E5B8B" w:rsidRPr="00CB2EB0">
        <w:lastRenderedPageBreak/>
        <w:t>av skulden sjönk eftersom kronan stärktes. Även kostnaden för real</w:t>
      </w:r>
      <w:r w:rsidR="00740F11">
        <w:softHyphen/>
      </w:r>
      <w:r w:rsidR="009E5B8B" w:rsidRPr="00CB2EB0">
        <w:t xml:space="preserve">skulden sjönk och var markant lägre än under </w:t>
      </w:r>
      <w:r w:rsidR="001F5232" w:rsidRPr="00CB2EB0">
        <w:t>2022 och 2023 då det var hög inflation</w:t>
      </w:r>
      <w:r w:rsidR="009E5B8B" w:rsidRPr="00CB2EB0">
        <w:t>. Kostnaden för den nominella skulden ökade å andra sidan, vilket framför allt var en följd av stigande marknadsräntor.</w:t>
      </w:r>
    </w:p>
    <w:p w14:paraId="4B38123D" w14:textId="191AA9FA" w:rsidR="00176F7B" w:rsidRPr="00CB2EB0" w:rsidRDefault="00176F7B" w:rsidP="003D6F49">
      <w:pPr>
        <w:pStyle w:val="TabellRubrik"/>
      </w:pPr>
      <w:bookmarkStart w:id="56" w:name="_Ref223428085"/>
      <w:r w:rsidRPr="00CB2EB0">
        <w:t xml:space="preserve">Tabell </w:t>
      </w:r>
      <w:r w:rsidRPr="00CB2EB0">
        <w:fldChar w:fldCharType="begin"/>
      </w:r>
      <w:r w:rsidRPr="00CB2EB0">
        <w:instrText xml:space="preserve"> STYLEREF 1 \s </w:instrText>
      </w:r>
      <w:r w:rsidRPr="00CB2EB0">
        <w:fldChar w:fldCharType="separate"/>
      </w:r>
      <w:r w:rsidR="001959AC">
        <w:rPr>
          <w:noProof/>
        </w:rPr>
        <w:t>5</w:t>
      </w:r>
      <w:r w:rsidRPr="00CB2EB0">
        <w:rPr>
          <w:noProof/>
        </w:rPr>
        <w:fldChar w:fldCharType="end"/>
      </w:r>
      <w:r w:rsidRPr="00CB2EB0">
        <w:t>.</w:t>
      </w:r>
      <w:fldSimple w:instr=" SEQ Tabell \* Arabic \s 1  \* MERGEFORMAT ">
        <w:r w:rsidR="001959AC">
          <w:rPr>
            <w:noProof/>
          </w:rPr>
          <w:t>1</w:t>
        </w:r>
      </w:fldSimple>
      <w:bookmarkEnd w:id="56"/>
      <w:r w:rsidRPr="00CB2EB0">
        <w:tab/>
      </w:r>
      <w:r w:rsidR="009F435C" w:rsidRPr="00CB2EB0">
        <w:t>Kostnaden för statsskulden</w:t>
      </w:r>
    </w:p>
    <w:p w14:paraId="412086F3" w14:textId="22D91961" w:rsidR="00176F7B" w:rsidRPr="00CB2EB0" w:rsidRDefault="009F435C" w:rsidP="003D6F49">
      <w:pPr>
        <w:pStyle w:val="TabellUnderrubrik"/>
      </w:pPr>
      <w:r w:rsidRPr="00CB2EB0">
        <w:t>Miljarder kronor</w:t>
      </w:r>
    </w:p>
    <w:tbl>
      <w:tblPr>
        <w:tblW w:w="5000" w:type="pct"/>
        <w:tblCellMar>
          <w:left w:w="0" w:type="dxa"/>
        </w:tblCellMar>
        <w:tblLook w:val="06A0" w:firstRow="1" w:lastRow="0" w:firstColumn="1" w:lastColumn="0" w:noHBand="1" w:noVBand="1"/>
      </w:tblPr>
      <w:tblGrid>
        <w:gridCol w:w="1407"/>
        <w:gridCol w:w="495"/>
        <w:gridCol w:w="495"/>
        <w:gridCol w:w="495"/>
        <w:gridCol w:w="495"/>
        <w:gridCol w:w="495"/>
        <w:gridCol w:w="797"/>
        <w:gridCol w:w="1212"/>
        <w:gridCol w:w="6"/>
      </w:tblGrid>
      <w:tr w:rsidR="00DF7D1D" w14:paraId="50ABB3EE" w14:textId="77777777">
        <w:trPr>
          <w:tblHeader/>
        </w:trPr>
        <w:tc>
          <w:tcPr>
            <w:tcW w:w="1192" w:type="pct"/>
            <w:tcBorders>
              <w:top w:val="single" w:sz="8" w:space="0" w:color="auto"/>
              <w:bottom w:val="single" w:sz="6" w:space="0" w:color="auto"/>
            </w:tcBorders>
            <w:shd w:val="clear" w:color="auto" w:fill="auto"/>
          </w:tcPr>
          <w:p w14:paraId="17E5FB7C" w14:textId="2FB93291" w:rsidR="009F435C" w:rsidRPr="00CB2EB0" w:rsidRDefault="009F435C" w:rsidP="009F435C">
            <w:pPr>
              <w:pStyle w:val="TabellHuvud"/>
              <w:jc w:val="left"/>
            </w:pPr>
            <w:r w:rsidRPr="00CB2EB0">
              <w:t>Skuldslag</w:t>
            </w:r>
          </w:p>
        </w:tc>
        <w:tc>
          <w:tcPr>
            <w:tcW w:w="420" w:type="pct"/>
            <w:tcBorders>
              <w:top w:val="single" w:sz="8" w:space="0" w:color="auto"/>
              <w:bottom w:val="single" w:sz="6" w:space="0" w:color="auto"/>
            </w:tcBorders>
            <w:shd w:val="clear" w:color="auto" w:fill="auto"/>
          </w:tcPr>
          <w:p w14:paraId="6CED8A67" w14:textId="6ED5ACE7" w:rsidR="009F435C" w:rsidRPr="00CB2EB0" w:rsidRDefault="009F435C" w:rsidP="009F435C">
            <w:pPr>
              <w:pStyle w:val="TabellHuvud"/>
            </w:pPr>
            <w:r w:rsidRPr="00CB2EB0">
              <w:t>2021</w:t>
            </w:r>
          </w:p>
        </w:tc>
        <w:tc>
          <w:tcPr>
            <w:tcW w:w="420" w:type="pct"/>
            <w:tcBorders>
              <w:top w:val="single" w:sz="8" w:space="0" w:color="auto"/>
              <w:bottom w:val="single" w:sz="6" w:space="0" w:color="auto"/>
            </w:tcBorders>
            <w:shd w:val="clear" w:color="auto" w:fill="auto"/>
          </w:tcPr>
          <w:p w14:paraId="6FE380C2" w14:textId="16571E05" w:rsidR="009F435C" w:rsidRPr="00CB2EB0" w:rsidRDefault="009F435C" w:rsidP="009F435C">
            <w:pPr>
              <w:pStyle w:val="TabellHuvud"/>
            </w:pPr>
            <w:r w:rsidRPr="00CB2EB0">
              <w:t>2022</w:t>
            </w:r>
          </w:p>
        </w:tc>
        <w:tc>
          <w:tcPr>
            <w:tcW w:w="420" w:type="pct"/>
            <w:tcBorders>
              <w:top w:val="single" w:sz="8" w:space="0" w:color="auto"/>
              <w:bottom w:val="single" w:sz="6" w:space="0" w:color="auto"/>
            </w:tcBorders>
            <w:shd w:val="clear" w:color="auto" w:fill="auto"/>
          </w:tcPr>
          <w:p w14:paraId="05CF8FB0" w14:textId="27276249" w:rsidR="009F435C" w:rsidRPr="00CB2EB0" w:rsidRDefault="009F435C" w:rsidP="009F435C">
            <w:pPr>
              <w:pStyle w:val="TabellHuvud"/>
            </w:pPr>
            <w:r w:rsidRPr="00CB2EB0">
              <w:t>2023</w:t>
            </w:r>
          </w:p>
        </w:tc>
        <w:tc>
          <w:tcPr>
            <w:tcW w:w="420" w:type="pct"/>
            <w:tcBorders>
              <w:top w:val="single" w:sz="8" w:space="0" w:color="auto"/>
              <w:bottom w:val="single" w:sz="6" w:space="0" w:color="auto"/>
            </w:tcBorders>
            <w:shd w:val="clear" w:color="auto" w:fill="auto"/>
          </w:tcPr>
          <w:p w14:paraId="06C7F422" w14:textId="2CF25466" w:rsidR="009F435C" w:rsidRPr="00CB2EB0" w:rsidRDefault="009F435C" w:rsidP="009F435C">
            <w:pPr>
              <w:pStyle w:val="TabellHuvud"/>
            </w:pPr>
            <w:r w:rsidRPr="00CB2EB0">
              <w:t>2024</w:t>
            </w:r>
          </w:p>
        </w:tc>
        <w:tc>
          <w:tcPr>
            <w:tcW w:w="420" w:type="pct"/>
            <w:tcBorders>
              <w:top w:val="single" w:sz="8" w:space="0" w:color="auto"/>
              <w:bottom w:val="single" w:sz="6" w:space="0" w:color="auto"/>
            </w:tcBorders>
            <w:shd w:val="clear" w:color="auto" w:fill="auto"/>
          </w:tcPr>
          <w:p w14:paraId="3FED81BC" w14:textId="679CAAA3" w:rsidR="009F435C" w:rsidRPr="00CB2EB0" w:rsidRDefault="009F435C" w:rsidP="009F435C">
            <w:pPr>
              <w:pStyle w:val="TabellHuvud"/>
            </w:pPr>
            <w:r w:rsidRPr="00CB2EB0">
              <w:t>2025</w:t>
            </w:r>
          </w:p>
        </w:tc>
        <w:tc>
          <w:tcPr>
            <w:tcW w:w="676" w:type="pct"/>
            <w:tcBorders>
              <w:top w:val="single" w:sz="8" w:space="0" w:color="auto"/>
              <w:bottom w:val="single" w:sz="6" w:space="0" w:color="auto"/>
            </w:tcBorders>
            <w:shd w:val="clear" w:color="auto" w:fill="auto"/>
          </w:tcPr>
          <w:p w14:paraId="1596EAC8" w14:textId="004B2A67" w:rsidR="009F435C" w:rsidRPr="00CB2EB0" w:rsidRDefault="009F435C" w:rsidP="009F435C">
            <w:pPr>
              <w:pStyle w:val="TabellHuvud"/>
            </w:pPr>
            <w:r w:rsidRPr="00CB2EB0">
              <w:t>Snitt 5 år</w:t>
            </w:r>
          </w:p>
        </w:tc>
        <w:tc>
          <w:tcPr>
            <w:tcW w:w="1028" w:type="pct"/>
            <w:tcBorders>
              <w:top w:val="single" w:sz="8" w:space="0" w:color="auto"/>
              <w:bottom w:val="single" w:sz="6" w:space="0" w:color="auto"/>
            </w:tcBorders>
            <w:shd w:val="clear" w:color="auto" w:fill="auto"/>
          </w:tcPr>
          <w:p w14:paraId="59B9BA32" w14:textId="0E8C014D" w:rsidR="009F435C" w:rsidRPr="00CB2EB0" w:rsidRDefault="009F435C" w:rsidP="009F435C">
            <w:pPr>
              <w:pStyle w:val="TabellHuvud"/>
            </w:pPr>
            <w:r w:rsidRPr="00CB2EB0">
              <w:t>Standard</w:t>
            </w:r>
            <w:r w:rsidR="00792F81" w:rsidRPr="00CB2EB0">
              <w:softHyphen/>
            </w:r>
            <w:r w:rsidRPr="00CB2EB0">
              <w:t>avvikelse 5 år</w:t>
            </w:r>
          </w:p>
        </w:tc>
        <w:tc>
          <w:tcPr>
            <w:tcW w:w="5" w:type="pct"/>
            <w:tcBorders>
              <w:top w:val="single" w:sz="8" w:space="0" w:color="auto"/>
              <w:bottom w:val="single" w:sz="6" w:space="0" w:color="auto"/>
            </w:tcBorders>
            <w:shd w:val="clear" w:color="auto" w:fill="auto"/>
            <w:tcMar>
              <w:right w:w="0" w:type="dxa"/>
            </w:tcMar>
          </w:tcPr>
          <w:p w14:paraId="4DD3F7F7" w14:textId="77777777" w:rsidR="009F435C" w:rsidRPr="00CB2EB0" w:rsidRDefault="009F435C" w:rsidP="009F435C">
            <w:pPr>
              <w:pStyle w:val="TabellHuvud"/>
            </w:pPr>
          </w:p>
        </w:tc>
      </w:tr>
      <w:tr w:rsidR="00DF7D1D" w14:paraId="6622A500" w14:textId="77777777">
        <w:tc>
          <w:tcPr>
            <w:tcW w:w="1192" w:type="pct"/>
            <w:tcBorders>
              <w:top w:val="single" w:sz="6" w:space="0" w:color="auto"/>
            </w:tcBorders>
            <w:shd w:val="clear" w:color="auto" w:fill="auto"/>
          </w:tcPr>
          <w:p w14:paraId="466298DD" w14:textId="2E461037" w:rsidR="009F435C" w:rsidRPr="00CB2EB0" w:rsidRDefault="009F435C" w:rsidP="009F435C">
            <w:pPr>
              <w:pStyle w:val="TabellRader"/>
              <w:jc w:val="left"/>
            </w:pPr>
            <w:r w:rsidRPr="00CB2EB0">
              <w:t>Nominell kronskuld</w:t>
            </w:r>
          </w:p>
        </w:tc>
        <w:tc>
          <w:tcPr>
            <w:tcW w:w="420" w:type="pct"/>
            <w:tcBorders>
              <w:top w:val="single" w:sz="6" w:space="0" w:color="auto"/>
            </w:tcBorders>
            <w:shd w:val="clear" w:color="auto" w:fill="auto"/>
          </w:tcPr>
          <w:p w14:paraId="4F8F366B" w14:textId="50E8D17D" w:rsidR="009F435C" w:rsidRPr="00CB2EB0" w:rsidRDefault="009F435C" w:rsidP="009F435C">
            <w:pPr>
              <w:pStyle w:val="TabellRader"/>
            </w:pPr>
            <w:r w:rsidRPr="00CB2EB0">
              <w:t>4</w:t>
            </w:r>
          </w:p>
        </w:tc>
        <w:tc>
          <w:tcPr>
            <w:tcW w:w="420" w:type="pct"/>
            <w:tcBorders>
              <w:top w:val="single" w:sz="6" w:space="0" w:color="auto"/>
            </w:tcBorders>
            <w:shd w:val="clear" w:color="auto" w:fill="auto"/>
          </w:tcPr>
          <w:p w14:paraId="4427826F" w14:textId="0EB99B81" w:rsidR="009F435C" w:rsidRPr="00CB2EB0" w:rsidRDefault="009F435C" w:rsidP="009F435C">
            <w:pPr>
              <w:pStyle w:val="TabellRader"/>
            </w:pPr>
            <w:r w:rsidRPr="00CB2EB0">
              <w:t>5</w:t>
            </w:r>
          </w:p>
        </w:tc>
        <w:tc>
          <w:tcPr>
            <w:tcW w:w="420" w:type="pct"/>
            <w:tcBorders>
              <w:top w:val="single" w:sz="6" w:space="0" w:color="auto"/>
            </w:tcBorders>
            <w:shd w:val="clear" w:color="auto" w:fill="auto"/>
          </w:tcPr>
          <w:p w14:paraId="3AC3B4D1" w14:textId="018F5758" w:rsidR="009F435C" w:rsidRPr="00CB2EB0" w:rsidRDefault="009F435C" w:rsidP="009F435C">
            <w:pPr>
              <w:pStyle w:val="TabellRader"/>
            </w:pPr>
            <w:r w:rsidRPr="00CB2EB0">
              <w:t>8</w:t>
            </w:r>
          </w:p>
        </w:tc>
        <w:tc>
          <w:tcPr>
            <w:tcW w:w="420" w:type="pct"/>
            <w:tcBorders>
              <w:top w:val="single" w:sz="6" w:space="0" w:color="auto"/>
            </w:tcBorders>
            <w:shd w:val="clear" w:color="auto" w:fill="auto"/>
          </w:tcPr>
          <w:p w14:paraId="00FC7D43" w14:textId="73167646" w:rsidR="009F435C" w:rsidRPr="00CB2EB0" w:rsidRDefault="009F435C" w:rsidP="009F435C">
            <w:pPr>
              <w:pStyle w:val="TabellRader"/>
            </w:pPr>
            <w:r w:rsidRPr="00CB2EB0">
              <w:t>10</w:t>
            </w:r>
          </w:p>
        </w:tc>
        <w:tc>
          <w:tcPr>
            <w:tcW w:w="420" w:type="pct"/>
            <w:tcBorders>
              <w:top w:val="single" w:sz="6" w:space="0" w:color="auto"/>
            </w:tcBorders>
            <w:shd w:val="clear" w:color="auto" w:fill="auto"/>
          </w:tcPr>
          <w:p w14:paraId="715E23D1" w14:textId="3FC45B2F" w:rsidR="009F435C" w:rsidRPr="00CB2EB0" w:rsidRDefault="009F435C" w:rsidP="009F435C">
            <w:pPr>
              <w:pStyle w:val="TabellRader"/>
            </w:pPr>
            <w:r w:rsidRPr="00CB2EB0">
              <w:t>14</w:t>
            </w:r>
          </w:p>
        </w:tc>
        <w:tc>
          <w:tcPr>
            <w:tcW w:w="676" w:type="pct"/>
            <w:tcBorders>
              <w:top w:val="single" w:sz="6" w:space="0" w:color="auto"/>
            </w:tcBorders>
            <w:shd w:val="clear" w:color="auto" w:fill="auto"/>
          </w:tcPr>
          <w:p w14:paraId="4390F6C6" w14:textId="6AEAF3E9" w:rsidR="009F435C" w:rsidRPr="00CB2EB0" w:rsidRDefault="009F435C" w:rsidP="009F435C">
            <w:pPr>
              <w:pStyle w:val="TabellRader"/>
            </w:pPr>
            <w:r w:rsidRPr="00CB2EB0">
              <w:t>8</w:t>
            </w:r>
          </w:p>
        </w:tc>
        <w:tc>
          <w:tcPr>
            <w:tcW w:w="1028" w:type="pct"/>
            <w:tcBorders>
              <w:top w:val="single" w:sz="6" w:space="0" w:color="auto"/>
            </w:tcBorders>
            <w:shd w:val="clear" w:color="auto" w:fill="auto"/>
          </w:tcPr>
          <w:p w14:paraId="2B57D3E3" w14:textId="529C29AE" w:rsidR="009F435C" w:rsidRPr="00CB2EB0" w:rsidRDefault="009F435C" w:rsidP="009F435C">
            <w:pPr>
              <w:pStyle w:val="TabellRader"/>
            </w:pPr>
            <w:r w:rsidRPr="00CB2EB0">
              <w:t>3</w:t>
            </w:r>
          </w:p>
        </w:tc>
        <w:tc>
          <w:tcPr>
            <w:tcW w:w="5" w:type="pct"/>
            <w:tcBorders>
              <w:top w:val="single" w:sz="6" w:space="0" w:color="auto"/>
            </w:tcBorders>
            <w:shd w:val="clear" w:color="auto" w:fill="auto"/>
            <w:tcMar>
              <w:right w:w="0" w:type="dxa"/>
            </w:tcMar>
          </w:tcPr>
          <w:p w14:paraId="37AA22BB" w14:textId="77777777" w:rsidR="009F435C" w:rsidRPr="00CB2EB0" w:rsidRDefault="009F435C" w:rsidP="009F435C">
            <w:pPr>
              <w:pStyle w:val="TabellRader"/>
            </w:pPr>
          </w:p>
        </w:tc>
      </w:tr>
      <w:tr w:rsidR="00DF7D1D" w14:paraId="5A20CE49" w14:textId="77777777">
        <w:tc>
          <w:tcPr>
            <w:tcW w:w="1192" w:type="pct"/>
            <w:shd w:val="clear" w:color="auto" w:fill="auto"/>
          </w:tcPr>
          <w:p w14:paraId="35A72B4E" w14:textId="4BF7D1C0" w:rsidR="009F435C" w:rsidRPr="00CB2EB0" w:rsidRDefault="009F435C" w:rsidP="009F435C">
            <w:pPr>
              <w:pStyle w:val="TabellRader"/>
              <w:jc w:val="left"/>
            </w:pPr>
            <w:r w:rsidRPr="00CB2EB0">
              <w:t>Realskuld</w:t>
            </w:r>
          </w:p>
        </w:tc>
        <w:tc>
          <w:tcPr>
            <w:tcW w:w="420" w:type="pct"/>
            <w:shd w:val="clear" w:color="auto" w:fill="auto"/>
          </w:tcPr>
          <w:p w14:paraId="69351637" w14:textId="7D368EE9" w:rsidR="009F435C" w:rsidRPr="00CB2EB0" w:rsidRDefault="009F435C" w:rsidP="009F435C">
            <w:pPr>
              <w:pStyle w:val="TabellRader"/>
            </w:pPr>
            <w:r w:rsidRPr="00CB2EB0">
              <w:t>4</w:t>
            </w:r>
          </w:p>
        </w:tc>
        <w:tc>
          <w:tcPr>
            <w:tcW w:w="420" w:type="pct"/>
            <w:shd w:val="clear" w:color="auto" w:fill="auto"/>
          </w:tcPr>
          <w:p w14:paraId="34A235BD" w14:textId="31156A85" w:rsidR="009F435C" w:rsidRPr="00CB2EB0" w:rsidRDefault="009F435C" w:rsidP="009F435C">
            <w:pPr>
              <w:pStyle w:val="TabellRader"/>
            </w:pPr>
            <w:r w:rsidRPr="00CB2EB0">
              <w:t>18</w:t>
            </w:r>
          </w:p>
        </w:tc>
        <w:tc>
          <w:tcPr>
            <w:tcW w:w="420" w:type="pct"/>
            <w:shd w:val="clear" w:color="auto" w:fill="auto"/>
          </w:tcPr>
          <w:p w14:paraId="4DF473DE" w14:textId="1DA43D1F" w:rsidR="009F435C" w:rsidRPr="00CB2EB0" w:rsidRDefault="009F435C" w:rsidP="009F435C">
            <w:pPr>
              <w:pStyle w:val="TabellRader"/>
            </w:pPr>
            <w:r w:rsidRPr="00CB2EB0">
              <w:t>13</w:t>
            </w:r>
          </w:p>
        </w:tc>
        <w:tc>
          <w:tcPr>
            <w:tcW w:w="420" w:type="pct"/>
            <w:shd w:val="clear" w:color="auto" w:fill="auto"/>
          </w:tcPr>
          <w:p w14:paraId="360DEE2E" w14:textId="40C988B5" w:rsidR="009F435C" w:rsidRPr="00CB2EB0" w:rsidRDefault="009F435C" w:rsidP="009F435C">
            <w:pPr>
              <w:pStyle w:val="TabellRader"/>
            </w:pPr>
            <w:r w:rsidRPr="00CB2EB0">
              <w:t>3</w:t>
            </w:r>
          </w:p>
        </w:tc>
        <w:tc>
          <w:tcPr>
            <w:tcW w:w="420" w:type="pct"/>
            <w:shd w:val="clear" w:color="auto" w:fill="auto"/>
          </w:tcPr>
          <w:p w14:paraId="4F772F14" w14:textId="0E8E554F" w:rsidR="009F435C" w:rsidRPr="00CB2EB0" w:rsidRDefault="009F435C" w:rsidP="009F435C">
            <w:pPr>
              <w:pStyle w:val="TabellRader"/>
            </w:pPr>
            <w:r w:rsidRPr="00CB2EB0">
              <w:t>2</w:t>
            </w:r>
          </w:p>
        </w:tc>
        <w:tc>
          <w:tcPr>
            <w:tcW w:w="676" w:type="pct"/>
            <w:shd w:val="clear" w:color="auto" w:fill="auto"/>
          </w:tcPr>
          <w:p w14:paraId="2A560056" w14:textId="056B6B1B" w:rsidR="009F435C" w:rsidRPr="00CB2EB0" w:rsidRDefault="009F435C" w:rsidP="009F435C">
            <w:pPr>
              <w:pStyle w:val="TabellRader"/>
            </w:pPr>
            <w:r w:rsidRPr="00CB2EB0">
              <w:t>8</w:t>
            </w:r>
          </w:p>
        </w:tc>
        <w:tc>
          <w:tcPr>
            <w:tcW w:w="1028" w:type="pct"/>
            <w:shd w:val="clear" w:color="auto" w:fill="auto"/>
          </w:tcPr>
          <w:p w14:paraId="4057B690" w14:textId="04F88F27" w:rsidR="009F435C" w:rsidRPr="00CB2EB0" w:rsidRDefault="009F435C" w:rsidP="009F435C">
            <w:pPr>
              <w:pStyle w:val="TabellRader"/>
            </w:pPr>
            <w:r w:rsidRPr="00CB2EB0">
              <w:t>7</w:t>
            </w:r>
          </w:p>
        </w:tc>
        <w:tc>
          <w:tcPr>
            <w:tcW w:w="5" w:type="pct"/>
            <w:shd w:val="clear" w:color="auto" w:fill="auto"/>
            <w:tcMar>
              <w:right w:w="0" w:type="dxa"/>
            </w:tcMar>
          </w:tcPr>
          <w:p w14:paraId="230D86E0" w14:textId="77777777" w:rsidR="009F435C" w:rsidRPr="00CB2EB0" w:rsidRDefault="009F435C" w:rsidP="009F435C">
            <w:pPr>
              <w:pStyle w:val="TabellRader"/>
            </w:pPr>
          </w:p>
        </w:tc>
      </w:tr>
      <w:tr w:rsidR="00DF7D1D" w14:paraId="3796A5D4" w14:textId="77777777">
        <w:tc>
          <w:tcPr>
            <w:tcW w:w="1192" w:type="pct"/>
            <w:shd w:val="clear" w:color="auto" w:fill="auto"/>
          </w:tcPr>
          <w:p w14:paraId="597FFC90" w14:textId="4E988251" w:rsidR="009F435C" w:rsidRPr="00CB2EB0" w:rsidRDefault="009F435C" w:rsidP="009F435C">
            <w:pPr>
              <w:pStyle w:val="TabellRader"/>
              <w:jc w:val="left"/>
            </w:pPr>
            <w:r w:rsidRPr="00CB2EB0">
              <w:t>Valutaexponering</w:t>
            </w:r>
          </w:p>
        </w:tc>
        <w:tc>
          <w:tcPr>
            <w:tcW w:w="420" w:type="pct"/>
            <w:shd w:val="clear" w:color="auto" w:fill="auto"/>
          </w:tcPr>
          <w:p w14:paraId="1E0908C4" w14:textId="4BCC2B47" w:rsidR="009F435C" w:rsidRPr="00CB2EB0" w:rsidRDefault="009F435C" w:rsidP="009F435C">
            <w:pPr>
              <w:pStyle w:val="TabellRader"/>
            </w:pPr>
            <w:r w:rsidRPr="00CB2EB0">
              <w:t>2</w:t>
            </w:r>
          </w:p>
        </w:tc>
        <w:tc>
          <w:tcPr>
            <w:tcW w:w="420" w:type="pct"/>
            <w:shd w:val="clear" w:color="auto" w:fill="auto"/>
          </w:tcPr>
          <w:p w14:paraId="5BA2029F" w14:textId="72A51210" w:rsidR="009F435C" w:rsidRPr="00CB2EB0" w:rsidRDefault="009F435C" w:rsidP="009F435C">
            <w:pPr>
              <w:pStyle w:val="TabellRader"/>
            </w:pPr>
            <w:r w:rsidRPr="00CB2EB0">
              <w:t>10</w:t>
            </w:r>
          </w:p>
        </w:tc>
        <w:tc>
          <w:tcPr>
            <w:tcW w:w="420" w:type="pct"/>
            <w:shd w:val="clear" w:color="auto" w:fill="auto"/>
          </w:tcPr>
          <w:p w14:paraId="714B692C" w14:textId="41B2F6C2" w:rsidR="009F435C" w:rsidRPr="00CB2EB0" w:rsidRDefault="009F435C" w:rsidP="009F435C">
            <w:pPr>
              <w:pStyle w:val="TabellRader"/>
            </w:pPr>
            <w:r w:rsidRPr="00CB2EB0">
              <w:t>5</w:t>
            </w:r>
          </w:p>
        </w:tc>
        <w:tc>
          <w:tcPr>
            <w:tcW w:w="420" w:type="pct"/>
            <w:shd w:val="clear" w:color="auto" w:fill="auto"/>
          </w:tcPr>
          <w:p w14:paraId="750EADE6" w14:textId="09B14F90" w:rsidR="009F435C" w:rsidRPr="00CB2EB0" w:rsidRDefault="009F435C" w:rsidP="009F435C">
            <w:pPr>
              <w:pStyle w:val="TabellRader"/>
            </w:pPr>
            <w:r w:rsidRPr="00CB2EB0">
              <w:t>4</w:t>
            </w:r>
          </w:p>
        </w:tc>
        <w:tc>
          <w:tcPr>
            <w:tcW w:w="420" w:type="pct"/>
            <w:shd w:val="clear" w:color="auto" w:fill="auto"/>
          </w:tcPr>
          <w:p w14:paraId="4F324691" w14:textId="72460E0B" w:rsidR="009F435C" w:rsidRPr="00CB2EB0" w:rsidRDefault="009F435C" w:rsidP="009F435C">
            <w:pPr>
              <w:pStyle w:val="TabellRader"/>
            </w:pPr>
            <w:r w:rsidRPr="00CB2EB0">
              <w:t>-3</w:t>
            </w:r>
          </w:p>
        </w:tc>
        <w:tc>
          <w:tcPr>
            <w:tcW w:w="676" w:type="pct"/>
            <w:shd w:val="clear" w:color="auto" w:fill="auto"/>
          </w:tcPr>
          <w:p w14:paraId="56CA05D0" w14:textId="0495A7D2" w:rsidR="009F435C" w:rsidRPr="00CB2EB0" w:rsidRDefault="009F435C" w:rsidP="009F435C">
            <w:pPr>
              <w:pStyle w:val="TabellRader"/>
            </w:pPr>
            <w:r w:rsidRPr="00CB2EB0">
              <w:t>4</w:t>
            </w:r>
          </w:p>
        </w:tc>
        <w:tc>
          <w:tcPr>
            <w:tcW w:w="1028" w:type="pct"/>
            <w:shd w:val="clear" w:color="auto" w:fill="auto"/>
          </w:tcPr>
          <w:p w14:paraId="1F4DCDF0" w14:textId="7C53E573" w:rsidR="009F435C" w:rsidRPr="00CB2EB0" w:rsidRDefault="009F435C" w:rsidP="009F435C">
            <w:pPr>
              <w:pStyle w:val="TabellRader"/>
            </w:pPr>
            <w:r w:rsidRPr="00CB2EB0">
              <w:t>5</w:t>
            </w:r>
          </w:p>
        </w:tc>
        <w:tc>
          <w:tcPr>
            <w:tcW w:w="5" w:type="pct"/>
            <w:shd w:val="clear" w:color="auto" w:fill="auto"/>
            <w:tcMar>
              <w:right w:w="0" w:type="dxa"/>
            </w:tcMar>
          </w:tcPr>
          <w:p w14:paraId="2E00311A" w14:textId="77777777" w:rsidR="009F435C" w:rsidRPr="00CB2EB0" w:rsidRDefault="009F435C" w:rsidP="009F435C">
            <w:pPr>
              <w:pStyle w:val="TabellRader"/>
            </w:pPr>
          </w:p>
        </w:tc>
      </w:tr>
      <w:tr w:rsidR="00DF7D1D" w14:paraId="296491A8" w14:textId="77777777">
        <w:tc>
          <w:tcPr>
            <w:tcW w:w="1192" w:type="pct"/>
            <w:tcBorders>
              <w:bottom w:val="single" w:sz="8" w:space="0" w:color="auto"/>
            </w:tcBorders>
            <w:shd w:val="clear" w:color="auto" w:fill="auto"/>
          </w:tcPr>
          <w:p w14:paraId="1B74AE62" w14:textId="388EDE30" w:rsidR="009F435C" w:rsidRPr="00CB2EB0" w:rsidRDefault="009F435C" w:rsidP="009F435C">
            <w:pPr>
              <w:pStyle w:val="TabellSlutsumma"/>
              <w:jc w:val="left"/>
            </w:pPr>
            <w:r w:rsidRPr="00CB2EB0">
              <w:t>Totalt</w:t>
            </w:r>
          </w:p>
        </w:tc>
        <w:tc>
          <w:tcPr>
            <w:tcW w:w="420" w:type="pct"/>
            <w:tcBorders>
              <w:bottom w:val="single" w:sz="8" w:space="0" w:color="auto"/>
            </w:tcBorders>
            <w:shd w:val="clear" w:color="auto" w:fill="auto"/>
          </w:tcPr>
          <w:p w14:paraId="6652A943" w14:textId="35B54B64" w:rsidR="009F435C" w:rsidRPr="00CB2EB0" w:rsidRDefault="009F435C" w:rsidP="009F435C">
            <w:pPr>
              <w:pStyle w:val="TabellSlutsumma"/>
            </w:pPr>
            <w:r w:rsidRPr="00CB2EB0">
              <w:t>11</w:t>
            </w:r>
          </w:p>
        </w:tc>
        <w:tc>
          <w:tcPr>
            <w:tcW w:w="420" w:type="pct"/>
            <w:tcBorders>
              <w:bottom w:val="single" w:sz="8" w:space="0" w:color="auto"/>
            </w:tcBorders>
            <w:shd w:val="clear" w:color="auto" w:fill="auto"/>
          </w:tcPr>
          <w:p w14:paraId="0C344A02" w14:textId="071A1D7D" w:rsidR="009F435C" w:rsidRPr="00CB2EB0" w:rsidRDefault="009F435C" w:rsidP="009F435C">
            <w:pPr>
              <w:pStyle w:val="TabellSlutsumma"/>
            </w:pPr>
            <w:r w:rsidRPr="00CB2EB0">
              <w:t>33</w:t>
            </w:r>
          </w:p>
        </w:tc>
        <w:tc>
          <w:tcPr>
            <w:tcW w:w="420" w:type="pct"/>
            <w:tcBorders>
              <w:bottom w:val="single" w:sz="8" w:space="0" w:color="auto"/>
            </w:tcBorders>
            <w:shd w:val="clear" w:color="auto" w:fill="auto"/>
          </w:tcPr>
          <w:p w14:paraId="4D07D9F6" w14:textId="0FE9F5F1" w:rsidR="009F435C" w:rsidRPr="00CB2EB0" w:rsidRDefault="009F435C" w:rsidP="009F435C">
            <w:pPr>
              <w:pStyle w:val="TabellSlutsumma"/>
            </w:pPr>
            <w:r w:rsidRPr="00CB2EB0">
              <w:t>25</w:t>
            </w:r>
          </w:p>
        </w:tc>
        <w:tc>
          <w:tcPr>
            <w:tcW w:w="420" w:type="pct"/>
            <w:tcBorders>
              <w:bottom w:val="single" w:sz="8" w:space="0" w:color="auto"/>
            </w:tcBorders>
            <w:shd w:val="clear" w:color="auto" w:fill="auto"/>
          </w:tcPr>
          <w:p w14:paraId="414184CA" w14:textId="1D8CD480" w:rsidR="009F435C" w:rsidRPr="00CB2EB0" w:rsidRDefault="009F435C" w:rsidP="009F435C">
            <w:pPr>
              <w:pStyle w:val="TabellSlutsumma"/>
            </w:pPr>
            <w:r w:rsidRPr="00CB2EB0">
              <w:t>17</w:t>
            </w:r>
          </w:p>
        </w:tc>
        <w:tc>
          <w:tcPr>
            <w:tcW w:w="420" w:type="pct"/>
            <w:tcBorders>
              <w:bottom w:val="single" w:sz="8" w:space="0" w:color="auto"/>
            </w:tcBorders>
            <w:shd w:val="clear" w:color="auto" w:fill="auto"/>
          </w:tcPr>
          <w:p w14:paraId="09900BBC" w14:textId="3EC103F3" w:rsidR="009F435C" w:rsidRPr="00CB2EB0" w:rsidRDefault="009F435C" w:rsidP="009F435C">
            <w:pPr>
              <w:pStyle w:val="TabellSlutsumma"/>
            </w:pPr>
            <w:r w:rsidRPr="00CB2EB0">
              <w:t>13</w:t>
            </w:r>
          </w:p>
        </w:tc>
        <w:tc>
          <w:tcPr>
            <w:tcW w:w="676" w:type="pct"/>
            <w:tcBorders>
              <w:bottom w:val="single" w:sz="8" w:space="0" w:color="auto"/>
            </w:tcBorders>
            <w:shd w:val="clear" w:color="auto" w:fill="auto"/>
          </w:tcPr>
          <w:p w14:paraId="761ED04F" w14:textId="0DC145C4" w:rsidR="009F435C" w:rsidRPr="00CB2EB0" w:rsidRDefault="009F435C" w:rsidP="009F435C">
            <w:pPr>
              <w:pStyle w:val="TabellSlutsumma"/>
            </w:pPr>
            <w:r w:rsidRPr="00CB2EB0">
              <w:t>20</w:t>
            </w:r>
          </w:p>
        </w:tc>
        <w:tc>
          <w:tcPr>
            <w:tcW w:w="1028" w:type="pct"/>
            <w:tcBorders>
              <w:bottom w:val="single" w:sz="8" w:space="0" w:color="auto"/>
            </w:tcBorders>
            <w:shd w:val="clear" w:color="auto" w:fill="auto"/>
          </w:tcPr>
          <w:p w14:paraId="172A5C90" w14:textId="4A9E246E" w:rsidR="009F435C" w:rsidRPr="00CB2EB0" w:rsidRDefault="009F435C" w:rsidP="009F435C">
            <w:pPr>
              <w:pStyle w:val="TabellSlutsumma"/>
            </w:pPr>
            <w:r w:rsidRPr="00CB2EB0">
              <w:t>10</w:t>
            </w:r>
          </w:p>
        </w:tc>
        <w:tc>
          <w:tcPr>
            <w:tcW w:w="5" w:type="pct"/>
            <w:tcBorders>
              <w:bottom w:val="single" w:sz="8" w:space="0" w:color="auto"/>
            </w:tcBorders>
            <w:shd w:val="clear" w:color="auto" w:fill="auto"/>
            <w:tcMar>
              <w:right w:w="0" w:type="dxa"/>
            </w:tcMar>
          </w:tcPr>
          <w:p w14:paraId="2B7EAE35" w14:textId="77777777" w:rsidR="009F435C" w:rsidRPr="00CB2EB0" w:rsidRDefault="009F435C" w:rsidP="009F435C">
            <w:pPr>
              <w:pStyle w:val="TabellSlutsumma"/>
            </w:pPr>
          </w:p>
        </w:tc>
      </w:tr>
    </w:tbl>
    <w:p w14:paraId="742CE925" w14:textId="0A4B2699" w:rsidR="006835B6" w:rsidRPr="00CB2EB0" w:rsidRDefault="006835B6" w:rsidP="00195571">
      <w:pPr>
        <w:pStyle w:val="TabellFotnot"/>
      </w:pPr>
      <w:r w:rsidRPr="00CB2EB0">
        <w:t>Anm. Kostnaden för statsskulden redovisas utifrån upplupet anskaffningsvärde. Räntor på Riksgäldskontorets nettoutlåning ingår inte i redovisningen. Risken i termer av standardavvikelse har beräknats på månadsdata i rullande tolvmånadersperioder för åren 2021–2025.</w:t>
      </w:r>
    </w:p>
    <w:p w14:paraId="02517993" w14:textId="3FA9E7C3" w:rsidR="00176F7B" w:rsidRPr="00CB2EB0" w:rsidRDefault="009F435C" w:rsidP="00195571">
      <w:pPr>
        <w:pStyle w:val="TabellFotnot"/>
      </w:pPr>
      <w:r w:rsidRPr="00CB2EB0">
        <w:t>Källa: Riksgäldskontoret</w:t>
      </w:r>
      <w:r w:rsidR="00C15CD7" w:rsidRPr="00CB2EB0">
        <w:t>.</w:t>
      </w:r>
    </w:p>
    <w:p w14:paraId="0FA3DF3E" w14:textId="3F1B1D1B" w:rsidR="00A90ADC" w:rsidRPr="00CB2EB0" w:rsidRDefault="00A90ADC" w:rsidP="00FC17EB">
      <w:pPr>
        <w:pStyle w:val="Rubrik5efterram"/>
        <w:outlineLvl w:val="3"/>
      </w:pPr>
      <w:r w:rsidRPr="00CB2EB0">
        <w:t>Kostnaden som genomsnittlig effektiv ränta</w:t>
      </w:r>
    </w:p>
    <w:p w14:paraId="1397EB08" w14:textId="3F5FD8FF" w:rsidR="00176F7B" w:rsidRPr="00CB2EB0" w:rsidRDefault="009E5B8B" w:rsidP="006835B6">
      <w:pPr>
        <w:pStyle w:val="Brdtext"/>
      </w:pPr>
      <w:r w:rsidRPr="00CB2EB0">
        <w:t xml:space="preserve">Kostnaden kan även ställas i relation till den utestående skulden. På så sätt får man en genomsnittlig implicit ränta för statsskulden, som redovisas i </w:t>
      </w:r>
      <w:r w:rsidR="009A6893" w:rsidRPr="00CB2EB0">
        <w:fldChar w:fldCharType="begin"/>
      </w:r>
      <w:r w:rsidR="009A6893" w:rsidRPr="00CB2EB0">
        <w:instrText xml:space="preserve"> REF  _Ref223427836 \* Lower \h  \* MERGEFORMAT </w:instrText>
      </w:r>
      <w:r w:rsidR="009A6893" w:rsidRPr="00CB2EB0">
        <w:fldChar w:fldCharType="separate"/>
      </w:r>
      <w:r w:rsidR="001959AC" w:rsidRPr="00CB2EB0">
        <w:t xml:space="preserve">tabell </w:t>
      </w:r>
      <w:r w:rsidR="001959AC">
        <w:rPr>
          <w:noProof/>
        </w:rPr>
        <w:t>5</w:t>
      </w:r>
      <w:r w:rsidR="001959AC" w:rsidRPr="00CB2EB0">
        <w:t>.</w:t>
      </w:r>
      <w:r w:rsidR="001959AC">
        <w:rPr>
          <w:noProof/>
        </w:rPr>
        <w:t>2</w:t>
      </w:r>
      <w:r w:rsidR="009A6893" w:rsidRPr="00CB2EB0">
        <w:fldChar w:fldCharType="end"/>
      </w:r>
      <w:r w:rsidRPr="00CB2EB0">
        <w:t>. Uttryckt på detta sätt var kostnaden 1,2</w:t>
      </w:r>
      <w:r w:rsidR="00622C2B" w:rsidRPr="00CB2EB0">
        <w:t> </w:t>
      </w:r>
      <w:r w:rsidRPr="00CB2EB0">
        <w:t>procent 2025, vilket är lägre än såväl föregående år som genomsnittet för de senaste fem åren.</w:t>
      </w:r>
    </w:p>
    <w:p w14:paraId="6BA6854F" w14:textId="4A54760D" w:rsidR="009F435C" w:rsidRPr="00CB2EB0" w:rsidRDefault="009F435C" w:rsidP="003D6F49">
      <w:pPr>
        <w:pStyle w:val="TabellRubrik"/>
      </w:pPr>
      <w:bookmarkStart w:id="57" w:name="_Ref223427836"/>
      <w:r w:rsidRPr="00CB2EB0">
        <w:t xml:space="preserve">Tabell </w:t>
      </w:r>
      <w:r w:rsidRPr="00CB2EB0">
        <w:fldChar w:fldCharType="begin"/>
      </w:r>
      <w:r w:rsidRPr="00CB2EB0">
        <w:instrText xml:space="preserve"> STYLEREF 1 \s </w:instrText>
      </w:r>
      <w:r w:rsidRPr="00CB2EB0">
        <w:fldChar w:fldCharType="separate"/>
      </w:r>
      <w:r w:rsidR="001959AC">
        <w:rPr>
          <w:noProof/>
        </w:rPr>
        <w:t>5</w:t>
      </w:r>
      <w:r w:rsidRPr="00CB2EB0">
        <w:rPr>
          <w:noProof/>
        </w:rPr>
        <w:fldChar w:fldCharType="end"/>
      </w:r>
      <w:r w:rsidRPr="00CB2EB0">
        <w:t>.</w:t>
      </w:r>
      <w:fldSimple w:instr=" SEQ Tabell \* Arabic \s 1  \* MERGEFORMAT ">
        <w:r w:rsidR="001959AC">
          <w:rPr>
            <w:noProof/>
          </w:rPr>
          <w:t>2</w:t>
        </w:r>
      </w:fldSimple>
      <w:bookmarkEnd w:id="57"/>
      <w:r w:rsidRPr="00CB2EB0">
        <w:tab/>
        <w:t>Kostnaden för statsskulden mätt som genomsnittlig effektiv ränta</w:t>
      </w:r>
    </w:p>
    <w:p w14:paraId="6E552188" w14:textId="0202E34D" w:rsidR="009F435C" w:rsidRPr="00CB2EB0" w:rsidRDefault="009F435C" w:rsidP="003D6F49">
      <w:pPr>
        <w:pStyle w:val="TabellUnderrubrik"/>
      </w:pPr>
      <w:r w:rsidRPr="00CB2EB0">
        <w:t>Procent</w:t>
      </w:r>
    </w:p>
    <w:tbl>
      <w:tblPr>
        <w:tblW w:w="5000" w:type="pct"/>
        <w:tblCellMar>
          <w:left w:w="0" w:type="dxa"/>
        </w:tblCellMar>
        <w:tblLook w:val="06A0" w:firstRow="1" w:lastRow="0" w:firstColumn="1" w:lastColumn="0" w:noHBand="1" w:noVBand="1"/>
      </w:tblPr>
      <w:tblGrid>
        <w:gridCol w:w="1420"/>
        <w:gridCol w:w="499"/>
        <w:gridCol w:w="499"/>
        <w:gridCol w:w="499"/>
        <w:gridCol w:w="499"/>
        <w:gridCol w:w="499"/>
        <w:gridCol w:w="763"/>
        <w:gridCol w:w="1219"/>
      </w:tblGrid>
      <w:tr w:rsidR="00DF7D1D" w14:paraId="12349321" w14:textId="77777777">
        <w:trPr>
          <w:tblHeader/>
        </w:trPr>
        <w:tc>
          <w:tcPr>
            <w:tcW w:w="1204" w:type="pct"/>
            <w:tcBorders>
              <w:top w:val="single" w:sz="8" w:space="0" w:color="auto"/>
              <w:bottom w:val="single" w:sz="6" w:space="0" w:color="auto"/>
            </w:tcBorders>
            <w:shd w:val="clear" w:color="auto" w:fill="auto"/>
          </w:tcPr>
          <w:p w14:paraId="52F445BB" w14:textId="46F7B58C" w:rsidR="009F435C" w:rsidRPr="00CB2EB0" w:rsidRDefault="009F435C" w:rsidP="009F435C">
            <w:pPr>
              <w:pStyle w:val="TabellHuvud"/>
              <w:jc w:val="left"/>
            </w:pPr>
            <w:r w:rsidRPr="00CB2EB0">
              <w:t>Skuldslag</w:t>
            </w:r>
          </w:p>
        </w:tc>
        <w:tc>
          <w:tcPr>
            <w:tcW w:w="423" w:type="pct"/>
            <w:tcBorders>
              <w:top w:val="single" w:sz="8" w:space="0" w:color="auto"/>
              <w:bottom w:val="single" w:sz="6" w:space="0" w:color="auto"/>
            </w:tcBorders>
            <w:shd w:val="clear" w:color="auto" w:fill="auto"/>
          </w:tcPr>
          <w:p w14:paraId="0024035C" w14:textId="27FCA12A" w:rsidR="009F435C" w:rsidRPr="00CB2EB0" w:rsidRDefault="009F435C" w:rsidP="009F435C">
            <w:pPr>
              <w:pStyle w:val="TabellHuvud"/>
            </w:pPr>
            <w:r w:rsidRPr="00CB2EB0">
              <w:t>2021</w:t>
            </w:r>
          </w:p>
        </w:tc>
        <w:tc>
          <w:tcPr>
            <w:tcW w:w="423" w:type="pct"/>
            <w:tcBorders>
              <w:top w:val="single" w:sz="8" w:space="0" w:color="auto"/>
              <w:bottom w:val="single" w:sz="6" w:space="0" w:color="auto"/>
            </w:tcBorders>
            <w:shd w:val="clear" w:color="auto" w:fill="auto"/>
          </w:tcPr>
          <w:p w14:paraId="00A18D88" w14:textId="21BF91EA" w:rsidR="009F435C" w:rsidRPr="00CB2EB0" w:rsidRDefault="009F435C" w:rsidP="009F435C">
            <w:pPr>
              <w:pStyle w:val="TabellHuvud"/>
            </w:pPr>
            <w:r w:rsidRPr="00CB2EB0">
              <w:t>2022</w:t>
            </w:r>
          </w:p>
        </w:tc>
        <w:tc>
          <w:tcPr>
            <w:tcW w:w="423" w:type="pct"/>
            <w:tcBorders>
              <w:top w:val="single" w:sz="8" w:space="0" w:color="auto"/>
              <w:bottom w:val="single" w:sz="6" w:space="0" w:color="auto"/>
            </w:tcBorders>
            <w:shd w:val="clear" w:color="auto" w:fill="auto"/>
          </w:tcPr>
          <w:p w14:paraId="50BF5B38" w14:textId="4D4D86B0" w:rsidR="009F435C" w:rsidRPr="00CB2EB0" w:rsidRDefault="009F435C" w:rsidP="009F435C">
            <w:pPr>
              <w:pStyle w:val="TabellHuvud"/>
            </w:pPr>
            <w:r w:rsidRPr="00CB2EB0">
              <w:t>2023</w:t>
            </w:r>
          </w:p>
        </w:tc>
        <w:tc>
          <w:tcPr>
            <w:tcW w:w="423" w:type="pct"/>
            <w:tcBorders>
              <w:top w:val="single" w:sz="8" w:space="0" w:color="auto"/>
              <w:bottom w:val="single" w:sz="6" w:space="0" w:color="auto"/>
            </w:tcBorders>
            <w:shd w:val="clear" w:color="auto" w:fill="auto"/>
          </w:tcPr>
          <w:p w14:paraId="581B6020" w14:textId="3234EF1F" w:rsidR="009F435C" w:rsidRPr="00CB2EB0" w:rsidRDefault="009F435C" w:rsidP="009F435C">
            <w:pPr>
              <w:pStyle w:val="TabellHuvud"/>
            </w:pPr>
            <w:r w:rsidRPr="00CB2EB0">
              <w:t>2024</w:t>
            </w:r>
          </w:p>
        </w:tc>
        <w:tc>
          <w:tcPr>
            <w:tcW w:w="423" w:type="pct"/>
            <w:tcBorders>
              <w:top w:val="single" w:sz="8" w:space="0" w:color="auto"/>
              <w:bottom w:val="single" w:sz="6" w:space="0" w:color="auto"/>
            </w:tcBorders>
            <w:shd w:val="clear" w:color="auto" w:fill="auto"/>
          </w:tcPr>
          <w:p w14:paraId="2D43968D" w14:textId="33C6424B" w:rsidR="009F435C" w:rsidRPr="00CB2EB0" w:rsidRDefault="009F435C" w:rsidP="009F435C">
            <w:pPr>
              <w:pStyle w:val="TabellHuvud"/>
            </w:pPr>
            <w:r w:rsidRPr="00CB2EB0">
              <w:t>2025</w:t>
            </w:r>
          </w:p>
        </w:tc>
        <w:tc>
          <w:tcPr>
            <w:tcW w:w="647" w:type="pct"/>
            <w:tcBorders>
              <w:top w:val="single" w:sz="8" w:space="0" w:color="auto"/>
              <w:bottom w:val="single" w:sz="6" w:space="0" w:color="auto"/>
            </w:tcBorders>
            <w:shd w:val="clear" w:color="auto" w:fill="auto"/>
          </w:tcPr>
          <w:p w14:paraId="14F35A6B" w14:textId="57E9FC67" w:rsidR="009F435C" w:rsidRPr="00CB2EB0" w:rsidRDefault="009F435C" w:rsidP="009F435C">
            <w:pPr>
              <w:pStyle w:val="TabellHuvud"/>
            </w:pPr>
            <w:r w:rsidRPr="00CB2EB0">
              <w:t>Snitt 5 år</w:t>
            </w:r>
          </w:p>
        </w:tc>
        <w:tc>
          <w:tcPr>
            <w:tcW w:w="1034" w:type="pct"/>
            <w:tcBorders>
              <w:top w:val="single" w:sz="8" w:space="0" w:color="auto"/>
              <w:bottom w:val="single" w:sz="6" w:space="0" w:color="auto"/>
            </w:tcBorders>
            <w:shd w:val="clear" w:color="auto" w:fill="auto"/>
          </w:tcPr>
          <w:p w14:paraId="56E08161" w14:textId="18D035E0" w:rsidR="009F435C" w:rsidRPr="00CB2EB0" w:rsidRDefault="009F435C" w:rsidP="009F435C">
            <w:pPr>
              <w:pStyle w:val="TabellHuvud"/>
            </w:pPr>
            <w:r w:rsidRPr="00CB2EB0">
              <w:t>Standard</w:t>
            </w:r>
            <w:r w:rsidR="00792F81" w:rsidRPr="00CB2EB0">
              <w:softHyphen/>
            </w:r>
            <w:r w:rsidRPr="00CB2EB0">
              <w:t>avvikelse 5 år</w:t>
            </w:r>
          </w:p>
        </w:tc>
      </w:tr>
      <w:tr w:rsidR="00DF7D1D" w14:paraId="05FD1C34" w14:textId="77777777">
        <w:tc>
          <w:tcPr>
            <w:tcW w:w="1204" w:type="pct"/>
            <w:tcBorders>
              <w:top w:val="single" w:sz="6" w:space="0" w:color="auto"/>
            </w:tcBorders>
            <w:shd w:val="clear" w:color="auto" w:fill="auto"/>
          </w:tcPr>
          <w:p w14:paraId="3D2CC3F4" w14:textId="74B90B52" w:rsidR="009F435C" w:rsidRPr="00CB2EB0" w:rsidRDefault="009F435C" w:rsidP="009F435C">
            <w:pPr>
              <w:pStyle w:val="TabellRader"/>
              <w:jc w:val="left"/>
            </w:pPr>
            <w:r w:rsidRPr="00CB2EB0">
              <w:t>Nominell kronskuld</w:t>
            </w:r>
          </w:p>
        </w:tc>
        <w:tc>
          <w:tcPr>
            <w:tcW w:w="423" w:type="pct"/>
            <w:tcBorders>
              <w:top w:val="single" w:sz="6" w:space="0" w:color="auto"/>
            </w:tcBorders>
            <w:shd w:val="clear" w:color="auto" w:fill="auto"/>
          </w:tcPr>
          <w:p w14:paraId="79664586" w14:textId="79F44910" w:rsidR="009F435C" w:rsidRPr="00CB2EB0" w:rsidRDefault="009F435C" w:rsidP="009F435C">
            <w:pPr>
              <w:pStyle w:val="TabellRader"/>
            </w:pPr>
            <w:r w:rsidRPr="00CB2EB0">
              <w:t>0,6</w:t>
            </w:r>
          </w:p>
        </w:tc>
        <w:tc>
          <w:tcPr>
            <w:tcW w:w="423" w:type="pct"/>
            <w:tcBorders>
              <w:top w:val="single" w:sz="6" w:space="0" w:color="auto"/>
            </w:tcBorders>
            <w:shd w:val="clear" w:color="auto" w:fill="auto"/>
          </w:tcPr>
          <w:p w14:paraId="6386165F" w14:textId="2BA3E9D1" w:rsidR="009F435C" w:rsidRPr="00CB2EB0" w:rsidRDefault="009F435C" w:rsidP="009F435C">
            <w:pPr>
              <w:pStyle w:val="TabellRader"/>
            </w:pPr>
            <w:r w:rsidRPr="00CB2EB0">
              <w:t>0,8</w:t>
            </w:r>
          </w:p>
        </w:tc>
        <w:tc>
          <w:tcPr>
            <w:tcW w:w="423" w:type="pct"/>
            <w:tcBorders>
              <w:top w:val="single" w:sz="6" w:space="0" w:color="auto"/>
            </w:tcBorders>
            <w:shd w:val="clear" w:color="auto" w:fill="auto"/>
          </w:tcPr>
          <w:p w14:paraId="2A151B8C" w14:textId="4A4DCC45" w:rsidR="009F435C" w:rsidRPr="00CB2EB0" w:rsidRDefault="009F435C" w:rsidP="009F435C">
            <w:pPr>
              <w:pStyle w:val="TabellRader"/>
            </w:pPr>
            <w:r w:rsidRPr="00CB2EB0">
              <w:t>1,2</w:t>
            </w:r>
          </w:p>
        </w:tc>
        <w:tc>
          <w:tcPr>
            <w:tcW w:w="423" w:type="pct"/>
            <w:tcBorders>
              <w:top w:val="single" w:sz="6" w:space="0" w:color="auto"/>
            </w:tcBorders>
            <w:shd w:val="clear" w:color="auto" w:fill="auto"/>
          </w:tcPr>
          <w:p w14:paraId="06CE85F5" w14:textId="25A248A3" w:rsidR="009F435C" w:rsidRPr="00CB2EB0" w:rsidRDefault="009F435C" w:rsidP="009F435C">
            <w:pPr>
              <w:pStyle w:val="TabellRader"/>
            </w:pPr>
            <w:r w:rsidRPr="00CB2EB0">
              <w:t>1,3</w:t>
            </w:r>
          </w:p>
        </w:tc>
        <w:tc>
          <w:tcPr>
            <w:tcW w:w="423" w:type="pct"/>
            <w:tcBorders>
              <w:top w:val="single" w:sz="6" w:space="0" w:color="auto"/>
            </w:tcBorders>
            <w:shd w:val="clear" w:color="auto" w:fill="auto"/>
          </w:tcPr>
          <w:p w14:paraId="3BF5AF0B" w14:textId="5DC95953" w:rsidR="009F435C" w:rsidRPr="00CB2EB0" w:rsidRDefault="009F435C" w:rsidP="009F435C">
            <w:pPr>
              <w:pStyle w:val="TabellRader"/>
            </w:pPr>
            <w:r w:rsidRPr="00CB2EB0">
              <w:t>1,6</w:t>
            </w:r>
          </w:p>
        </w:tc>
        <w:tc>
          <w:tcPr>
            <w:tcW w:w="647" w:type="pct"/>
            <w:tcBorders>
              <w:top w:val="single" w:sz="6" w:space="0" w:color="auto"/>
            </w:tcBorders>
            <w:shd w:val="clear" w:color="auto" w:fill="auto"/>
          </w:tcPr>
          <w:p w14:paraId="5B4904D2" w14:textId="1074A344" w:rsidR="009F435C" w:rsidRPr="00CB2EB0" w:rsidRDefault="009F435C" w:rsidP="009F435C">
            <w:pPr>
              <w:pStyle w:val="TabellRader"/>
            </w:pPr>
            <w:r w:rsidRPr="00CB2EB0">
              <w:t>1,1</w:t>
            </w:r>
          </w:p>
        </w:tc>
        <w:tc>
          <w:tcPr>
            <w:tcW w:w="1034" w:type="pct"/>
            <w:tcBorders>
              <w:top w:val="single" w:sz="6" w:space="0" w:color="auto"/>
            </w:tcBorders>
            <w:shd w:val="clear" w:color="auto" w:fill="auto"/>
          </w:tcPr>
          <w:p w14:paraId="1B4AE59A" w14:textId="65A82092" w:rsidR="009F435C" w:rsidRPr="00CB2EB0" w:rsidRDefault="009F435C" w:rsidP="009F435C">
            <w:pPr>
              <w:pStyle w:val="TabellRader"/>
            </w:pPr>
            <w:r w:rsidRPr="00CB2EB0">
              <w:t>0,3</w:t>
            </w:r>
          </w:p>
        </w:tc>
      </w:tr>
      <w:tr w:rsidR="00DF7D1D" w14:paraId="5A2FA7BE" w14:textId="77777777">
        <w:tc>
          <w:tcPr>
            <w:tcW w:w="1204" w:type="pct"/>
            <w:shd w:val="clear" w:color="auto" w:fill="auto"/>
          </w:tcPr>
          <w:p w14:paraId="4A98AD9E" w14:textId="7DF67C11" w:rsidR="009F435C" w:rsidRPr="00CB2EB0" w:rsidRDefault="009F435C" w:rsidP="009F435C">
            <w:pPr>
              <w:pStyle w:val="TabellRader"/>
              <w:jc w:val="left"/>
            </w:pPr>
            <w:r w:rsidRPr="00CB2EB0">
              <w:t>Realskuld</w:t>
            </w:r>
          </w:p>
        </w:tc>
        <w:tc>
          <w:tcPr>
            <w:tcW w:w="423" w:type="pct"/>
            <w:shd w:val="clear" w:color="auto" w:fill="auto"/>
          </w:tcPr>
          <w:p w14:paraId="5E496242" w14:textId="7402A21E" w:rsidR="009F435C" w:rsidRPr="00CB2EB0" w:rsidRDefault="009F435C" w:rsidP="009F435C">
            <w:pPr>
              <w:pStyle w:val="TabellRader"/>
            </w:pPr>
            <w:r w:rsidRPr="00CB2EB0">
              <w:t>1,9</w:t>
            </w:r>
          </w:p>
        </w:tc>
        <w:tc>
          <w:tcPr>
            <w:tcW w:w="423" w:type="pct"/>
            <w:shd w:val="clear" w:color="auto" w:fill="auto"/>
          </w:tcPr>
          <w:p w14:paraId="404B7257" w14:textId="2412422D" w:rsidR="009F435C" w:rsidRPr="00CB2EB0" w:rsidRDefault="009F435C" w:rsidP="009F435C">
            <w:pPr>
              <w:pStyle w:val="TabellRader"/>
            </w:pPr>
            <w:r w:rsidRPr="00CB2EB0">
              <w:t>8,4</w:t>
            </w:r>
          </w:p>
        </w:tc>
        <w:tc>
          <w:tcPr>
            <w:tcW w:w="423" w:type="pct"/>
            <w:shd w:val="clear" w:color="auto" w:fill="auto"/>
          </w:tcPr>
          <w:p w14:paraId="296E50D1" w14:textId="6B8173C3" w:rsidR="009F435C" w:rsidRPr="00CB2EB0" w:rsidRDefault="009F435C" w:rsidP="009F435C">
            <w:pPr>
              <w:pStyle w:val="TabellRader"/>
            </w:pPr>
            <w:r w:rsidRPr="00CB2EB0">
              <w:t>5,4</w:t>
            </w:r>
          </w:p>
        </w:tc>
        <w:tc>
          <w:tcPr>
            <w:tcW w:w="423" w:type="pct"/>
            <w:shd w:val="clear" w:color="auto" w:fill="auto"/>
          </w:tcPr>
          <w:p w14:paraId="081F3A45" w14:textId="6043019D" w:rsidR="009F435C" w:rsidRPr="00CB2EB0" w:rsidRDefault="009F435C" w:rsidP="009F435C">
            <w:pPr>
              <w:pStyle w:val="TabellRader"/>
            </w:pPr>
            <w:r w:rsidRPr="00CB2EB0">
              <w:t>1,2</w:t>
            </w:r>
          </w:p>
        </w:tc>
        <w:tc>
          <w:tcPr>
            <w:tcW w:w="423" w:type="pct"/>
            <w:shd w:val="clear" w:color="auto" w:fill="auto"/>
          </w:tcPr>
          <w:p w14:paraId="310B2276" w14:textId="05A1D4F5" w:rsidR="009F435C" w:rsidRPr="00CB2EB0" w:rsidRDefault="009F435C" w:rsidP="009F435C">
            <w:pPr>
              <w:pStyle w:val="TabellRader"/>
            </w:pPr>
            <w:r w:rsidRPr="00CB2EB0">
              <w:t>1,0</w:t>
            </w:r>
          </w:p>
        </w:tc>
        <w:tc>
          <w:tcPr>
            <w:tcW w:w="647" w:type="pct"/>
            <w:shd w:val="clear" w:color="auto" w:fill="auto"/>
          </w:tcPr>
          <w:p w14:paraId="1335E7F4" w14:textId="2C736437" w:rsidR="009F435C" w:rsidRPr="00CB2EB0" w:rsidRDefault="009F435C" w:rsidP="009F435C">
            <w:pPr>
              <w:pStyle w:val="TabellRader"/>
            </w:pPr>
            <w:r w:rsidRPr="00CB2EB0">
              <w:t>3,6</w:t>
            </w:r>
          </w:p>
        </w:tc>
        <w:tc>
          <w:tcPr>
            <w:tcW w:w="1034" w:type="pct"/>
            <w:shd w:val="clear" w:color="auto" w:fill="auto"/>
          </w:tcPr>
          <w:p w14:paraId="16104260" w14:textId="61D86812" w:rsidR="009F435C" w:rsidRPr="00CB2EB0" w:rsidRDefault="009F435C" w:rsidP="009F435C">
            <w:pPr>
              <w:pStyle w:val="TabellRader"/>
            </w:pPr>
            <w:r w:rsidRPr="00CB2EB0">
              <w:t>3</w:t>
            </w:r>
          </w:p>
        </w:tc>
      </w:tr>
      <w:tr w:rsidR="00DF7D1D" w14:paraId="71430E58" w14:textId="77777777">
        <w:tc>
          <w:tcPr>
            <w:tcW w:w="1204" w:type="pct"/>
            <w:shd w:val="clear" w:color="auto" w:fill="auto"/>
          </w:tcPr>
          <w:p w14:paraId="10B80E06" w14:textId="461D6F6D" w:rsidR="009F435C" w:rsidRPr="00CB2EB0" w:rsidRDefault="009F435C" w:rsidP="009F435C">
            <w:pPr>
              <w:pStyle w:val="TabellRader"/>
              <w:jc w:val="left"/>
            </w:pPr>
            <w:r w:rsidRPr="00CB2EB0">
              <w:t>Valutaexponering</w:t>
            </w:r>
          </w:p>
        </w:tc>
        <w:tc>
          <w:tcPr>
            <w:tcW w:w="423" w:type="pct"/>
            <w:shd w:val="clear" w:color="auto" w:fill="auto"/>
          </w:tcPr>
          <w:p w14:paraId="7FFEC6BB" w14:textId="72489039" w:rsidR="009F435C" w:rsidRPr="00CB2EB0" w:rsidRDefault="009F435C" w:rsidP="009F435C">
            <w:pPr>
              <w:pStyle w:val="TabellRader"/>
            </w:pPr>
            <w:r w:rsidRPr="00CB2EB0">
              <w:t>2,6</w:t>
            </w:r>
          </w:p>
        </w:tc>
        <w:tc>
          <w:tcPr>
            <w:tcW w:w="423" w:type="pct"/>
            <w:shd w:val="clear" w:color="auto" w:fill="auto"/>
          </w:tcPr>
          <w:p w14:paraId="6C1AE9DE" w14:textId="64D1BC90" w:rsidR="009F435C" w:rsidRPr="00CB2EB0" w:rsidRDefault="009F435C" w:rsidP="009F435C">
            <w:pPr>
              <w:pStyle w:val="TabellRader"/>
            </w:pPr>
            <w:r w:rsidRPr="00CB2EB0">
              <w:t>9,7</w:t>
            </w:r>
          </w:p>
        </w:tc>
        <w:tc>
          <w:tcPr>
            <w:tcW w:w="423" w:type="pct"/>
            <w:shd w:val="clear" w:color="auto" w:fill="auto"/>
          </w:tcPr>
          <w:p w14:paraId="5F8AE641" w14:textId="5D3BC2D7" w:rsidR="009F435C" w:rsidRPr="00CB2EB0" w:rsidRDefault="009F435C" w:rsidP="009F435C">
            <w:pPr>
              <w:pStyle w:val="TabellRader"/>
            </w:pPr>
            <w:r w:rsidRPr="00CB2EB0">
              <w:t>5,4</w:t>
            </w:r>
          </w:p>
        </w:tc>
        <w:tc>
          <w:tcPr>
            <w:tcW w:w="423" w:type="pct"/>
            <w:shd w:val="clear" w:color="auto" w:fill="auto"/>
          </w:tcPr>
          <w:p w14:paraId="6EB02826" w14:textId="58AEACD6" w:rsidR="009F435C" w:rsidRPr="00CB2EB0" w:rsidRDefault="009F435C" w:rsidP="009F435C">
            <w:pPr>
              <w:pStyle w:val="TabellRader"/>
            </w:pPr>
            <w:r w:rsidRPr="00CB2EB0">
              <w:t>6,8</w:t>
            </w:r>
          </w:p>
        </w:tc>
        <w:tc>
          <w:tcPr>
            <w:tcW w:w="423" w:type="pct"/>
            <w:shd w:val="clear" w:color="auto" w:fill="auto"/>
          </w:tcPr>
          <w:p w14:paraId="77012027" w14:textId="40297BD0" w:rsidR="009F435C" w:rsidRPr="00CB2EB0" w:rsidRDefault="009F435C" w:rsidP="009F435C">
            <w:pPr>
              <w:pStyle w:val="TabellRader"/>
            </w:pPr>
            <w:r w:rsidRPr="00CB2EB0">
              <w:t>-6,0</w:t>
            </w:r>
          </w:p>
        </w:tc>
        <w:tc>
          <w:tcPr>
            <w:tcW w:w="647" w:type="pct"/>
            <w:shd w:val="clear" w:color="auto" w:fill="auto"/>
          </w:tcPr>
          <w:p w14:paraId="013B7D2B" w14:textId="127FADE3" w:rsidR="009F435C" w:rsidRPr="00CB2EB0" w:rsidRDefault="009F435C" w:rsidP="009F435C">
            <w:pPr>
              <w:pStyle w:val="TabellRader"/>
            </w:pPr>
            <w:r w:rsidRPr="00CB2EB0">
              <w:t>3,7</w:t>
            </w:r>
          </w:p>
        </w:tc>
        <w:tc>
          <w:tcPr>
            <w:tcW w:w="1034" w:type="pct"/>
            <w:shd w:val="clear" w:color="auto" w:fill="auto"/>
          </w:tcPr>
          <w:p w14:paraId="623D9DFB" w14:textId="473E9057" w:rsidR="009F435C" w:rsidRPr="00CB2EB0" w:rsidRDefault="009F435C" w:rsidP="009F435C">
            <w:pPr>
              <w:pStyle w:val="TabellRader"/>
            </w:pPr>
            <w:r w:rsidRPr="00CB2EB0">
              <w:t>5,4</w:t>
            </w:r>
          </w:p>
        </w:tc>
      </w:tr>
      <w:tr w:rsidR="00DF7D1D" w14:paraId="348A3C82" w14:textId="77777777">
        <w:tc>
          <w:tcPr>
            <w:tcW w:w="1204" w:type="pct"/>
            <w:tcBorders>
              <w:bottom w:val="single" w:sz="8" w:space="0" w:color="auto"/>
            </w:tcBorders>
            <w:shd w:val="clear" w:color="auto" w:fill="auto"/>
          </w:tcPr>
          <w:p w14:paraId="778F293B" w14:textId="5BEEB15A" w:rsidR="009F435C" w:rsidRPr="00CB2EB0" w:rsidRDefault="009F435C" w:rsidP="009F435C">
            <w:pPr>
              <w:pStyle w:val="TabellSlutsumma"/>
              <w:jc w:val="left"/>
            </w:pPr>
            <w:r w:rsidRPr="00CB2EB0">
              <w:t>Totalt</w:t>
            </w:r>
          </w:p>
        </w:tc>
        <w:tc>
          <w:tcPr>
            <w:tcW w:w="423" w:type="pct"/>
            <w:tcBorders>
              <w:bottom w:val="single" w:sz="8" w:space="0" w:color="auto"/>
            </w:tcBorders>
            <w:shd w:val="clear" w:color="auto" w:fill="auto"/>
          </w:tcPr>
          <w:p w14:paraId="4A2DC301" w14:textId="0138C6B1" w:rsidR="009F435C" w:rsidRPr="00CB2EB0" w:rsidRDefault="009F435C" w:rsidP="009F435C">
            <w:pPr>
              <w:pStyle w:val="TabellSlutsumma"/>
            </w:pPr>
            <w:r w:rsidRPr="00CB2EB0">
              <w:t>1,0</w:t>
            </w:r>
          </w:p>
        </w:tc>
        <w:tc>
          <w:tcPr>
            <w:tcW w:w="423" w:type="pct"/>
            <w:tcBorders>
              <w:bottom w:val="single" w:sz="8" w:space="0" w:color="auto"/>
            </w:tcBorders>
            <w:shd w:val="clear" w:color="auto" w:fill="auto"/>
          </w:tcPr>
          <w:p w14:paraId="589EDFE5" w14:textId="7A2B2767" w:rsidR="009F435C" w:rsidRPr="00CB2EB0" w:rsidRDefault="009F435C" w:rsidP="009F435C">
            <w:pPr>
              <w:pStyle w:val="TabellSlutsumma"/>
            </w:pPr>
            <w:r w:rsidRPr="00CB2EB0">
              <w:t>3,4</w:t>
            </w:r>
          </w:p>
        </w:tc>
        <w:tc>
          <w:tcPr>
            <w:tcW w:w="423" w:type="pct"/>
            <w:tcBorders>
              <w:bottom w:val="single" w:sz="8" w:space="0" w:color="auto"/>
            </w:tcBorders>
            <w:shd w:val="clear" w:color="auto" w:fill="auto"/>
          </w:tcPr>
          <w:p w14:paraId="6200288F" w14:textId="6493869B" w:rsidR="009F435C" w:rsidRPr="00CB2EB0" w:rsidRDefault="009F435C" w:rsidP="009F435C">
            <w:pPr>
              <w:pStyle w:val="TabellSlutsumma"/>
            </w:pPr>
            <w:r w:rsidRPr="00CB2EB0">
              <w:t>2,5</w:t>
            </w:r>
          </w:p>
        </w:tc>
        <w:tc>
          <w:tcPr>
            <w:tcW w:w="423" w:type="pct"/>
            <w:tcBorders>
              <w:bottom w:val="single" w:sz="8" w:space="0" w:color="auto"/>
            </w:tcBorders>
            <w:shd w:val="clear" w:color="auto" w:fill="auto"/>
          </w:tcPr>
          <w:p w14:paraId="3B20E405" w14:textId="0A9FE092" w:rsidR="009F435C" w:rsidRPr="00CB2EB0" w:rsidRDefault="009F435C" w:rsidP="009F435C">
            <w:pPr>
              <w:pStyle w:val="TabellSlutsumma"/>
            </w:pPr>
            <w:r w:rsidRPr="00CB2EB0">
              <w:t>1,6</w:t>
            </w:r>
          </w:p>
        </w:tc>
        <w:tc>
          <w:tcPr>
            <w:tcW w:w="423" w:type="pct"/>
            <w:tcBorders>
              <w:bottom w:val="single" w:sz="8" w:space="0" w:color="auto"/>
            </w:tcBorders>
            <w:shd w:val="clear" w:color="auto" w:fill="auto"/>
          </w:tcPr>
          <w:p w14:paraId="77D86722" w14:textId="327708F9" w:rsidR="009F435C" w:rsidRPr="00CB2EB0" w:rsidRDefault="009F435C" w:rsidP="009F435C">
            <w:pPr>
              <w:pStyle w:val="TabellSlutsumma"/>
            </w:pPr>
            <w:r w:rsidRPr="00CB2EB0">
              <w:t>1,2</w:t>
            </w:r>
          </w:p>
        </w:tc>
        <w:tc>
          <w:tcPr>
            <w:tcW w:w="647" w:type="pct"/>
            <w:tcBorders>
              <w:bottom w:val="single" w:sz="8" w:space="0" w:color="auto"/>
            </w:tcBorders>
            <w:shd w:val="clear" w:color="auto" w:fill="auto"/>
          </w:tcPr>
          <w:p w14:paraId="43F982F4" w14:textId="1B9FFA52" w:rsidR="009F435C" w:rsidRPr="00CB2EB0" w:rsidRDefault="009F435C" w:rsidP="009F435C">
            <w:pPr>
              <w:pStyle w:val="TabellSlutsumma"/>
            </w:pPr>
            <w:r w:rsidRPr="00CB2EB0">
              <w:t>1,9</w:t>
            </w:r>
          </w:p>
        </w:tc>
        <w:tc>
          <w:tcPr>
            <w:tcW w:w="1034" w:type="pct"/>
            <w:tcBorders>
              <w:bottom w:val="single" w:sz="8" w:space="0" w:color="auto"/>
            </w:tcBorders>
            <w:shd w:val="clear" w:color="auto" w:fill="auto"/>
          </w:tcPr>
          <w:p w14:paraId="5621B15E" w14:textId="6352E8AA" w:rsidR="009F435C" w:rsidRPr="00CB2EB0" w:rsidRDefault="009F435C" w:rsidP="009F435C">
            <w:pPr>
              <w:pStyle w:val="TabellSlutsumma"/>
            </w:pPr>
            <w:r w:rsidRPr="00CB2EB0">
              <w:t>1</w:t>
            </w:r>
          </w:p>
        </w:tc>
      </w:tr>
    </w:tbl>
    <w:p w14:paraId="611A0BD4" w14:textId="54F2BB83" w:rsidR="00AC2E99" w:rsidRPr="00CB2EB0" w:rsidRDefault="00AC2E99" w:rsidP="00195571">
      <w:pPr>
        <w:pStyle w:val="TabellFotnot"/>
      </w:pPr>
      <w:r w:rsidRPr="00CB2EB0">
        <w:t>Anm. Kostnaden för statsskulden redovisas utifrån upplupet anskaffningsvärde. Räntor på Riksgäldskontorets nettoutlåning ingår inte i redovisningen. Risken i termer av standardavvikelse har beräknats på månadsdata i rullande tolvmånadersperioder för åren 2021–2025.</w:t>
      </w:r>
    </w:p>
    <w:p w14:paraId="43E9C796" w14:textId="52B411C1" w:rsidR="009F435C" w:rsidRPr="00CB2EB0" w:rsidRDefault="009F435C" w:rsidP="00195571">
      <w:pPr>
        <w:pStyle w:val="TabellFotnot"/>
      </w:pPr>
      <w:r w:rsidRPr="00CB2EB0">
        <w:t>Källa: Riksgäldskontoret</w:t>
      </w:r>
      <w:r w:rsidR="00C15CD7" w:rsidRPr="00CB2EB0">
        <w:t>.</w:t>
      </w:r>
    </w:p>
    <w:p w14:paraId="7570150A" w14:textId="5E3E8E85" w:rsidR="00E62104" w:rsidRPr="00CB2EB0" w:rsidRDefault="00E62104" w:rsidP="00FC17EB">
      <w:pPr>
        <w:pStyle w:val="Rubrik5efterram"/>
        <w:outlineLvl w:val="3"/>
      </w:pPr>
      <w:r w:rsidRPr="00CB2EB0">
        <w:t>Räntebetalningar</w:t>
      </w:r>
    </w:p>
    <w:p w14:paraId="45A4D2EA" w14:textId="28240B07" w:rsidR="005B6F91" w:rsidRPr="00CB2EB0" w:rsidRDefault="00900070" w:rsidP="00900070">
      <w:pPr>
        <w:pStyle w:val="Brdtext"/>
      </w:pPr>
      <w:r w:rsidRPr="00CB2EB0">
        <w:t xml:space="preserve">På statsbudgeten redovisas statsskuldsräntorna utgiftsmässigt, vilket i princip motsvarar räntebetalningar. Måttet bygger på en nominell värderingsprincip för statsskulden och är direkt kopplat till kassaflöden. Räntebetalningarna finansieras via utgiftsområde 26 Statsskuldsräntor m.m. anslag 1:1 </w:t>
      </w:r>
      <w:r w:rsidRPr="00CB2EB0">
        <w:rPr>
          <w:i/>
          <w:iCs/>
        </w:rPr>
        <w:t>Räntor på statsskulden</w:t>
      </w:r>
      <w:r w:rsidRPr="00CB2EB0">
        <w:t xml:space="preserve">. </w:t>
      </w:r>
    </w:p>
    <w:p w14:paraId="4EE0AD42" w14:textId="4947E272" w:rsidR="009922F0" w:rsidRPr="00CB2EB0" w:rsidRDefault="005B6F91" w:rsidP="009922F0">
      <w:pPr>
        <w:pStyle w:val="Brdtextmedindrag"/>
      </w:pPr>
      <w:r w:rsidRPr="00CB2EB0">
        <w:t xml:space="preserve">Nivån påverkas </w:t>
      </w:r>
      <w:r w:rsidR="00C84260" w:rsidRPr="00CB2EB0">
        <w:t>bl.a.</w:t>
      </w:r>
      <w:r w:rsidRPr="00CB2EB0">
        <w:t xml:space="preserve"> av vilka obligationer Riksgäldskontoret emitterar, hur marknadsräntorna rör sig och av valutakurseffekter på den del av skulden som är exponerad mot utländsk valuta. Dessutom ökar ränte</w:t>
      </w:r>
      <w:r w:rsidR="002A483B">
        <w:softHyphen/>
      </w:r>
      <w:r w:rsidRPr="00CB2EB0">
        <w:t xml:space="preserve">betalningarna när en realobligation förfaller och Riksgäldskontoret betalar ut inflationskompensation. </w:t>
      </w:r>
    </w:p>
    <w:p w14:paraId="76EF2BAF" w14:textId="69F276CB" w:rsidR="00900070" w:rsidRPr="00CB2EB0" w:rsidRDefault="005B6F91" w:rsidP="006F7533">
      <w:pPr>
        <w:pStyle w:val="Brdtextmedindrag"/>
      </w:pPr>
      <w:r w:rsidRPr="00CB2EB0">
        <w:lastRenderedPageBreak/>
        <w:t>Räntebetalningarna uppgick i genomsnitt till 22 miljarder kronor per år under utvärderingsperioden</w:t>
      </w:r>
      <w:r w:rsidR="00E91BB6" w:rsidRPr="00CB2EB0">
        <w:t>, men s</w:t>
      </w:r>
      <w:r w:rsidR="00900070" w:rsidRPr="00CB2EB0">
        <w:t xml:space="preserve">om framgår av </w:t>
      </w:r>
      <w:r w:rsidR="00900070" w:rsidRPr="00CB2EB0">
        <w:fldChar w:fldCharType="begin"/>
      </w:r>
      <w:r w:rsidR="00900070" w:rsidRPr="00CB2EB0">
        <w:instrText xml:space="preserve"> REF  _Ref223434356 \* Lower \h  \* MERGEFORMAT </w:instrText>
      </w:r>
      <w:r w:rsidR="00900070" w:rsidRPr="00CB2EB0">
        <w:fldChar w:fldCharType="separate"/>
      </w:r>
      <w:r w:rsidR="001959AC" w:rsidRPr="00CB2EB0">
        <w:t xml:space="preserve">figur </w:t>
      </w:r>
      <w:r w:rsidR="001959AC">
        <w:rPr>
          <w:noProof/>
        </w:rPr>
        <w:t>5</w:t>
      </w:r>
      <w:r w:rsidR="001959AC" w:rsidRPr="00CB2EB0">
        <w:t>.</w:t>
      </w:r>
      <w:r w:rsidR="001959AC">
        <w:rPr>
          <w:noProof/>
        </w:rPr>
        <w:t>1</w:t>
      </w:r>
      <w:r w:rsidR="00900070" w:rsidRPr="00CB2EB0">
        <w:fldChar w:fldCharType="end"/>
      </w:r>
      <w:r w:rsidR="00900070" w:rsidRPr="00CB2EB0">
        <w:t xml:space="preserve"> har ränte</w:t>
      </w:r>
      <w:r w:rsidR="00406C39">
        <w:softHyphen/>
      </w:r>
      <w:r w:rsidR="00900070" w:rsidRPr="00CB2EB0">
        <w:t>betalningarna</w:t>
      </w:r>
      <w:r w:rsidR="00FC0F12" w:rsidRPr="00CB2EB0">
        <w:t xml:space="preserve"> </w:t>
      </w:r>
      <w:r w:rsidR="00900070" w:rsidRPr="00CB2EB0">
        <w:t>varierat under perioden.</w:t>
      </w:r>
      <w:r w:rsidR="001563E4" w:rsidRPr="00CB2EB0">
        <w:t xml:space="preserve"> </w:t>
      </w:r>
    </w:p>
    <w:p w14:paraId="75116697" w14:textId="53F4A725" w:rsidR="00900070" w:rsidRPr="00CB2EB0" w:rsidRDefault="00900070" w:rsidP="004E0277">
      <w:pPr>
        <w:pStyle w:val="FigurRubrik"/>
      </w:pPr>
      <w:bookmarkStart w:id="58" w:name="_Ref223434356"/>
      <w:r w:rsidRPr="00CB2EB0">
        <w:t xml:space="preserve">Figur </w:t>
      </w:r>
      <w:r w:rsidRPr="00CB2EB0">
        <w:fldChar w:fldCharType="begin"/>
      </w:r>
      <w:r w:rsidRPr="00CB2EB0">
        <w:instrText xml:space="preserve"> STYLEREF 1 \s </w:instrText>
      </w:r>
      <w:r w:rsidRPr="00CB2EB0">
        <w:fldChar w:fldCharType="separate"/>
      </w:r>
      <w:r w:rsidR="001959AC">
        <w:rPr>
          <w:noProof/>
        </w:rPr>
        <w:t>5</w:t>
      </w:r>
      <w:r w:rsidRPr="00CB2EB0">
        <w:rPr>
          <w:noProof/>
        </w:rPr>
        <w:fldChar w:fldCharType="end"/>
      </w:r>
      <w:r w:rsidRPr="00CB2EB0">
        <w:t>.</w:t>
      </w:r>
      <w:fldSimple w:instr=" SEQ Figur \* Arabic \s 1  \* MERGEFORMAT ">
        <w:r w:rsidR="001959AC">
          <w:rPr>
            <w:noProof/>
          </w:rPr>
          <w:t>1</w:t>
        </w:r>
      </w:fldSimple>
      <w:bookmarkEnd w:id="58"/>
      <w:r w:rsidRPr="00CB2EB0">
        <w:tab/>
      </w:r>
      <w:r w:rsidR="009751C3" w:rsidRPr="00CB2EB0">
        <w:t>Räntekostnaden för statsskulden</w:t>
      </w:r>
    </w:p>
    <w:p w14:paraId="3799A7F1" w14:textId="189669F1" w:rsidR="00900070" w:rsidRPr="00CB2EB0" w:rsidRDefault="009751C3" w:rsidP="002F4A14">
      <w:pPr>
        <w:pStyle w:val="FigurUnderrubrik"/>
      </w:pPr>
      <w:r w:rsidRPr="00CB2EB0">
        <w:t>Miljarder kronor</w:t>
      </w:r>
    </w:p>
    <w:p w14:paraId="35EB56F7" w14:textId="66C5FBF6" w:rsidR="00900070" w:rsidRPr="00CB2EB0" w:rsidRDefault="00665FBE" w:rsidP="00900070">
      <w:pPr>
        <w:pStyle w:val="Brdtext"/>
      </w:pPr>
      <w:r w:rsidRPr="00CB2EB0">
        <w:rPr>
          <w:noProof/>
        </w:rPr>
        <w:drawing>
          <wp:inline distT="0" distB="0" distL="0" distR="0" wp14:anchorId="5AE68F18" wp14:editId="5A0C790A">
            <wp:extent cx="3744595" cy="2460625"/>
            <wp:effectExtent l="0" t="0" r="8255" b="0"/>
            <wp:docPr id="20" name="Diagram 1">
              <a:extLst xmlns:a="http://schemas.openxmlformats.org/drawingml/2006/main">
                <a:ext uri="{FF2B5EF4-FFF2-40B4-BE49-F238E27FC236}">
                  <a16:creationId xmlns:a16="http://schemas.microsoft.com/office/drawing/2014/main" id="{00000000-0008-0000-0100-00001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Pr="00CB2EB0" w:rsidDel="00665FBE">
        <w:rPr>
          <w:noProof/>
        </w:rPr>
        <w:t xml:space="preserve"> </w:t>
      </w:r>
    </w:p>
    <w:p w14:paraId="207415A7" w14:textId="14FC8953" w:rsidR="00900070" w:rsidRPr="00CB2EB0" w:rsidRDefault="006015A9" w:rsidP="00897BD6">
      <w:pPr>
        <w:pStyle w:val="FigurFotnot"/>
      </w:pPr>
      <w:r w:rsidRPr="00CB2EB0">
        <w:t>Källa: Riksgäldskontoret</w:t>
      </w:r>
      <w:r w:rsidR="00C15CD7" w:rsidRPr="00CB2EB0">
        <w:t>.</w:t>
      </w:r>
    </w:p>
    <w:p w14:paraId="206F6BEE" w14:textId="77777777" w:rsidR="00900070" w:rsidRPr="00CB2EB0" w:rsidRDefault="00900070" w:rsidP="00E22AC9">
      <w:pPr>
        <w:pStyle w:val="Brdtext"/>
      </w:pPr>
    </w:p>
    <w:p w14:paraId="7B1209C8" w14:textId="142BB07C" w:rsidR="00900070" w:rsidRPr="00CB2EB0" w:rsidRDefault="008D47D2" w:rsidP="006015A9">
      <w:pPr>
        <w:pStyle w:val="Brdtext"/>
      </w:pPr>
      <w:r w:rsidRPr="00CB2EB0">
        <w:t>Minskningen från 2023 till 2024 förklaras framför allt av att valutakurs</w:t>
      </w:r>
      <w:r w:rsidR="00311B0A">
        <w:softHyphen/>
      </w:r>
      <w:r w:rsidRPr="00CB2EB0">
        <w:t xml:space="preserve">effekterna var mindre 2024. Dessutom bidrog det lägre ränteläget till mindre underkurser när Riksgäldskontoret emitterade obligationer samt att räntenettot i Riksgäldskontorets nettoutlåning till myndigheter med flera förbättrades. </w:t>
      </w:r>
      <w:r w:rsidR="0061486F" w:rsidRPr="00CB2EB0">
        <w:t>Ökningen mellan 2024 och 2025 förklaras framför allt av utbetalning av inflationskompensation i samband med att en realobligation förföll under 2025. Samtidigt dämpades ökningen av att räntenettot i Riksgäldskontorets nettoutlåning till myndigheter med flera förbättrades.</w:t>
      </w:r>
    </w:p>
    <w:p w14:paraId="781C1596" w14:textId="27F789A5" w:rsidR="00A65071" w:rsidRPr="00CB2EB0" w:rsidRDefault="00263BE6" w:rsidP="00FC17EB">
      <w:pPr>
        <w:pStyle w:val="Rubrik5efterram"/>
        <w:outlineLvl w:val="3"/>
      </w:pPr>
      <w:r w:rsidRPr="00CB2EB0">
        <w:t>Realobligationer</w:t>
      </w:r>
    </w:p>
    <w:p w14:paraId="7F61BFE1" w14:textId="422D0F65" w:rsidR="00263BE6" w:rsidRPr="00CB2EB0" w:rsidRDefault="00263BE6" w:rsidP="00263BE6">
      <w:pPr>
        <w:pStyle w:val="Brdtext"/>
      </w:pPr>
      <w:r w:rsidRPr="00CB2EB0">
        <w:t>Det kalkylmässiga resultatet av realupplåningen beskriver kostnadsskillnaden mellan reala och nominella statsobligationer. Beräknings</w:t>
      </w:r>
      <w:r w:rsidR="009D2504">
        <w:softHyphen/>
      </w:r>
      <w:r w:rsidRPr="00CB2EB0">
        <w:t>metoden som det kalkylmässiga resultatet baseras på är en ex-post</w:t>
      </w:r>
      <w:r w:rsidR="00892027">
        <w:t>-</w:t>
      </w:r>
      <w:r w:rsidRPr="00CB2EB0">
        <w:t xml:space="preserve">indikator för kostnadsskillnaden och det finns </w:t>
      </w:r>
      <w:r w:rsidR="00D4767D">
        <w:t>flera</w:t>
      </w:r>
      <w:r w:rsidRPr="00CB2EB0">
        <w:t xml:space="preserve"> praktiska och teoretiska skäl till </w:t>
      </w:r>
      <w:r w:rsidR="00350178" w:rsidRPr="00CB2EB0">
        <w:t xml:space="preserve">att </w:t>
      </w:r>
      <w:r w:rsidRPr="00CB2EB0">
        <w:t>detta resultat måste tolkas med försiktighet.</w:t>
      </w:r>
    </w:p>
    <w:p w14:paraId="275D14A6" w14:textId="5C97DC92" w:rsidR="0019016B" w:rsidRPr="00CB2EB0" w:rsidRDefault="0019016B" w:rsidP="0019016B">
      <w:pPr>
        <w:pStyle w:val="Brdtextmedindrag"/>
      </w:pPr>
      <w:r w:rsidRPr="00CB2EB0">
        <w:t>För 2025 resulterade realupplåningen i en besparing på 1,8</w:t>
      </w:r>
      <w:r w:rsidR="009F3C23" w:rsidRPr="00CB2EB0">
        <w:t> </w:t>
      </w:r>
      <w:r w:rsidRPr="00CB2EB0">
        <w:t xml:space="preserve">miljarder kronor, jämfört med ett resultat nära noll 2024. Förbättringen beror främst på </w:t>
      </w:r>
      <w:r w:rsidR="00C672EA" w:rsidRPr="00CB2EB0">
        <w:t xml:space="preserve">att </w:t>
      </w:r>
      <w:r w:rsidRPr="00CB2EB0">
        <w:t>inflationen sjönk ytterligare från tidigare höga nivåer. Vid slutet av 2025 var den ackumulerade besparingen 15</w:t>
      </w:r>
      <w:r w:rsidR="00BD47F5" w:rsidRPr="00CB2EB0">
        <w:t> </w:t>
      </w:r>
      <w:r w:rsidRPr="00CB2EB0">
        <w:t>miljarder kronor.</w:t>
      </w:r>
    </w:p>
    <w:p w14:paraId="3A3C3D3B" w14:textId="22DF4B70" w:rsidR="00A550A3" w:rsidRPr="00CB2EB0" w:rsidRDefault="00A550A3" w:rsidP="00A550A3">
      <w:pPr>
        <w:pStyle w:val="Brdtextmedindrag"/>
      </w:pPr>
      <w:r w:rsidRPr="00CB2EB0">
        <w:t xml:space="preserve">Regeringen beslutade i riktlinjerna </w:t>
      </w:r>
      <w:r w:rsidR="00C1632E">
        <w:t>för</w:t>
      </w:r>
      <w:r w:rsidRPr="00CB2EB0">
        <w:t xml:space="preserve"> 2025 att den utestående mängden realobligationer ska minska, se avsnitt </w:t>
      </w:r>
      <w:r w:rsidR="006700FF" w:rsidRPr="00CB2EB0">
        <w:fldChar w:fldCharType="begin"/>
      </w:r>
      <w:r w:rsidR="006700FF" w:rsidRPr="00CB2EB0">
        <w:instrText xml:space="preserve"> REF _Ref223427437 \r \h </w:instrText>
      </w:r>
      <w:r w:rsidR="001F22E1" w:rsidRPr="00CB2EB0">
        <w:instrText xml:space="preserve"> \* MERGEFORMAT </w:instrText>
      </w:r>
      <w:r w:rsidR="006700FF" w:rsidRPr="00CB2EB0">
        <w:fldChar w:fldCharType="separate"/>
      </w:r>
      <w:r w:rsidR="001959AC">
        <w:t>3</w:t>
      </w:r>
      <w:r w:rsidR="006700FF" w:rsidRPr="00CB2EB0">
        <w:fldChar w:fldCharType="end"/>
      </w:r>
      <w:r w:rsidRPr="00CB2EB0">
        <w:t xml:space="preserve">. Statskontoret noterar att det kalkylmässiga resultatet är en utfallsberäkning och </w:t>
      </w:r>
      <w:r w:rsidR="006117AA" w:rsidRPr="00CB2EB0">
        <w:t xml:space="preserve">att </w:t>
      </w:r>
      <w:r w:rsidRPr="00CB2EB0">
        <w:t xml:space="preserve">utfallet </w:t>
      </w:r>
      <w:r w:rsidR="006117AA" w:rsidRPr="00CB2EB0">
        <w:t xml:space="preserve">beror </w:t>
      </w:r>
      <w:r w:rsidRPr="00CB2EB0">
        <w:t xml:space="preserve">dels på förväntad kostnad, dels på en slumpfaktor. För en utvärdering av regeringens riktlinjeförändring är den relevanta </w:t>
      </w:r>
      <w:r w:rsidR="00EA3A57" w:rsidRPr="00CB2EB0">
        <w:t>jämförelsen</w:t>
      </w:r>
      <w:r w:rsidRPr="00CB2EB0">
        <w:t xml:space="preserve"> förväntad avkastning och risk </w:t>
      </w:r>
      <w:r w:rsidR="008E4B4A" w:rsidRPr="00CB2EB0">
        <w:t>i reala relativt nominella obligationer</w:t>
      </w:r>
      <w:r w:rsidR="008E4B4A" w:rsidRPr="00CB2EB0" w:rsidDel="008E4B4A">
        <w:t xml:space="preserve"> </w:t>
      </w:r>
      <w:r w:rsidRPr="00CB2EB0">
        <w:t xml:space="preserve">som emitteras </w:t>
      </w:r>
      <w:r w:rsidRPr="00CB2EB0">
        <w:lastRenderedPageBreak/>
        <w:t>i</w:t>
      </w:r>
      <w:r w:rsidR="00644091">
        <w:t> </w:t>
      </w:r>
      <w:r w:rsidRPr="00CB2EB0">
        <w:t xml:space="preserve">dag. </w:t>
      </w:r>
      <w:r w:rsidR="00006EE4" w:rsidRPr="00CB2EB0">
        <w:t xml:space="preserve">Statskontoret konstaterar </w:t>
      </w:r>
      <w:r w:rsidR="00910D99" w:rsidRPr="00CB2EB0">
        <w:t xml:space="preserve">därför </w:t>
      </w:r>
      <w:r w:rsidR="00006EE4" w:rsidRPr="00CB2EB0">
        <w:t>att d</w:t>
      </w:r>
      <w:r w:rsidRPr="00CB2EB0">
        <w:t>et är först när en obligation löpt ut som det med säkerhet går att säga om avkastningen var bättre eller sämre än alternativet.</w:t>
      </w:r>
    </w:p>
    <w:p w14:paraId="158829F7" w14:textId="473488AB" w:rsidR="00EA3F7B" w:rsidRPr="00CB2EB0" w:rsidRDefault="00EA3F7B" w:rsidP="00FC17EB">
      <w:pPr>
        <w:pStyle w:val="Rubrik5efterram"/>
        <w:outlineLvl w:val="3"/>
      </w:pPr>
      <w:r w:rsidRPr="00CB2EB0">
        <w:t>Pausen i avvecklingen av valutaexponeringen</w:t>
      </w:r>
    </w:p>
    <w:p w14:paraId="18325900" w14:textId="1BFBB91C" w:rsidR="00EA3F7B" w:rsidRPr="00CB2EB0" w:rsidRDefault="00EA3F7B" w:rsidP="00EA3F7B">
      <w:pPr>
        <w:pStyle w:val="Brdtext"/>
      </w:pPr>
      <w:r w:rsidRPr="00CB2EB0">
        <w:t xml:space="preserve">Efter att ha pausat avvecklingen av valutaexponeringen under </w:t>
      </w:r>
      <w:r w:rsidR="000541BF" w:rsidRPr="00CB2EB0">
        <w:t xml:space="preserve">perioden </w:t>
      </w:r>
      <w:r w:rsidRPr="00CB2EB0">
        <w:t xml:space="preserve">2020–2022 återupptog Riksgäldskontoret avvecklingen enligt regeringens riktlinjer för 2023. Enligt riktlinjerna ska avvecklingen ske successivt och valutaexponeringen anta riktvärdet noll </w:t>
      </w:r>
      <w:r w:rsidR="00544381" w:rsidRPr="00CB2EB0">
        <w:t>fr.o.m.</w:t>
      </w:r>
      <w:r w:rsidRPr="00CB2EB0">
        <w:t xml:space="preserve"> 2027 och utvärderas mot en jämn minskningstakt under perioden 2023–2026. Riksgäldskontoret har därför jämfört den faktiska avvecklingen </w:t>
      </w:r>
      <w:r w:rsidR="004E0D6E" w:rsidRPr="00CB2EB0">
        <w:t>av både valutaexponeringen i nominella termer och den strategiska valutaexponeringen mot</w:t>
      </w:r>
      <w:r w:rsidRPr="00CB2EB0">
        <w:t xml:space="preserve"> ett alternativ scenario om avvecklingen skulle ha fortsatt utan den tre år långa pausen</w:t>
      </w:r>
      <w:r w:rsidR="00655F09" w:rsidRPr="00CB2EB0">
        <w:t>. I</w:t>
      </w:r>
      <w:r w:rsidR="009F52F9" w:rsidRPr="00CB2EB0">
        <w:t xml:space="preserve"> </w:t>
      </w:r>
      <w:r w:rsidR="009F52F9" w:rsidRPr="00CB2EB0">
        <w:fldChar w:fldCharType="begin"/>
      </w:r>
      <w:r w:rsidR="009F52F9" w:rsidRPr="00CB2EB0">
        <w:instrText xml:space="preserve"> REF  _Ref223427554 \* Lower \h  \* MERGEFORMAT </w:instrText>
      </w:r>
      <w:r w:rsidR="009F52F9" w:rsidRPr="00CB2EB0">
        <w:fldChar w:fldCharType="separate"/>
      </w:r>
      <w:r w:rsidR="001959AC" w:rsidRPr="00CB2EB0">
        <w:t xml:space="preserve">figur </w:t>
      </w:r>
      <w:r w:rsidR="001959AC">
        <w:rPr>
          <w:noProof/>
        </w:rPr>
        <w:t>5</w:t>
      </w:r>
      <w:r w:rsidR="001959AC" w:rsidRPr="00CB2EB0">
        <w:t>.</w:t>
      </w:r>
      <w:r w:rsidR="001959AC">
        <w:rPr>
          <w:noProof/>
        </w:rPr>
        <w:t>2</w:t>
      </w:r>
      <w:r w:rsidR="009F52F9" w:rsidRPr="00CB2EB0">
        <w:fldChar w:fldCharType="end"/>
      </w:r>
      <w:r w:rsidR="00655F09" w:rsidRPr="00CB2EB0">
        <w:t xml:space="preserve"> redovisas den faktiska avvecklingen mot ett alternativ scenario utan paus</w:t>
      </w:r>
      <w:r w:rsidRPr="00CB2EB0">
        <w:t>.</w:t>
      </w:r>
    </w:p>
    <w:p w14:paraId="1917E06C" w14:textId="01317878" w:rsidR="002D78F9" w:rsidRPr="00CB2EB0" w:rsidRDefault="002D78F9" w:rsidP="004E0277">
      <w:pPr>
        <w:pStyle w:val="FigurRubrik"/>
      </w:pPr>
      <w:bookmarkStart w:id="59" w:name="_Ref223427554"/>
      <w:r w:rsidRPr="00CB2EB0">
        <w:t xml:space="preserve">Figur </w:t>
      </w:r>
      <w:r w:rsidRPr="00CB2EB0">
        <w:fldChar w:fldCharType="begin"/>
      </w:r>
      <w:r w:rsidRPr="00CB2EB0">
        <w:instrText xml:space="preserve"> STYLEREF 1 \s </w:instrText>
      </w:r>
      <w:r w:rsidRPr="00CB2EB0">
        <w:fldChar w:fldCharType="separate"/>
      </w:r>
      <w:r w:rsidR="001959AC">
        <w:rPr>
          <w:noProof/>
        </w:rPr>
        <w:t>5</w:t>
      </w:r>
      <w:r w:rsidRPr="00CB2EB0">
        <w:rPr>
          <w:noProof/>
        </w:rPr>
        <w:fldChar w:fldCharType="end"/>
      </w:r>
      <w:r w:rsidRPr="00CB2EB0">
        <w:t>.</w:t>
      </w:r>
      <w:fldSimple w:instr=" SEQ Figur \* Arabic \s 1  \* MERGEFORMAT ">
        <w:r w:rsidR="001959AC">
          <w:rPr>
            <w:noProof/>
          </w:rPr>
          <w:t>2</w:t>
        </w:r>
      </w:fldSimple>
      <w:bookmarkEnd w:id="59"/>
      <w:r w:rsidRPr="00CB2EB0">
        <w:tab/>
      </w:r>
      <w:r w:rsidR="002D38F4" w:rsidRPr="00CB2EB0">
        <w:t>Avvecklingen av statsskuldens valutaexponering</w:t>
      </w:r>
    </w:p>
    <w:p w14:paraId="44093E4A" w14:textId="240F07A7" w:rsidR="002D78F9" w:rsidRPr="00CB2EB0" w:rsidRDefault="002D38F4" w:rsidP="002F4A14">
      <w:pPr>
        <w:pStyle w:val="FigurUnderrubrik"/>
      </w:pPr>
      <w:r w:rsidRPr="00CB2EB0">
        <w:t>Miljarder kronor</w:t>
      </w:r>
    </w:p>
    <w:p w14:paraId="20695C84" w14:textId="0F07D993" w:rsidR="002D78F9" w:rsidRPr="00CB2EB0" w:rsidRDefault="00D51874" w:rsidP="000D4DA6">
      <w:pPr>
        <w:pStyle w:val="Brdtext"/>
      </w:pPr>
      <w:r w:rsidRPr="00CB2EB0">
        <w:rPr>
          <w:noProof/>
        </w:rPr>
        <w:drawing>
          <wp:inline distT="0" distB="0" distL="0" distR="0" wp14:anchorId="43EA0C9A" wp14:editId="3009D05F">
            <wp:extent cx="3744595" cy="2460625"/>
            <wp:effectExtent l="0" t="0" r="8255" b="0"/>
            <wp:docPr id="21"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E512E7A" w14:textId="15A8618C" w:rsidR="000164D9" w:rsidRPr="00CB2EB0" w:rsidRDefault="000164D9" w:rsidP="004E0D6E">
      <w:pPr>
        <w:pStyle w:val="FigurFotnot"/>
      </w:pPr>
      <w:r w:rsidRPr="00CB2EB0">
        <w:t xml:space="preserve">Anm. </w:t>
      </w:r>
      <w:r w:rsidR="004E0D6E" w:rsidRPr="00CB2EB0">
        <w:t>Valutaexponeringar består av en strategisk och en varierande del. Uppdelningen infördes 2023 och har här även återskapat</w:t>
      </w:r>
      <w:r w:rsidR="002E7FC3" w:rsidRPr="00CB2EB0">
        <w:t>s</w:t>
      </w:r>
      <w:r w:rsidR="004E0D6E" w:rsidRPr="00CB2EB0">
        <w:t xml:space="preserve"> för tidigare år. Valutaexponeringen är månadsgenomsnittet av nominellt värde till aktuell valutakurs. </w:t>
      </w:r>
      <w:r w:rsidRPr="00CB2EB0">
        <w:t>Alternativscenariot baseras på en fortsatt minskning av valutaexponeringen med 20</w:t>
      </w:r>
      <w:r w:rsidR="002A1D7C" w:rsidRPr="00CB2EB0">
        <w:rPr>
          <w:rFonts w:ascii="Cambria" w:hAnsi="Cambria"/>
        </w:rPr>
        <w:t> </w:t>
      </w:r>
      <w:r w:rsidRPr="00CB2EB0">
        <w:t xml:space="preserve">miljarder kronor per år </w:t>
      </w:r>
      <w:r w:rsidR="00544381" w:rsidRPr="00CB2EB0">
        <w:t>fr.o.m.</w:t>
      </w:r>
      <w:r w:rsidRPr="00CB2EB0">
        <w:t xml:space="preserve"> den 2</w:t>
      </w:r>
      <w:r w:rsidRPr="00CB2EB0">
        <w:rPr>
          <w:rFonts w:ascii="Cambria" w:hAnsi="Cambria"/>
        </w:rPr>
        <w:t> </w:t>
      </w:r>
      <w:r w:rsidRPr="00CB2EB0">
        <w:t>december 2019.</w:t>
      </w:r>
    </w:p>
    <w:p w14:paraId="050EFF86" w14:textId="739EEAC7" w:rsidR="002D78F9" w:rsidRPr="00CB2EB0" w:rsidRDefault="002D38F4" w:rsidP="00897BD6">
      <w:pPr>
        <w:pStyle w:val="FigurFotnot"/>
      </w:pPr>
      <w:r w:rsidRPr="00CB2EB0">
        <w:t>Källa: Riksgäldskontoret</w:t>
      </w:r>
      <w:r w:rsidR="00C15CD7" w:rsidRPr="00CB2EB0">
        <w:t>.</w:t>
      </w:r>
    </w:p>
    <w:p w14:paraId="2B6D5F0E" w14:textId="77777777" w:rsidR="002D78F9" w:rsidRPr="00CB2EB0" w:rsidRDefault="002D78F9" w:rsidP="00E22AC9">
      <w:pPr>
        <w:pStyle w:val="Brdtext"/>
      </w:pPr>
    </w:p>
    <w:p w14:paraId="3BA2214D" w14:textId="5B564040" w:rsidR="002D78F9" w:rsidRPr="00CB2EB0" w:rsidRDefault="002D78F9" w:rsidP="00C50F9A">
      <w:pPr>
        <w:pStyle w:val="Brdtext"/>
      </w:pPr>
      <w:r w:rsidRPr="00CB2EB0">
        <w:t>Sett över hela jämförelseperioden har beslutet att pausa avvecklingen enligt Riksgäldskontorets analys hittills inneburit en merkostnad på 4,4</w:t>
      </w:r>
      <w:r w:rsidR="00770D39" w:rsidRPr="00CB2EB0">
        <w:t> </w:t>
      </w:r>
      <w:r w:rsidRPr="00CB2EB0">
        <w:t>miljarder kronor jämfört med alternativscenariot, se</w:t>
      </w:r>
      <w:r w:rsidR="00E10804" w:rsidRPr="00CB2EB0">
        <w:t xml:space="preserve"> </w:t>
      </w:r>
      <w:r w:rsidR="00E10804" w:rsidRPr="00CB2EB0">
        <w:fldChar w:fldCharType="begin"/>
      </w:r>
      <w:r w:rsidR="00E10804" w:rsidRPr="00CB2EB0">
        <w:instrText xml:space="preserve"> REF  _Ref222418375 \* Lower \h  \* MERGEFORMAT </w:instrText>
      </w:r>
      <w:r w:rsidR="00E10804" w:rsidRPr="00CB2EB0">
        <w:fldChar w:fldCharType="separate"/>
      </w:r>
      <w:r w:rsidR="001959AC" w:rsidRPr="00CB2EB0">
        <w:t xml:space="preserve">tabell </w:t>
      </w:r>
      <w:r w:rsidR="001959AC">
        <w:rPr>
          <w:noProof/>
        </w:rPr>
        <w:t>5</w:t>
      </w:r>
      <w:r w:rsidR="001959AC" w:rsidRPr="00CB2EB0">
        <w:t>.</w:t>
      </w:r>
      <w:r w:rsidR="001959AC">
        <w:rPr>
          <w:noProof/>
        </w:rPr>
        <w:t>3</w:t>
      </w:r>
      <w:r w:rsidR="00E10804" w:rsidRPr="00CB2EB0">
        <w:fldChar w:fldCharType="end"/>
      </w:r>
      <w:r w:rsidRPr="00CB2EB0">
        <w:t>. Under 2025 minskade merkostnaden tydligt eftersom kronan stärktes mot euron och schweizerfrancen. Den slutliga effekten av beslutet går att fastställa först när den strategiska valutaexponeringen är helt avvecklad. Om kronan stärks framöver minskar merkostnaden,</w:t>
      </w:r>
      <w:r w:rsidR="001B4FB9" w:rsidRPr="00CB2EB0">
        <w:t xml:space="preserve"> och vice versa</w:t>
      </w:r>
      <w:r w:rsidRPr="00CB2EB0">
        <w:t>.</w:t>
      </w:r>
    </w:p>
    <w:p w14:paraId="55E44C6E" w14:textId="039C0696" w:rsidR="002D78F9" w:rsidRPr="00CB2EB0" w:rsidRDefault="002D78F9" w:rsidP="002D78F9">
      <w:pPr>
        <w:pStyle w:val="TabellRubrik"/>
      </w:pPr>
      <w:bookmarkStart w:id="60" w:name="_Ref222418375"/>
      <w:r w:rsidRPr="00CB2EB0">
        <w:lastRenderedPageBreak/>
        <w:t xml:space="preserve">Tabell </w:t>
      </w:r>
      <w:r w:rsidRPr="00CB2EB0">
        <w:fldChar w:fldCharType="begin"/>
      </w:r>
      <w:r w:rsidRPr="00CB2EB0">
        <w:instrText xml:space="preserve"> STYLEREF 1 \s </w:instrText>
      </w:r>
      <w:r w:rsidRPr="00CB2EB0">
        <w:fldChar w:fldCharType="separate"/>
      </w:r>
      <w:r w:rsidR="001959AC">
        <w:rPr>
          <w:noProof/>
        </w:rPr>
        <w:t>5</w:t>
      </w:r>
      <w:r w:rsidRPr="00CB2EB0">
        <w:rPr>
          <w:noProof/>
        </w:rPr>
        <w:fldChar w:fldCharType="end"/>
      </w:r>
      <w:r w:rsidRPr="00CB2EB0">
        <w:t>.</w:t>
      </w:r>
      <w:fldSimple w:instr=" SEQ Tabell \* Arabic \s 1  \* MERGEFORMAT ">
        <w:r w:rsidR="001959AC">
          <w:rPr>
            <w:noProof/>
          </w:rPr>
          <w:t>3</w:t>
        </w:r>
      </w:fldSimple>
      <w:bookmarkEnd w:id="60"/>
      <w:r w:rsidRPr="00CB2EB0">
        <w:tab/>
        <w:t>Kostnadsskillnad mellan faktisk valutaexponering och alternativscenario</w:t>
      </w:r>
    </w:p>
    <w:p w14:paraId="3255006A" w14:textId="77777777" w:rsidR="002D78F9" w:rsidRPr="00CB2EB0" w:rsidRDefault="002D78F9" w:rsidP="002D78F9">
      <w:pPr>
        <w:pStyle w:val="TabellUnderrubrik"/>
      </w:pPr>
      <w:r w:rsidRPr="00CB2EB0">
        <w:t>Miljarder kronor</w:t>
      </w:r>
    </w:p>
    <w:tbl>
      <w:tblPr>
        <w:tblW w:w="5000" w:type="pct"/>
        <w:tblCellMar>
          <w:left w:w="0" w:type="dxa"/>
        </w:tblCellMar>
        <w:tblLook w:val="06A0" w:firstRow="1" w:lastRow="0" w:firstColumn="1" w:lastColumn="0" w:noHBand="1" w:noVBand="1"/>
      </w:tblPr>
      <w:tblGrid>
        <w:gridCol w:w="1252"/>
        <w:gridCol w:w="580"/>
        <w:gridCol w:w="581"/>
        <w:gridCol w:w="581"/>
        <w:gridCol w:w="581"/>
        <w:gridCol w:w="581"/>
        <w:gridCol w:w="581"/>
        <w:gridCol w:w="581"/>
        <w:gridCol w:w="579"/>
      </w:tblGrid>
      <w:tr w:rsidR="00DF7D1D" w14:paraId="3640087D" w14:textId="77777777">
        <w:trPr>
          <w:tblHeader/>
        </w:trPr>
        <w:tc>
          <w:tcPr>
            <w:tcW w:w="555" w:type="pct"/>
            <w:tcBorders>
              <w:top w:val="single" w:sz="8" w:space="0" w:color="auto"/>
              <w:bottom w:val="single" w:sz="6" w:space="0" w:color="auto"/>
            </w:tcBorders>
            <w:shd w:val="clear" w:color="auto" w:fill="auto"/>
          </w:tcPr>
          <w:p w14:paraId="01FD9DEE" w14:textId="77777777" w:rsidR="002D78F9" w:rsidRPr="00CB2EB0" w:rsidRDefault="002D78F9" w:rsidP="006B55FB">
            <w:pPr>
              <w:pStyle w:val="TabellHuvud"/>
              <w:jc w:val="left"/>
            </w:pPr>
            <w:r w:rsidRPr="00CB2EB0">
              <w:t>År</w:t>
            </w:r>
          </w:p>
        </w:tc>
        <w:tc>
          <w:tcPr>
            <w:tcW w:w="555" w:type="pct"/>
            <w:tcBorders>
              <w:top w:val="single" w:sz="8" w:space="0" w:color="auto"/>
              <w:bottom w:val="single" w:sz="6" w:space="0" w:color="auto"/>
            </w:tcBorders>
            <w:shd w:val="clear" w:color="auto" w:fill="auto"/>
          </w:tcPr>
          <w:p w14:paraId="79A06882" w14:textId="77777777" w:rsidR="002D78F9" w:rsidRPr="00CB2EB0" w:rsidRDefault="002D78F9" w:rsidP="006B55FB">
            <w:pPr>
              <w:pStyle w:val="TabellHuvud"/>
            </w:pPr>
            <w:r w:rsidRPr="00CB2EB0">
              <w:t>2019</w:t>
            </w:r>
          </w:p>
        </w:tc>
        <w:tc>
          <w:tcPr>
            <w:tcW w:w="556" w:type="pct"/>
            <w:tcBorders>
              <w:top w:val="single" w:sz="8" w:space="0" w:color="auto"/>
              <w:bottom w:val="single" w:sz="6" w:space="0" w:color="auto"/>
            </w:tcBorders>
            <w:shd w:val="clear" w:color="auto" w:fill="auto"/>
          </w:tcPr>
          <w:p w14:paraId="19D63426" w14:textId="77777777" w:rsidR="002D78F9" w:rsidRPr="00CB2EB0" w:rsidRDefault="002D78F9" w:rsidP="006B55FB">
            <w:pPr>
              <w:pStyle w:val="TabellHuvud"/>
            </w:pPr>
            <w:r w:rsidRPr="00CB2EB0">
              <w:t>2020</w:t>
            </w:r>
          </w:p>
        </w:tc>
        <w:tc>
          <w:tcPr>
            <w:tcW w:w="556" w:type="pct"/>
            <w:tcBorders>
              <w:top w:val="single" w:sz="8" w:space="0" w:color="auto"/>
              <w:bottom w:val="single" w:sz="6" w:space="0" w:color="auto"/>
            </w:tcBorders>
            <w:shd w:val="clear" w:color="auto" w:fill="auto"/>
          </w:tcPr>
          <w:p w14:paraId="499B5605" w14:textId="77777777" w:rsidR="002D78F9" w:rsidRPr="00CB2EB0" w:rsidRDefault="002D78F9" w:rsidP="006B55FB">
            <w:pPr>
              <w:pStyle w:val="TabellHuvud"/>
            </w:pPr>
            <w:r w:rsidRPr="00CB2EB0">
              <w:t>2021</w:t>
            </w:r>
          </w:p>
        </w:tc>
        <w:tc>
          <w:tcPr>
            <w:tcW w:w="556" w:type="pct"/>
            <w:tcBorders>
              <w:top w:val="single" w:sz="8" w:space="0" w:color="auto"/>
              <w:bottom w:val="single" w:sz="6" w:space="0" w:color="auto"/>
            </w:tcBorders>
            <w:shd w:val="clear" w:color="auto" w:fill="auto"/>
          </w:tcPr>
          <w:p w14:paraId="673FCAD7" w14:textId="77777777" w:rsidR="002D78F9" w:rsidRPr="00CB2EB0" w:rsidRDefault="002D78F9" w:rsidP="006B55FB">
            <w:pPr>
              <w:pStyle w:val="TabellHuvud"/>
            </w:pPr>
            <w:r w:rsidRPr="00CB2EB0">
              <w:t>2022</w:t>
            </w:r>
          </w:p>
        </w:tc>
        <w:tc>
          <w:tcPr>
            <w:tcW w:w="556" w:type="pct"/>
            <w:tcBorders>
              <w:top w:val="single" w:sz="8" w:space="0" w:color="auto"/>
              <w:bottom w:val="single" w:sz="6" w:space="0" w:color="auto"/>
            </w:tcBorders>
            <w:shd w:val="clear" w:color="auto" w:fill="auto"/>
          </w:tcPr>
          <w:p w14:paraId="15558FD2" w14:textId="77777777" w:rsidR="002D78F9" w:rsidRPr="00CB2EB0" w:rsidRDefault="002D78F9" w:rsidP="006B55FB">
            <w:pPr>
              <w:pStyle w:val="TabellHuvud"/>
            </w:pPr>
            <w:r w:rsidRPr="00CB2EB0">
              <w:t>2023</w:t>
            </w:r>
          </w:p>
        </w:tc>
        <w:tc>
          <w:tcPr>
            <w:tcW w:w="556" w:type="pct"/>
            <w:tcBorders>
              <w:top w:val="single" w:sz="8" w:space="0" w:color="auto"/>
              <w:bottom w:val="single" w:sz="6" w:space="0" w:color="auto"/>
            </w:tcBorders>
            <w:shd w:val="clear" w:color="auto" w:fill="auto"/>
          </w:tcPr>
          <w:p w14:paraId="0E7B2C7B" w14:textId="77777777" w:rsidR="002D78F9" w:rsidRPr="00CB2EB0" w:rsidRDefault="002D78F9" w:rsidP="006B55FB">
            <w:pPr>
              <w:pStyle w:val="TabellHuvud"/>
            </w:pPr>
            <w:r w:rsidRPr="00CB2EB0">
              <w:t>2024</w:t>
            </w:r>
          </w:p>
        </w:tc>
        <w:tc>
          <w:tcPr>
            <w:tcW w:w="556" w:type="pct"/>
            <w:tcBorders>
              <w:top w:val="single" w:sz="8" w:space="0" w:color="auto"/>
              <w:bottom w:val="single" w:sz="6" w:space="0" w:color="auto"/>
            </w:tcBorders>
            <w:shd w:val="clear" w:color="auto" w:fill="auto"/>
          </w:tcPr>
          <w:p w14:paraId="26661F36" w14:textId="77777777" w:rsidR="002D78F9" w:rsidRPr="00CB2EB0" w:rsidRDefault="002D78F9" w:rsidP="006B55FB">
            <w:pPr>
              <w:pStyle w:val="TabellHuvud"/>
            </w:pPr>
            <w:r w:rsidRPr="00CB2EB0">
              <w:t>2025</w:t>
            </w:r>
          </w:p>
        </w:tc>
        <w:tc>
          <w:tcPr>
            <w:tcW w:w="555" w:type="pct"/>
            <w:tcBorders>
              <w:top w:val="single" w:sz="8" w:space="0" w:color="auto"/>
              <w:bottom w:val="single" w:sz="6" w:space="0" w:color="auto"/>
            </w:tcBorders>
            <w:shd w:val="clear" w:color="auto" w:fill="auto"/>
          </w:tcPr>
          <w:p w14:paraId="36C81AC2" w14:textId="77777777" w:rsidR="002D78F9" w:rsidRPr="00CB2EB0" w:rsidRDefault="002D78F9" w:rsidP="006B55FB">
            <w:pPr>
              <w:pStyle w:val="TabellHuvud"/>
            </w:pPr>
            <w:r w:rsidRPr="00CB2EB0">
              <w:t>Total</w:t>
            </w:r>
          </w:p>
        </w:tc>
      </w:tr>
      <w:tr w:rsidR="00DF7D1D" w14:paraId="51928544" w14:textId="77777777">
        <w:tc>
          <w:tcPr>
            <w:tcW w:w="555" w:type="pct"/>
            <w:tcBorders>
              <w:bottom w:val="single" w:sz="8" w:space="0" w:color="auto"/>
            </w:tcBorders>
            <w:shd w:val="clear" w:color="auto" w:fill="auto"/>
          </w:tcPr>
          <w:p w14:paraId="53B33D3D" w14:textId="77777777" w:rsidR="002D78F9" w:rsidRPr="00CB2EB0" w:rsidRDefault="002D78F9" w:rsidP="006B55FB">
            <w:pPr>
              <w:pStyle w:val="TabellSlutsumma"/>
              <w:jc w:val="left"/>
              <w:rPr>
                <w:b w:val="0"/>
                <w:bCs/>
              </w:rPr>
            </w:pPr>
            <w:r w:rsidRPr="00CB2EB0">
              <w:rPr>
                <w:b w:val="0"/>
                <w:bCs/>
              </w:rPr>
              <w:t>Kostnadsskillnad</w:t>
            </w:r>
          </w:p>
        </w:tc>
        <w:tc>
          <w:tcPr>
            <w:tcW w:w="555" w:type="pct"/>
            <w:tcBorders>
              <w:bottom w:val="single" w:sz="8" w:space="0" w:color="auto"/>
            </w:tcBorders>
            <w:shd w:val="clear" w:color="auto" w:fill="auto"/>
          </w:tcPr>
          <w:p w14:paraId="1E413457" w14:textId="77777777" w:rsidR="002D78F9" w:rsidRPr="00CB2EB0" w:rsidRDefault="002D78F9" w:rsidP="006B55FB">
            <w:pPr>
              <w:pStyle w:val="TabellSlutsumma"/>
              <w:rPr>
                <w:b w:val="0"/>
                <w:bCs/>
              </w:rPr>
            </w:pPr>
            <w:r w:rsidRPr="00CB2EB0">
              <w:rPr>
                <w:b w:val="0"/>
                <w:bCs/>
              </w:rPr>
              <w:t>0,0</w:t>
            </w:r>
          </w:p>
        </w:tc>
        <w:tc>
          <w:tcPr>
            <w:tcW w:w="556" w:type="pct"/>
            <w:tcBorders>
              <w:bottom w:val="single" w:sz="8" w:space="0" w:color="auto"/>
            </w:tcBorders>
            <w:shd w:val="clear" w:color="auto" w:fill="auto"/>
          </w:tcPr>
          <w:p w14:paraId="4681A5A7" w14:textId="77777777" w:rsidR="002D78F9" w:rsidRPr="00CB2EB0" w:rsidRDefault="002D78F9" w:rsidP="006B55FB">
            <w:pPr>
              <w:pStyle w:val="TabellSlutsumma"/>
              <w:rPr>
                <w:b w:val="0"/>
                <w:bCs/>
              </w:rPr>
            </w:pPr>
            <w:r w:rsidRPr="00CB2EB0">
              <w:rPr>
                <w:b w:val="0"/>
                <w:bCs/>
              </w:rPr>
              <w:t>-1,1</w:t>
            </w:r>
          </w:p>
        </w:tc>
        <w:tc>
          <w:tcPr>
            <w:tcW w:w="556" w:type="pct"/>
            <w:tcBorders>
              <w:bottom w:val="single" w:sz="8" w:space="0" w:color="auto"/>
            </w:tcBorders>
            <w:shd w:val="clear" w:color="auto" w:fill="auto"/>
          </w:tcPr>
          <w:p w14:paraId="76BCCC69" w14:textId="77777777" w:rsidR="002D78F9" w:rsidRPr="00CB2EB0" w:rsidRDefault="002D78F9" w:rsidP="006B55FB">
            <w:pPr>
              <w:pStyle w:val="TabellSlutsumma"/>
              <w:rPr>
                <w:b w:val="0"/>
                <w:bCs/>
              </w:rPr>
            </w:pPr>
            <w:r w:rsidRPr="00CB2EB0">
              <w:rPr>
                <w:b w:val="0"/>
                <w:bCs/>
              </w:rPr>
              <w:t>1,1</w:t>
            </w:r>
          </w:p>
        </w:tc>
        <w:tc>
          <w:tcPr>
            <w:tcW w:w="556" w:type="pct"/>
            <w:tcBorders>
              <w:bottom w:val="single" w:sz="8" w:space="0" w:color="auto"/>
            </w:tcBorders>
            <w:shd w:val="clear" w:color="auto" w:fill="auto"/>
          </w:tcPr>
          <w:p w14:paraId="43FAC2B1" w14:textId="77777777" w:rsidR="002D78F9" w:rsidRPr="00CB2EB0" w:rsidRDefault="002D78F9" w:rsidP="006B55FB">
            <w:pPr>
              <w:pStyle w:val="TabellSlutsumma"/>
              <w:rPr>
                <w:b w:val="0"/>
                <w:bCs/>
              </w:rPr>
            </w:pPr>
            <w:r w:rsidRPr="00CB2EB0">
              <w:rPr>
                <w:b w:val="0"/>
                <w:bCs/>
              </w:rPr>
              <w:t>4,9</w:t>
            </w:r>
          </w:p>
        </w:tc>
        <w:tc>
          <w:tcPr>
            <w:tcW w:w="556" w:type="pct"/>
            <w:tcBorders>
              <w:bottom w:val="single" w:sz="8" w:space="0" w:color="auto"/>
            </w:tcBorders>
            <w:shd w:val="clear" w:color="auto" w:fill="auto"/>
          </w:tcPr>
          <w:p w14:paraId="060BE588" w14:textId="77777777" w:rsidR="002D78F9" w:rsidRPr="00CB2EB0" w:rsidRDefault="002D78F9" w:rsidP="006B55FB">
            <w:pPr>
              <w:pStyle w:val="TabellSlutsumma"/>
              <w:rPr>
                <w:b w:val="0"/>
                <w:bCs/>
              </w:rPr>
            </w:pPr>
            <w:r w:rsidRPr="00CB2EB0">
              <w:rPr>
                <w:b w:val="0"/>
                <w:bCs/>
              </w:rPr>
              <w:t>1,0</w:t>
            </w:r>
          </w:p>
        </w:tc>
        <w:tc>
          <w:tcPr>
            <w:tcW w:w="556" w:type="pct"/>
            <w:tcBorders>
              <w:bottom w:val="single" w:sz="8" w:space="0" w:color="auto"/>
            </w:tcBorders>
            <w:shd w:val="clear" w:color="auto" w:fill="auto"/>
          </w:tcPr>
          <w:p w14:paraId="11715518" w14:textId="77777777" w:rsidR="002D78F9" w:rsidRPr="00CB2EB0" w:rsidRDefault="002D78F9" w:rsidP="006B55FB">
            <w:pPr>
              <w:pStyle w:val="TabellSlutsumma"/>
              <w:rPr>
                <w:b w:val="0"/>
                <w:bCs/>
              </w:rPr>
            </w:pPr>
            <w:r w:rsidRPr="00CB2EB0">
              <w:rPr>
                <w:b w:val="0"/>
                <w:bCs/>
              </w:rPr>
              <w:t>1,1</w:t>
            </w:r>
          </w:p>
        </w:tc>
        <w:tc>
          <w:tcPr>
            <w:tcW w:w="556" w:type="pct"/>
            <w:tcBorders>
              <w:bottom w:val="single" w:sz="8" w:space="0" w:color="auto"/>
            </w:tcBorders>
            <w:shd w:val="clear" w:color="auto" w:fill="auto"/>
          </w:tcPr>
          <w:p w14:paraId="43DA4685" w14:textId="77777777" w:rsidR="002D78F9" w:rsidRPr="00CB2EB0" w:rsidRDefault="002D78F9" w:rsidP="006B55FB">
            <w:pPr>
              <w:pStyle w:val="TabellSlutsumma"/>
              <w:rPr>
                <w:b w:val="0"/>
                <w:bCs/>
              </w:rPr>
            </w:pPr>
            <w:r w:rsidRPr="00CB2EB0">
              <w:rPr>
                <w:b w:val="0"/>
                <w:bCs/>
              </w:rPr>
              <w:t>-2,7</w:t>
            </w:r>
          </w:p>
        </w:tc>
        <w:tc>
          <w:tcPr>
            <w:tcW w:w="555" w:type="pct"/>
            <w:tcBorders>
              <w:bottom w:val="single" w:sz="8" w:space="0" w:color="auto"/>
            </w:tcBorders>
            <w:shd w:val="clear" w:color="auto" w:fill="auto"/>
          </w:tcPr>
          <w:p w14:paraId="27D03D20" w14:textId="77777777" w:rsidR="002D78F9" w:rsidRPr="00CB2EB0" w:rsidRDefault="002D78F9" w:rsidP="006B55FB">
            <w:pPr>
              <w:pStyle w:val="TabellSlutsumma"/>
              <w:rPr>
                <w:b w:val="0"/>
                <w:bCs/>
              </w:rPr>
            </w:pPr>
            <w:r w:rsidRPr="00CB2EB0">
              <w:rPr>
                <w:b w:val="0"/>
                <w:bCs/>
              </w:rPr>
              <w:t>4,4</w:t>
            </w:r>
          </w:p>
        </w:tc>
      </w:tr>
    </w:tbl>
    <w:p w14:paraId="68C487CA" w14:textId="05A8DFF9" w:rsidR="00B850DC" w:rsidRPr="00CB2EB0" w:rsidRDefault="00B850DC" w:rsidP="002D78F9">
      <w:pPr>
        <w:pStyle w:val="TabellFotnot"/>
      </w:pPr>
      <w:r w:rsidRPr="00CB2EB0">
        <w:t xml:space="preserve">Anm. Skillnaden mellan kostnaden för det faktiska utfallet och </w:t>
      </w:r>
      <w:r w:rsidR="0026238E" w:rsidRPr="00CB2EB0">
        <w:t>Riksgäldskontorets</w:t>
      </w:r>
      <w:r w:rsidRPr="00CB2EB0">
        <w:t xml:space="preserve"> alternativscenario där valutaexponeringen fortsatt minska med 20 miljarder kronor per år från 2020. Beräkningen börjar den 2</w:t>
      </w:r>
      <w:r w:rsidR="00593B6E" w:rsidRPr="00CB2EB0">
        <w:rPr>
          <w:rFonts w:ascii="Cambria" w:hAnsi="Cambria"/>
        </w:rPr>
        <w:t> </w:t>
      </w:r>
      <w:r w:rsidRPr="00CB2EB0">
        <w:t>december 2019 då Riksgäld</w:t>
      </w:r>
      <w:r w:rsidR="00687474" w:rsidRPr="00CB2EB0">
        <w:t>skontoret</w:t>
      </w:r>
      <w:r w:rsidRPr="00CB2EB0">
        <w:t xml:space="preserve"> beslutade att avbryta minskningen. Minskningen i de enskilda valutorna baseras på den initialt beslutade planen för 2019 och därefter på en pro rata-minskning i förhållande till utestående exponering i respektive valuta.</w:t>
      </w:r>
    </w:p>
    <w:p w14:paraId="0FB7121D" w14:textId="18D9460C" w:rsidR="002D78F9" w:rsidRPr="00CB2EB0" w:rsidRDefault="002D78F9" w:rsidP="002D78F9">
      <w:pPr>
        <w:pStyle w:val="TabellFotnot"/>
      </w:pPr>
      <w:r w:rsidRPr="00CB2EB0">
        <w:t>Källa: Riksgäldskontoret</w:t>
      </w:r>
      <w:r w:rsidR="00C15CD7" w:rsidRPr="00CB2EB0">
        <w:t>.</w:t>
      </w:r>
    </w:p>
    <w:p w14:paraId="504B93DE" w14:textId="77777777" w:rsidR="00AE46FE" w:rsidRPr="00CB2EB0" w:rsidRDefault="00AE46FE" w:rsidP="00AE46FE">
      <w:pPr>
        <w:pStyle w:val="Brdtext"/>
      </w:pPr>
    </w:p>
    <w:p w14:paraId="0899C459" w14:textId="0C4D6F1F" w:rsidR="009F09EC" w:rsidRPr="00CB2EB0" w:rsidRDefault="009F09EC" w:rsidP="00B850DC">
      <w:pPr>
        <w:pStyle w:val="Brdtext"/>
      </w:pPr>
      <w:r w:rsidRPr="00CB2EB0">
        <w:t xml:space="preserve">Riksgäldskontoret minskar exponeringen gradvis genom att köpa </w:t>
      </w:r>
      <w:r w:rsidR="00AE50B0" w:rsidRPr="00CB2EB0">
        <w:t>utländsk valuta</w:t>
      </w:r>
      <w:r w:rsidRPr="00CB2EB0">
        <w:t xml:space="preserve"> i en jämn takt, men kan göra vissa avsteg enligt riktlinjerna. Avvikelserna handla</w:t>
      </w:r>
      <w:r w:rsidR="00AD28D6" w:rsidRPr="00CB2EB0">
        <w:t>r</w:t>
      </w:r>
      <w:r w:rsidRPr="00CB2EB0">
        <w:t xml:space="preserve"> i huvudsak om att dra ner på avvecklingstakten i perioder då kronan bedöms vara svag, för att sedan öka takten då kronan </w:t>
      </w:r>
      <w:r w:rsidR="006935BC">
        <w:t>är</w:t>
      </w:r>
      <w:r w:rsidRPr="00CB2EB0">
        <w:t xml:space="preserve"> starkare. Avstegen innebar en besparing på 5</w:t>
      </w:r>
      <w:r w:rsidR="000240BB" w:rsidRPr="00CB2EB0">
        <w:t> </w:t>
      </w:r>
      <w:r w:rsidRPr="00CB2EB0">
        <w:t>miljoner kronor under 2025. Totalt sedan avvecklingen återstartade har avstegen gett en besparing på 21</w:t>
      </w:r>
      <w:r w:rsidR="004508F9" w:rsidRPr="00CB2EB0">
        <w:t> </w:t>
      </w:r>
      <w:r w:rsidRPr="00CB2EB0">
        <w:t>miljoner kronor.</w:t>
      </w:r>
      <w:r w:rsidR="00B850DC" w:rsidRPr="00CB2EB0">
        <w:t xml:space="preserve"> </w:t>
      </w:r>
    </w:p>
    <w:p w14:paraId="4F393F7D" w14:textId="14C5CFEC" w:rsidR="00A92F87" w:rsidRPr="00CB2EB0" w:rsidRDefault="00651A30" w:rsidP="006F7533">
      <w:pPr>
        <w:pStyle w:val="Brdtextmedindrag"/>
      </w:pPr>
      <w:r w:rsidRPr="00CB2EB0">
        <w:t>Statskontoret bedömer att flexibiliteten i avvecklingstakten för den strategiska valutaexponeringen har varit till fördel för staten. De kostnads</w:t>
      </w:r>
      <w:r w:rsidR="006935BC">
        <w:softHyphen/>
      </w:r>
      <w:r w:rsidRPr="00CB2EB0">
        <w:t>besparingar som har gjorts är resultatet av ett stort antal beslut om avvikelser</w:t>
      </w:r>
      <w:r w:rsidR="003E2632" w:rsidRPr="00CB2EB0">
        <w:t xml:space="preserve"> och d</w:t>
      </w:r>
      <w:r w:rsidRPr="00CB2EB0">
        <w:t xml:space="preserve">essa avvikelser </w:t>
      </w:r>
      <w:r w:rsidR="009B27B1" w:rsidRPr="00CB2EB0">
        <w:t xml:space="preserve">tenderar </w:t>
      </w:r>
      <w:r w:rsidRPr="00CB2EB0">
        <w:t>i genomsnitt innebär</w:t>
      </w:r>
      <w:r w:rsidR="00774391" w:rsidRPr="00CB2EB0">
        <w:t>a</w:t>
      </w:r>
      <w:r w:rsidRPr="00CB2EB0">
        <w:t xml:space="preserve"> en kostnadsbesparing. Det </w:t>
      </w:r>
      <w:r w:rsidR="00132DC5" w:rsidRPr="00CB2EB0">
        <w:t>indikerar</w:t>
      </w:r>
      <w:r w:rsidRPr="00CB2EB0">
        <w:t xml:space="preserve"> </w:t>
      </w:r>
      <w:r w:rsidR="008313D1" w:rsidRPr="00CB2EB0">
        <w:t xml:space="preserve">enligt Statskontoret </w:t>
      </w:r>
      <w:r w:rsidRPr="00CB2EB0">
        <w:t xml:space="preserve">att Riksgäldskontoret har kompetens att välja tillfällen för avvikelser som i genomsnitt </w:t>
      </w:r>
      <w:r w:rsidR="0043529B" w:rsidRPr="00CB2EB0">
        <w:t xml:space="preserve">medför </w:t>
      </w:r>
      <w:r w:rsidRPr="00CB2EB0">
        <w:t>kostnadsbespar</w:t>
      </w:r>
      <w:r w:rsidR="00F01EB9" w:rsidRPr="00CB2EB0">
        <w:t>ingar</w:t>
      </w:r>
      <w:r w:rsidRPr="00CB2EB0">
        <w:t>.</w:t>
      </w:r>
    </w:p>
    <w:p w14:paraId="71BD79D1" w14:textId="182DEFA1" w:rsidR="00A92F87" w:rsidRPr="00CB2EB0" w:rsidRDefault="00A92F87" w:rsidP="00FC17EB">
      <w:pPr>
        <w:pStyle w:val="Rubrik5efterram"/>
        <w:outlineLvl w:val="3"/>
      </w:pPr>
      <w:r w:rsidRPr="00CB2EB0">
        <w:t>Ränteswappar</w:t>
      </w:r>
    </w:p>
    <w:p w14:paraId="7BFE3358" w14:textId="69E14FFE" w:rsidR="006D1FC5" w:rsidRPr="00CB2EB0" w:rsidRDefault="00A92F87" w:rsidP="009F0CA5">
      <w:pPr>
        <w:pStyle w:val="Brdtext"/>
      </w:pPr>
      <w:r w:rsidRPr="00CB2EB0">
        <w:t xml:space="preserve">Riksgäldskontoret använder ränteswappar för att justera den nominella kronskuldens löptid utan att påverka den underliggande finansieringen i statspapper. Eftersom behovet att förkorta löptiden för skulden har minskat så har användningen av ränteswappar som förkortar löptiden minskat. </w:t>
      </w:r>
      <w:r w:rsidR="00DF30BA" w:rsidRPr="00CB2EB0">
        <w:t>Swappvolymen på 2</w:t>
      </w:r>
      <w:r w:rsidR="00E2684B" w:rsidRPr="00CB2EB0">
        <w:t> </w:t>
      </w:r>
      <w:r w:rsidR="00DF30BA" w:rsidRPr="00CB2EB0">
        <w:t>miljarder kronor 2025 hade i stort sett ingen påverkan på löptiden.</w:t>
      </w:r>
      <w:r w:rsidR="00440999" w:rsidRPr="00CB2EB0">
        <w:t xml:space="preserve"> </w:t>
      </w:r>
      <w:r w:rsidRPr="00CB2EB0">
        <w:t>Volymen av nya ränteswappar har de senaste åren främst syftat till att säk</w:t>
      </w:r>
      <w:r w:rsidR="007F13E0" w:rsidRPr="00CB2EB0">
        <w:t>erställa</w:t>
      </w:r>
      <w:r w:rsidRPr="00CB2EB0">
        <w:t xml:space="preserve"> beredskap för framtida användning av ränteswappar i förvaltningen. Sammantaget gav användningen av ränteswappar upphov till lägre kostnader för statsskulden under utvärderingsperioden. </w:t>
      </w:r>
      <w:r w:rsidR="00DF30BA" w:rsidRPr="00CB2EB0">
        <w:t>Resultatet för 2025 var en kostnadsbesparing på knappt 67</w:t>
      </w:r>
      <w:r w:rsidR="00E2684B" w:rsidRPr="00CB2EB0">
        <w:t> </w:t>
      </w:r>
      <w:r w:rsidR="00DF30BA" w:rsidRPr="00CB2EB0">
        <w:t>miljoner kronor, jämfört med 103</w:t>
      </w:r>
      <w:r w:rsidR="00E2684B" w:rsidRPr="00CB2EB0">
        <w:t> </w:t>
      </w:r>
      <w:r w:rsidR="00DF30BA" w:rsidRPr="00CB2EB0">
        <w:t>miljoner kronor för 2024</w:t>
      </w:r>
      <w:r w:rsidRPr="00CB2EB0">
        <w:t>.</w:t>
      </w:r>
    </w:p>
    <w:p w14:paraId="70031962" w14:textId="4D4F110C" w:rsidR="006D1FC5" w:rsidRPr="00CB2EB0" w:rsidRDefault="006D1FC5" w:rsidP="00FC17EB">
      <w:pPr>
        <w:pStyle w:val="Rubrik5efterram"/>
        <w:outlineLvl w:val="3"/>
      </w:pPr>
      <w:r w:rsidRPr="00CB2EB0">
        <w:t>Positionstagande</w:t>
      </w:r>
    </w:p>
    <w:p w14:paraId="065C1226" w14:textId="53C1FBC8" w:rsidR="006D1FC5" w:rsidRPr="00CB2EB0" w:rsidRDefault="006D1FC5" w:rsidP="006D1FC5">
      <w:pPr>
        <w:pStyle w:val="Brdtext"/>
      </w:pPr>
      <w:r w:rsidRPr="00CB2EB0">
        <w:t>Riksgäldskontoret får ta positioner i utländsk valuta och kronans valutakurs i syfte att sänka kostnaderna eller riskerna för statsskulden. Enligt riktlinjerna ska utvärderingen av positioner inom givet positions</w:t>
      </w:r>
      <w:r w:rsidR="00FD584D">
        <w:softHyphen/>
      </w:r>
      <w:r w:rsidRPr="00CB2EB0">
        <w:t>mandat ske i termer av marknadsvärden. Positionstagningen utvärderas i femårsperioder, och under utvärderingsperioden 20</w:t>
      </w:r>
      <w:r w:rsidR="0030052D" w:rsidRPr="00CB2EB0">
        <w:t>21</w:t>
      </w:r>
      <w:r w:rsidRPr="00CB2EB0">
        <w:t>–202</w:t>
      </w:r>
      <w:r w:rsidR="0030052D" w:rsidRPr="00CB2EB0">
        <w:t>5</w:t>
      </w:r>
      <w:r w:rsidRPr="00CB2EB0">
        <w:t xml:space="preserve"> </w:t>
      </w:r>
      <w:r w:rsidR="0030052D" w:rsidRPr="00CB2EB0">
        <w:t>var det genomsnittliga resultatet för den löpande positionstagningen 25</w:t>
      </w:r>
      <w:r w:rsidR="0004689E" w:rsidRPr="00CB2EB0">
        <w:t> </w:t>
      </w:r>
      <w:r w:rsidR="0030052D" w:rsidRPr="00CB2EB0">
        <w:t xml:space="preserve">miljoner kronor per år </w:t>
      </w:r>
      <w:r w:rsidRPr="00CB2EB0">
        <w:t xml:space="preserve">(se avsnitt </w:t>
      </w:r>
      <w:r w:rsidR="0030052D" w:rsidRPr="00CB2EB0">
        <w:fldChar w:fldCharType="begin"/>
      </w:r>
      <w:r w:rsidR="0030052D" w:rsidRPr="00CB2EB0">
        <w:instrText xml:space="preserve"> REF _Ref222902643 \r \h  \* MERGEFORMAT </w:instrText>
      </w:r>
      <w:r w:rsidR="0030052D" w:rsidRPr="00CB2EB0">
        <w:fldChar w:fldCharType="separate"/>
      </w:r>
      <w:r w:rsidR="001959AC">
        <w:t>4.5</w:t>
      </w:r>
      <w:r w:rsidR="0030052D" w:rsidRPr="00CB2EB0">
        <w:fldChar w:fldCharType="end"/>
      </w:r>
      <w:r w:rsidRPr="00CB2EB0">
        <w:t>).</w:t>
      </w:r>
    </w:p>
    <w:p w14:paraId="5A12F5F4" w14:textId="0F60F924" w:rsidR="004C3A47" w:rsidRPr="00CB2EB0" w:rsidRDefault="004C3A47" w:rsidP="00FC17EB">
      <w:pPr>
        <w:pStyle w:val="Rubrik2"/>
      </w:pPr>
      <w:bookmarkStart w:id="61" w:name="_Ref223610943"/>
      <w:bookmarkStart w:id="62" w:name="_Toc227766876"/>
      <w:r w:rsidRPr="00CB2EB0">
        <w:lastRenderedPageBreak/>
        <w:t>Risker i statsskuldsförvaltningen</w:t>
      </w:r>
      <w:bookmarkEnd w:id="61"/>
      <w:bookmarkEnd w:id="62"/>
    </w:p>
    <w:p w14:paraId="47085127" w14:textId="61B96AF3" w:rsidR="00A00AF6" w:rsidRPr="00CB2EB0" w:rsidRDefault="00A00AF6" w:rsidP="00FC17EB">
      <w:pPr>
        <w:pStyle w:val="Rubrik4ram"/>
        <w:outlineLvl w:val="2"/>
      </w:pPr>
      <w:r w:rsidRPr="00CB2EB0">
        <w:t xml:space="preserve">Regeringens </w:t>
      </w:r>
      <w:r w:rsidR="006B2DDC" w:rsidRPr="00CB2EB0">
        <w:t>bedömning</w:t>
      </w:r>
    </w:p>
    <w:p w14:paraId="26F336F3" w14:textId="11ACA659" w:rsidR="00426140" w:rsidRPr="00CB2EB0" w:rsidRDefault="00426140" w:rsidP="00426140">
      <w:pPr>
        <w:pStyle w:val="Brdtextram"/>
      </w:pPr>
      <w:r w:rsidRPr="00CB2EB0">
        <w:t xml:space="preserve">Det övergripande riskmåttet ska enligt regeringens riktlinjer för statsskuldens förvaltning vara variationen i kostnadsmåttet för skulden. Variationen mätt som standardavvikelsen för kostnaden </w:t>
      </w:r>
      <w:r w:rsidR="00A5198A">
        <w:t>för</w:t>
      </w:r>
      <w:r w:rsidRPr="00CB2EB0">
        <w:t xml:space="preserve"> statsskulden som helhet har under utvärderingsperioden varit låg och i nivå med variationen för tidigare femårsperioder. </w:t>
      </w:r>
    </w:p>
    <w:p w14:paraId="1E9CBA22" w14:textId="43E95BDC" w:rsidR="00426140" w:rsidRPr="00CB2EB0" w:rsidRDefault="00426140" w:rsidP="006F7533">
      <w:pPr>
        <w:pStyle w:val="Brdtextmedindragram"/>
      </w:pPr>
      <w:r w:rsidRPr="00CB2EB0">
        <w:t xml:space="preserve">Ränteomsättningsrisken </w:t>
      </w:r>
      <w:r w:rsidR="00D5579C" w:rsidRPr="00CB2EB0">
        <w:t xml:space="preserve">mätt som </w:t>
      </w:r>
      <w:r w:rsidR="00013E8C" w:rsidRPr="00CB2EB0">
        <w:t>l</w:t>
      </w:r>
      <w:r w:rsidRPr="00CB2EB0">
        <w:t xml:space="preserve">öptiden för statsskulden har under utvärderingsperioden varit inom löptidsintervallet, samtidigt som variationen i löptid mellan enstaka år varit låg. </w:t>
      </w:r>
    </w:p>
    <w:p w14:paraId="32DBBC91" w14:textId="70860E4C" w:rsidR="00A00AF6" w:rsidRPr="00CB2EB0" w:rsidRDefault="00426140" w:rsidP="00426140">
      <w:pPr>
        <w:pStyle w:val="Brdtextmedindragram"/>
      </w:pPr>
      <w:r w:rsidRPr="00CB2EB0">
        <w:t>Refinansieringsrisken i termer av lån som löper till förfall de när</w:t>
      </w:r>
      <w:r w:rsidR="00C8057E">
        <w:softHyphen/>
      </w:r>
      <w:r w:rsidRPr="00CB2EB0">
        <w:t>maste tolv månaderna respektive</w:t>
      </w:r>
      <w:r w:rsidR="003E7B98" w:rsidRPr="00CB2EB0">
        <w:t xml:space="preserve"> närmaste</w:t>
      </w:r>
      <w:r w:rsidRPr="00CB2EB0">
        <w:t xml:space="preserve"> </w:t>
      </w:r>
      <w:r w:rsidR="00D25C67" w:rsidRPr="00CB2EB0">
        <w:t>fem</w:t>
      </w:r>
      <w:r w:rsidRPr="00CB2EB0">
        <w:t xml:space="preserve"> år</w:t>
      </w:r>
      <w:r w:rsidR="00532044" w:rsidRPr="00CB2EB0">
        <w:t>en</w:t>
      </w:r>
      <w:r w:rsidRPr="00CB2EB0">
        <w:t xml:space="preserve"> bedöms vara låg.</w:t>
      </w:r>
    </w:p>
    <w:p w14:paraId="32DDCE4F" w14:textId="024935A6" w:rsidR="00A00AF6" w:rsidRPr="00CB2EB0" w:rsidRDefault="006B2DDC" w:rsidP="00FC17EB">
      <w:pPr>
        <w:pStyle w:val="Rubrik4efterram"/>
        <w:outlineLvl w:val="2"/>
      </w:pPr>
      <w:r w:rsidRPr="00CB2EB0">
        <w:t>Skälen för regeringens bedömning</w:t>
      </w:r>
    </w:p>
    <w:p w14:paraId="5E56DBC9" w14:textId="6DBCE7B4" w:rsidR="009F1C8C" w:rsidRPr="00CB2EB0" w:rsidRDefault="00D108B2" w:rsidP="00D108B2">
      <w:pPr>
        <w:pStyle w:val="Brdtext"/>
      </w:pPr>
      <w:r w:rsidRPr="00CB2EB0">
        <w:t>På övergripande nivå definieras risken i statsskulden som dess bidrag till variationer i budgetsaldot och statsskulden. Risken mäts då i termer av standardavvikelse av den genomsnittliga emissionsräntan. Utöver detta finns inte något enskilt mått som beskriver den sammantagna risken i statsskuldsförvaltningen. I stället redovisas olika typer av risker. Riskerna i statsskuldsförvaltningen begränsas även på flera olika sätt i regeringens riktlinjer och i Riksgäldskontorets strategier för upplåning och marknads</w:t>
      </w:r>
      <w:r w:rsidR="00230993">
        <w:softHyphen/>
      </w:r>
      <w:r w:rsidRPr="00CB2EB0">
        <w:t>vård.</w:t>
      </w:r>
    </w:p>
    <w:p w14:paraId="2EA4DDA7" w14:textId="493FED41" w:rsidR="000110DC" w:rsidRPr="00CB2EB0" w:rsidRDefault="000110DC" w:rsidP="000110DC">
      <w:pPr>
        <w:pStyle w:val="Brdtextmedindrag"/>
      </w:pPr>
      <w:r w:rsidRPr="00CB2EB0">
        <w:t xml:space="preserve">Riksgäldskontoret redovisar olika typer av finansiella risker i sin finans- och riskpolicy. I </w:t>
      </w:r>
      <w:r w:rsidR="003432E3" w:rsidRPr="00CB2EB0">
        <w:fldChar w:fldCharType="begin"/>
      </w:r>
      <w:r w:rsidR="003432E3" w:rsidRPr="00CB2EB0">
        <w:instrText xml:space="preserve"> REF  _Ref224559056 \* Lower \h  \* MERGEFORMAT </w:instrText>
      </w:r>
      <w:r w:rsidR="003432E3" w:rsidRPr="00CB2EB0">
        <w:fldChar w:fldCharType="separate"/>
      </w:r>
      <w:r w:rsidR="001959AC" w:rsidRPr="00CB2EB0">
        <w:t xml:space="preserve">tabell </w:t>
      </w:r>
      <w:r w:rsidR="001959AC">
        <w:rPr>
          <w:noProof/>
        </w:rPr>
        <w:t>5</w:t>
      </w:r>
      <w:r w:rsidR="001959AC" w:rsidRPr="00CB2EB0">
        <w:t>.</w:t>
      </w:r>
      <w:r w:rsidR="001959AC">
        <w:rPr>
          <w:noProof/>
        </w:rPr>
        <w:t>4</w:t>
      </w:r>
      <w:r w:rsidR="003432E3" w:rsidRPr="00CB2EB0">
        <w:fldChar w:fldCharType="end"/>
      </w:r>
      <w:r w:rsidR="003432E3" w:rsidRPr="00CB2EB0">
        <w:t xml:space="preserve"> </w:t>
      </w:r>
      <w:r w:rsidRPr="00CB2EB0">
        <w:t xml:space="preserve">redovisas några av dessa risker och hur de förhåller </w:t>
      </w:r>
      <w:r w:rsidR="00CC5E4F" w:rsidRPr="00CB2EB0">
        <w:t>s</w:t>
      </w:r>
      <w:r w:rsidRPr="00CB2EB0">
        <w:t xml:space="preserve">ig till regeringens riktlinjer. </w:t>
      </w:r>
    </w:p>
    <w:p w14:paraId="05D82E02" w14:textId="386BAA49" w:rsidR="000110DC" w:rsidRPr="00CB2EB0" w:rsidRDefault="000110DC" w:rsidP="000110DC">
      <w:pPr>
        <w:pStyle w:val="TabellRubrik"/>
      </w:pPr>
      <w:bookmarkStart w:id="63" w:name="_Ref224559056"/>
      <w:r w:rsidRPr="00CB2EB0">
        <w:t xml:space="preserve">Tabell </w:t>
      </w:r>
      <w:r w:rsidRPr="00CB2EB0">
        <w:fldChar w:fldCharType="begin"/>
      </w:r>
      <w:r w:rsidRPr="00CB2EB0">
        <w:instrText xml:space="preserve"> STYLEREF 1 \s </w:instrText>
      </w:r>
      <w:r w:rsidRPr="00CB2EB0">
        <w:fldChar w:fldCharType="separate"/>
      </w:r>
      <w:r w:rsidR="001959AC">
        <w:rPr>
          <w:noProof/>
        </w:rPr>
        <w:t>5</w:t>
      </w:r>
      <w:r w:rsidRPr="00CB2EB0">
        <w:rPr>
          <w:noProof/>
        </w:rPr>
        <w:fldChar w:fldCharType="end"/>
      </w:r>
      <w:r w:rsidRPr="00CB2EB0">
        <w:t>.</w:t>
      </w:r>
      <w:fldSimple w:instr=" SEQ Tabell \* Arabic \s 1  \* MERGEFORMAT ">
        <w:r w:rsidR="001959AC">
          <w:rPr>
            <w:noProof/>
          </w:rPr>
          <w:t>4</w:t>
        </w:r>
      </w:fldSimple>
      <w:bookmarkEnd w:id="63"/>
      <w:r w:rsidRPr="00CB2EB0">
        <w:tab/>
        <w:t>Finansiella risker och deras koppling till riktlinjerna för skuldförvaltningen</w:t>
      </w:r>
    </w:p>
    <w:tbl>
      <w:tblPr>
        <w:tblW w:w="5000" w:type="pct"/>
        <w:tblCellMar>
          <w:left w:w="0" w:type="dxa"/>
        </w:tblCellMar>
        <w:tblLook w:val="06A0" w:firstRow="1" w:lastRow="0" w:firstColumn="1" w:lastColumn="0" w:noHBand="1" w:noVBand="1"/>
      </w:tblPr>
      <w:tblGrid>
        <w:gridCol w:w="1418"/>
        <w:gridCol w:w="1843"/>
        <w:gridCol w:w="2636"/>
      </w:tblGrid>
      <w:tr w:rsidR="00DF7D1D" w14:paraId="7D0F6415" w14:textId="77777777">
        <w:trPr>
          <w:tblHeader/>
        </w:trPr>
        <w:tc>
          <w:tcPr>
            <w:tcW w:w="1202" w:type="pct"/>
            <w:tcBorders>
              <w:top w:val="single" w:sz="8" w:space="0" w:color="auto"/>
              <w:bottom w:val="single" w:sz="6" w:space="0" w:color="auto"/>
            </w:tcBorders>
            <w:shd w:val="clear" w:color="auto" w:fill="auto"/>
          </w:tcPr>
          <w:p w14:paraId="5169AA23" w14:textId="77777777" w:rsidR="000110DC" w:rsidRPr="00CB2EB0" w:rsidRDefault="000110DC" w:rsidP="00EF50A0">
            <w:pPr>
              <w:pStyle w:val="TabellHuvud"/>
              <w:jc w:val="left"/>
            </w:pPr>
            <w:r w:rsidRPr="00CB2EB0">
              <w:t>Typ av finansiell risk</w:t>
            </w:r>
          </w:p>
        </w:tc>
        <w:tc>
          <w:tcPr>
            <w:tcW w:w="1563" w:type="pct"/>
            <w:tcBorders>
              <w:top w:val="single" w:sz="8" w:space="0" w:color="auto"/>
              <w:bottom w:val="single" w:sz="6" w:space="0" w:color="auto"/>
            </w:tcBorders>
            <w:shd w:val="clear" w:color="auto" w:fill="auto"/>
          </w:tcPr>
          <w:p w14:paraId="5DB0EF62" w14:textId="77777777" w:rsidR="000110DC" w:rsidRPr="00CB2EB0" w:rsidRDefault="000110DC" w:rsidP="00EF50A0">
            <w:pPr>
              <w:pStyle w:val="TabellHuvud"/>
              <w:jc w:val="left"/>
            </w:pPr>
            <w:r w:rsidRPr="00CB2EB0">
              <w:t>Förklaring</w:t>
            </w:r>
          </w:p>
        </w:tc>
        <w:tc>
          <w:tcPr>
            <w:tcW w:w="2235" w:type="pct"/>
            <w:tcBorders>
              <w:top w:val="single" w:sz="8" w:space="0" w:color="auto"/>
              <w:bottom w:val="single" w:sz="6" w:space="0" w:color="auto"/>
            </w:tcBorders>
          </w:tcPr>
          <w:p w14:paraId="67DC674E" w14:textId="38B0D5B6" w:rsidR="000110DC" w:rsidRPr="00CB2EB0" w:rsidRDefault="00814642" w:rsidP="00EF50A0">
            <w:pPr>
              <w:pStyle w:val="TabellHuvud"/>
              <w:jc w:val="left"/>
            </w:pPr>
            <w:r w:rsidRPr="00CB2EB0">
              <w:t xml:space="preserve">Regeringens riktlinjer </w:t>
            </w:r>
            <w:r w:rsidR="000110DC" w:rsidRPr="00CB2EB0">
              <w:t>(för 2025)</w:t>
            </w:r>
          </w:p>
        </w:tc>
      </w:tr>
      <w:tr w:rsidR="00DF7D1D" w14:paraId="527F666D" w14:textId="77777777">
        <w:tc>
          <w:tcPr>
            <w:tcW w:w="1202" w:type="pct"/>
            <w:tcBorders>
              <w:top w:val="single" w:sz="6" w:space="0" w:color="auto"/>
            </w:tcBorders>
            <w:shd w:val="clear" w:color="auto" w:fill="auto"/>
          </w:tcPr>
          <w:p w14:paraId="354988BE" w14:textId="77777777" w:rsidR="000110DC" w:rsidRPr="00CB2EB0" w:rsidRDefault="000110DC" w:rsidP="00EF50A0">
            <w:pPr>
              <w:pStyle w:val="TabellRader"/>
              <w:jc w:val="left"/>
            </w:pPr>
            <w:r w:rsidRPr="00CB2EB0">
              <w:t>Ränteomsättnings</w:t>
            </w:r>
            <w:r w:rsidRPr="00CB2EB0">
              <w:softHyphen/>
              <w:t>risk/ränterisk</w:t>
            </w:r>
          </w:p>
        </w:tc>
        <w:tc>
          <w:tcPr>
            <w:tcW w:w="1563" w:type="pct"/>
            <w:tcBorders>
              <w:top w:val="single" w:sz="6" w:space="0" w:color="auto"/>
            </w:tcBorders>
            <w:shd w:val="clear" w:color="auto" w:fill="auto"/>
          </w:tcPr>
          <w:p w14:paraId="610FBF35" w14:textId="77777777" w:rsidR="000110DC" w:rsidRPr="00CB2EB0" w:rsidRDefault="000110DC" w:rsidP="00EF50A0">
            <w:pPr>
              <w:pStyle w:val="TabellRader"/>
              <w:jc w:val="left"/>
            </w:pPr>
            <w:r w:rsidRPr="00CB2EB0">
              <w:t>Risken att värdet på tillgångar och skulder förändras på ett ofördelaktigt vis då räntenivåer ändras</w:t>
            </w:r>
          </w:p>
        </w:tc>
        <w:tc>
          <w:tcPr>
            <w:tcW w:w="2235" w:type="pct"/>
            <w:tcBorders>
              <w:top w:val="single" w:sz="6" w:space="0" w:color="auto"/>
            </w:tcBorders>
          </w:tcPr>
          <w:p w14:paraId="34273A75" w14:textId="77777777" w:rsidR="000110DC" w:rsidRPr="00CB2EB0" w:rsidRDefault="000110DC" w:rsidP="00EF50A0">
            <w:pPr>
              <w:pStyle w:val="TabellRader"/>
              <w:jc w:val="left"/>
            </w:pPr>
            <w:r w:rsidRPr="00CB2EB0">
              <w:t>Statsskuldens löptid ska vara mellan 3,5 och 6 år. Löptiden ska mätas som genomsnittlig räntebindningstid.</w:t>
            </w:r>
          </w:p>
        </w:tc>
      </w:tr>
      <w:tr w:rsidR="00DF7D1D" w14:paraId="7C89338B" w14:textId="77777777">
        <w:tc>
          <w:tcPr>
            <w:tcW w:w="1202" w:type="pct"/>
            <w:tcBorders>
              <w:top w:val="single" w:sz="6" w:space="0" w:color="auto"/>
            </w:tcBorders>
            <w:shd w:val="clear" w:color="auto" w:fill="auto"/>
          </w:tcPr>
          <w:p w14:paraId="24E9B5AE" w14:textId="77777777" w:rsidR="000110DC" w:rsidRPr="00CB2EB0" w:rsidRDefault="000110DC" w:rsidP="00EF50A0">
            <w:pPr>
              <w:pStyle w:val="TabellRader"/>
              <w:jc w:val="left"/>
            </w:pPr>
            <w:r w:rsidRPr="00CB2EB0">
              <w:t>Refinansierings</w:t>
            </w:r>
            <w:r w:rsidRPr="00CB2EB0">
              <w:softHyphen/>
              <w:t>risk</w:t>
            </w:r>
          </w:p>
        </w:tc>
        <w:tc>
          <w:tcPr>
            <w:tcW w:w="1563" w:type="pct"/>
            <w:tcBorders>
              <w:top w:val="single" w:sz="6" w:space="0" w:color="auto"/>
            </w:tcBorders>
            <w:shd w:val="clear" w:color="auto" w:fill="auto"/>
          </w:tcPr>
          <w:p w14:paraId="34EB9387" w14:textId="730385E6" w:rsidR="000110DC" w:rsidRPr="00CB2EB0" w:rsidRDefault="000110DC" w:rsidP="00EF50A0">
            <w:pPr>
              <w:pStyle w:val="TabellRader"/>
              <w:jc w:val="left"/>
            </w:pPr>
            <w:r w:rsidRPr="00CB2EB0">
              <w:t>Svårt eller kostsamt att ersätta förfallande lån</w:t>
            </w:r>
          </w:p>
        </w:tc>
        <w:tc>
          <w:tcPr>
            <w:tcW w:w="2235" w:type="pct"/>
            <w:tcBorders>
              <w:top w:val="single" w:sz="6" w:space="0" w:color="auto"/>
            </w:tcBorders>
          </w:tcPr>
          <w:p w14:paraId="4C87682D" w14:textId="77777777" w:rsidR="000110DC" w:rsidRPr="00CB2EB0" w:rsidRDefault="000110DC" w:rsidP="00EF50A0">
            <w:pPr>
              <w:pStyle w:val="TabellRader"/>
              <w:jc w:val="left"/>
            </w:pPr>
            <w:r w:rsidRPr="00CB2EB0">
              <w:t>Riksgäldskontoret ska beakta refinansieringsrisker i förvaltningen av statsskulden, bl.a. genom att ge ut instrument med mer än tolv år till förfall.</w:t>
            </w:r>
          </w:p>
        </w:tc>
      </w:tr>
      <w:tr w:rsidR="00DF7D1D" w14:paraId="368B546E" w14:textId="77777777">
        <w:tc>
          <w:tcPr>
            <w:tcW w:w="1202" w:type="pct"/>
            <w:tcBorders>
              <w:top w:val="single" w:sz="6" w:space="0" w:color="auto"/>
            </w:tcBorders>
            <w:shd w:val="clear" w:color="auto" w:fill="auto"/>
          </w:tcPr>
          <w:p w14:paraId="7FF1E212" w14:textId="77777777" w:rsidR="000110DC" w:rsidRPr="00CB2EB0" w:rsidRDefault="000110DC" w:rsidP="00EF50A0">
            <w:pPr>
              <w:pStyle w:val="TabellRader"/>
              <w:jc w:val="left"/>
            </w:pPr>
            <w:r w:rsidRPr="00CB2EB0">
              <w:t>Finansierings</w:t>
            </w:r>
            <w:r w:rsidRPr="00CB2EB0">
              <w:softHyphen/>
              <w:t>risk</w:t>
            </w:r>
          </w:p>
        </w:tc>
        <w:tc>
          <w:tcPr>
            <w:tcW w:w="1563" w:type="pct"/>
            <w:tcBorders>
              <w:top w:val="single" w:sz="6" w:space="0" w:color="auto"/>
            </w:tcBorders>
            <w:shd w:val="clear" w:color="auto" w:fill="auto"/>
          </w:tcPr>
          <w:p w14:paraId="7D7AD1B0" w14:textId="6934C023" w:rsidR="000110DC" w:rsidRPr="00CB2EB0" w:rsidRDefault="000110DC" w:rsidP="00EF50A0">
            <w:pPr>
              <w:pStyle w:val="TabellRader"/>
              <w:jc w:val="left"/>
            </w:pPr>
            <w:r w:rsidRPr="00CB2EB0">
              <w:t>Risken att det blir svårt eller kostsamt att ta upp ny finansiering</w:t>
            </w:r>
          </w:p>
        </w:tc>
        <w:tc>
          <w:tcPr>
            <w:tcW w:w="2235" w:type="pct"/>
            <w:tcBorders>
              <w:top w:val="single" w:sz="6" w:space="0" w:color="auto"/>
            </w:tcBorders>
          </w:tcPr>
          <w:p w14:paraId="6BCB3529" w14:textId="4A9438E3" w:rsidR="000110DC" w:rsidRPr="00CB2EB0" w:rsidRDefault="000110DC" w:rsidP="00EF50A0">
            <w:pPr>
              <w:pStyle w:val="TabellRader"/>
              <w:jc w:val="left"/>
            </w:pPr>
            <w:r w:rsidRPr="00CB2EB0">
              <w:t>Upplåningen ska bedrivas så att en bred investerarbas och diversifiering i olika finansieringsvalutor säker</w:t>
            </w:r>
            <w:r w:rsidR="00F81CF0">
              <w:softHyphen/>
            </w:r>
            <w:r w:rsidRPr="00CB2EB0">
              <w:t>ställs i syfte att upprätthålla en god låneberedskap.</w:t>
            </w:r>
          </w:p>
          <w:p w14:paraId="6DC35935" w14:textId="77777777" w:rsidR="000110DC" w:rsidRPr="00CB2EB0" w:rsidRDefault="000110DC" w:rsidP="00EF50A0">
            <w:pPr>
              <w:pStyle w:val="TabellRader"/>
              <w:jc w:val="left"/>
            </w:pPr>
            <w:r w:rsidRPr="00CB2EB0">
              <w:lastRenderedPageBreak/>
              <w:t>Riksgäldskontoret ska genom marknads- och skuldvård bidra till att statspappersmarknaden fungerar väl.</w:t>
            </w:r>
          </w:p>
        </w:tc>
      </w:tr>
      <w:tr w:rsidR="00DF7D1D" w14:paraId="1A32E065" w14:textId="77777777">
        <w:tc>
          <w:tcPr>
            <w:tcW w:w="1202" w:type="pct"/>
            <w:shd w:val="clear" w:color="auto" w:fill="auto"/>
          </w:tcPr>
          <w:p w14:paraId="58FAE641" w14:textId="77777777" w:rsidR="000110DC" w:rsidRPr="00CB2EB0" w:rsidRDefault="000110DC" w:rsidP="00EF50A0">
            <w:pPr>
              <w:pStyle w:val="TabellRader"/>
              <w:jc w:val="left"/>
            </w:pPr>
            <w:r w:rsidRPr="00CB2EB0">
              <w:lastRenderedPageBreak/>
              <w:t>Inflations</w:t>
            </w:r>
            <w:r w:rsidRPr="00CB2EB0">
              <w:softHyphen/>
              <w:t>risk</w:t>
            </w:r>
          </w:p>
        </w:tc>
        <w:tc>
          <w:tcPr>
            <w:tcW w:w="1563" w:type="pct"/>
            <w:shd w:val="clear" w:color="auto" w:fill="auto"/>
          </w:tcPr>
          <w:p w14:paraId="2C60290D" w14:textId="77777777" w:rsidR="000110DC" w:rsidRPr="00CB2EB0" w:rsidRDefault="000110DC" w:rsidP="00EF50A0">
            <w:pPr>
              <w:pStyle w:val="TabellRader"/>
              <w:jc w:val="left"/>
            </w:pPr>
            <w:r w:rsidRPr="00CB2EB0">
              <w:t>Risken för förlust i nominella termer på grund av att inflationen blir högre än förväntat</w:t>
            </w:r>
          </w:p>
        </w:tc>
        <w:tc>
          <w:tcPr>
            <w:tcW w:w="2235" w:type="pct"/>
          </w:tcPr>
          <w:p w14:paraId="00139E9C" w14:textId="6308FC14" w:rsidR="000110DC" w:rsidRPr="00CB2EB0" w:rsidRDefault="000110DC" w:rsidP="00EF50A0">
            <w:pPr>
              <w:pStyle w:val="TabellRader"/>
              <w:jc w:val="left"/>
            </w:pPr>
            <w:r w:rsidRPr="00CB2EB0">
              <w:t>Den utestående stocken real kron</w:t>
            </w:r>
            <w:r w:rsidR="00842D2C">
              <w:softHyphen/>
            </w:r>
            <w:r w:rsidRPr="00CB2EB0">
              <w:t xml:space="preserve">skuld ska minska successivt. Vid utgången av 2029 ska realskulden uppgå till en målnivå på </w:t>
            </w:r>
            <w:r w:rsidR="00544381" w:rsidRPr="00CB2EB0">
              <w:t>ca</w:t>
            </w:r>
            <w:r w:rsidRPr="00CB2EB0">
              <w:t xml:space="preserve"> 80</w:t>
            </w:r>
            <w:r w:rsidR="00F40D80">
              <w:rPr>
                <w:rFonts w:ascii="Cambria" w:hAnsi="Cambria"/>
              </w:rPr>
              <w:t> </w:t>
            </w:r>
            <w:r w:rsidRPr="00CB2EB0">
              <w:t>miljarder kronor</w:t>
            </w:r>
          </w:p>
        </w:tc>
      </w:tr>
      <w:tr w:rsidR="00DF7D1D" w14:paraId="2CD753C4" w14:textId="77777777">
        <w:tc>
          <w:tcPr>
            <w:tcW w:w="1202" w:type="pct"/>
            <w:shd w:val="clear" w:color="auto" w:fill="auto"/>
          </w:tcPr>
          <w:p w14:paraId="3E3BA09A" w14:textId="77777777" w:rsidR="000110DC" w:rsidRPr="00CB2EB0" w:rsidRDefault="000110DC" w:rsidP="00EF50A0">
            <w:pPr>
              <w:pStyle w:val="TabellRader"/>
              <w:jc w:val="left"/>
            </w:pPr>
            <w:r w:rsidRPr="00CB2EB0">
              <w:t>Valuta</w:t>
            </w:r>
            <w:r w:rsidRPr="00CB2EB0">
              <w:softHyphen/>
              <w:t>risk</w:t>
            </w:r>
          </w:p>
        </w:tc>
        <w:tc>
          <w:tcPr>
            <w:tcW w:w="1563" w:type="pct"/>
            <w:shd w:val="clear" w:color="auto" w:fill="auto"/>
          </w:tcPr>
          <w:p w14:paraId="108CFDC6" w14:textId="77777777" w:rsidR="000110DC" w:rsidRPr="00CB2EB0" w:rsidRDefault="000110DC" w:rsidP="00EF50A0">
            <w:pPr>
              <w:pStyle w:val="TabellRader"/>
              <w:jc w:val="left"/>
            </w:pPr>
            <w:r w:rsidRPr="00CB2EB0">
              <w:t>Risken att värdet på tillgångar och skulder förändras på ett ofördelaktigt vis då växelkurser ändras</w:t>
            </w:r>
          </w:p>
        </w:tc>
        <w:tc>
          <w:tcPr>
            <w:tcW w:w="2235" w:type="pct"/>
          </w:tcPr>
          <w:p w14:paraId="0BF03D52" w14:textId="7199D5C4" w:rsidR="000110DC" w:rsidRPr="00CB2EB0" w:rsidRDefault="000110DC" w:rsidP="00EF50A0">
            <w:pPr>
              <w:pStyle w:val="TabellRader"/>
              <w:jc w:val="left"/>
            </w:pPr>
            <w:r w:rsidRPr="00CB2EB0">
              <w:t xml:space="preserve">Statsskuldens strategiska exponering i utländsk valuta ska avvecklas successivt och anta riktvärdet noll </w:t>
            </w:r>
            <w:r w:rsidR="00544381" w:rsidRPr="00CB2EB0">
              <w:t>fr.o.m.</w:t>
            </w:r>
            <w:r w:rsidRPr="00CB2EB0">
              <w:t xml:space="preserve"> 2027.</w:t>
            </w:r>
          </w:p>
          <w:p w14:paraId="1A6D2299" w14:textId="618B10FD" w:rsidR="000110DC" w:rsidRPr="00CB2EB0" w:rsidRDefault="000110DC" w:rsidP="00EF50A0">
            <w:pPr>
              <w:pStyle w:val="TabellRader"/>
              <w:jc w:val="left"/>
            </w:pPr>
            <w:r w:rsidRPr="00CB2EB0">
              <w:t>Valutaexponeringen kan dock även framöver variera som en följd av att Riksgäldskontoret genomför valuta</w:t>
            </w:r>
            <w:r w:rsidR="000E3686">
              <w:softHyphen/>
            </w:r>
            <w:r w:rsidRPr="00CB2EB0">
              <w:t xml:space="preserve">växlingar. Växlingarna ska präglas av förutsägbarhet och tydlighet. </w:t>
            </w:r>
          </w:p>
          <w:p w14:paraId="67D4F6B6" w14:textId="4334CACF" w:rsidR="000110DC" w:rsidRPr="00CB2EB0" w:rsidRDefault="000110DC" w:rsidP="00EF50A0">
            <w:pPr>
              <w:pStyle w:val="TabellRader"/>
              <w:jc w:val="left"/>
            </w:pPr>
            <w:r w:rsidRPr="00CB2EB0">
              <w:t>Riksgäldskontoret får ta positioner i utländsk valuta och kronans valuta</w:t>
            </w:r>
            <w:r w:rsidR="003C010A">
              <w:softHyphen/>
            </w:r>
            <w:r w:rsidRPr="00CB2EB0">
              <w:t>kurs (enligt mandat som ges i rikt</w:t>
            </w:r>
            <w:r w:rsidR="002F40FF">
              <w:softHyphen/>
            </w:r>
            <w:r w:rsidRPr="00CB2EB0">
              <w:t>linjerna).</w:t>
            </w:r>
          </w:p>
        </w:tc>
      </w:tr>
      <w:tr w:rsidR="00DF7D1D" w14:paraId="5BB54E35" w14:textId="77777777">
        <w:tc>
          <w:tcPr>
            <w:tcW w:w="1202" w:type="pct"/>
            <w:shd w:val="clear" w:color="auto" w:fill="auto"/>
          </w:tcPr>
          <w:p w14:paraId="38A4C0FE" w14:textId="77777777" w:rsidR="000110DC" w:rsidRPr="00CB2EB0" w:rsidRDefault="000110DC" w:rsidP="00EF50A0">
            <w:pPr>
              <w:pStyle w:val="TabellRader"/>
              <w:jc w:val="left"/>
            </w:pPr>
            <w:r w:rsidRPr="00CB2EB0">
              <w:t>Marknads</w:t>
            </w:r>
            <w:r w:rsidRPr="00CB2EB0">
              <w:softHyphen/>
              <w:t>likviditets</w:t>
            </w:r>
            <w:r w:rsidRPr="00CB2EB0">
              <w:softHyphen/>
              <w:t>risk</w:t>
            </w:r>
          </w:p>
        </w:tc>
        <w:tc>
          <w:tcPr>
            <w:tcW w:w="1563" w:type="pct"/>
            <w:shd w:val="clear" w:color="auto" w:fill="auto"/>
          </w:tcPr>
          <w:p w14:paraId="238CAF36" w14:textId="77777777" w:rsidR="000110DC" w:rsidRPr="00CB2EB0" w:rsidRDefault="000110DC" w:rsidP="00EF50A0">
            <w:pPr>
              <w:pStyle w:val="TabellRader"/>
              <w:jc w:val="left"/>
            </w:pPr>
            <w:r w:rsidRPr="00CB2EB0">
              <w:t>Risken att det inte går att realisera eller täcka sin position till gällande marknadspris, eftersom marknaden inte är tillräckligt djup eller inte fungerar på grund av någon störning</w:t>
            </w:r>
          </w:p>
        </w:tc>
        <w:tc>
          <w:tcPr>
            <w:tcW w:w="2235" w:type="pct"/>
          </w:tcPr>
          <w:p w14:paraId="672A6369" w14:textId="77777777" w:rsidR="000110DC" w:rsidRPr="00CB2EB0" w:rsidRDefault="000110DC" w:rsidP="00EF50A0">
            <w:pPr>
              <w:pStyle w:val="TabellRader"/>
              <w:jc w:val="left"/>
            </w:pPr>
            <w:r w:rsidRPr="00CB2EB0">
              <w:t>Riksgäldskontoret ska genom marknads- och skuldvård bidra till att statspappersmarknaden fungerar väl.</w:t>
            </w:r>
          </w:p>
        </w:tc>
      </w:tr>
      <w:tr w:rsidR="00DF7D1D" w14:paraId="55863672" w14:textId="77777777">
        <w:tc>
          <w:tcPr>
            <w:tcW w:w="1202" w:type="pct"/>
            <w:tcBorders>
              <w:bottom w:val="single" w:sz="8" w:space="0" w:color="auto"/>
            </w:tcBorders>
            <w:shd w:val="clear" w:color="auto" w:fill="auto"/>
          </w:tcPr>
          <w:p w14:paraId="5EFF83F4" w14:textId="77777777" w:rsidR="000110DC" w:rsidRPr="00CB2EB0" w:rsidRDefault="000110DC" w:rsidP="00EF50A0">
            <w:pPr>
              <w:pStyle w:val="TabellSlutsumma"/>
              <w:jc w:val="left"/>
              <w:rPr>
                <w:b w:val="0"/>
                <w:bCs/>
              </w:rPr>
            </w:pPr>
            <w:r w:rsidRPr="00CB2EB0">
              <w:rPr>
                <w:b w:val="0"/>
                <w:bCs/>
              </w:rPr>
              <w:t>Kreditrisk</w:t>
            </w:r>
          </w:p>
        </w:tc>
        <w:tc>
          <w:tcPr>
            <w:tcW w:w="1563" w:type="pct"/>
            <w:tcBorders>
              <w:bottom w:val="single" w:sz="8" w:space="0" w:color="auto"/>
            </w:tcBorders>
            <w:shd w:val="clear" w:color="auto" w:fill="auto"/>
          </w:tcPr>
          <w:p w14:paraId="0B761078" w14:textId="77777777" w:rsidR="000110DC" w:rsidRPr="00CB2EB0" w:rsidRDefault="000110DC" w:rsidP="00EF50A0">
            <w:pPr>
              <w:pStyle w:val="TabellSlutsumma"/>
              <w:jc w:val="left"/>
              <w:rPr>
                <w:b w:val="0"/>
                <w:bCs/>
              </w:rPr>
            </w:pPr>
            <w:r w:rsidRPr="00CB2EB0">
              <w:rPr>
                <w:b w:val="0"/>
                <w:bCs/>
              </w:rPr>
              <w:t>Risken för förlust till följd av att en motpart inte fullgör sina förpliktelser samt risken att värdeförlust uppstår på grund av försämrad kreditkvalitet. Avvecklingsrisk, motpartsrisk, landrisk och systemrisk ingår i kreditrisk</w:t>
            </w:r>
          </w:p>
        </w:tc>
        <w:tc>
          <w:tcPr>
            <w:tcW w:w="2235" w:type="pct"/>
            <w:tcBorders>
              <w:bottom w:val="single" w:sz="8" w:space="0" w:color="auto"/>
            </w:tcBorders>
          </w:tcPr>
          <w:p w14:paraId="4B62837D" w14:textId="2C5A0584" w:rsidR="000110DC" w:rsidRPr="00CB2EB0" w:rsidRDefault="000110DC" w:rsidP="00EF50A0">
            <w:pPr>
              <w:pStyle w:val="TabellSlutsumma"/>
              <w:jc w:val="left"/>
              <w:rPr>
                <w:b w:val="0"/>
                <w:bCs/>
              </w:rPr>
            </w:pPr>
            <w:r w:rsidRPr="00CB2EB0">
              <w:rPr>
                <w:b w:val="0"/>
                <w:bCs/>
              </w:rPr>
              <w:t>Riksgäldskontoret ska placera sina medel på konto eller i skuld</w:t>
            </w:r>
            <w:r w:rsidRPr="00CB2EB0">
              <w:rPr>
                <w:b w:val="0"/>
                <w:bCs/>
              </w:rPr>
              <w:softHyphen/>
              <w:t>förbindelser med låg kreditrisk (enligt</w:t>
            </w:r>
            <w:r w:rsidR="00AE1D63">
              <w:rPr>
                <w:b w:val="0"/>
                <w:bCs/>
              </w:rPr>
              <w:t xml:space="preserve"> förordningen med</w:t>
            </w:r>
            <w:r w:rsidRPr="00CB2EB0">
              <w:rPr>
                <w:b w:val="0"/>
                <w:bCs/>
              </w:rPr>
              <w:t xml:space="preserve"> instruktion för Riksgäldskontoret).</w:t>
            </w:r>
          </w:p>
        </w:tc>
      </w:tr>
    </w:tbl>
    <w:p w14:paraId="50A3038E" w14:textId="31B14BEE" w:rsidR="000110DC" w:rsidRPr="00CB2EB0" w:rsidRDefault="000110DC" w:rsidP="000110DC">
      <w:pPr>
        <w:pStyle w:val="TabellFotnot"/>
      </w:pPr>
      <w:r w:rsidRPr="00CB2EB0">
        <w:t>Källa: Riksgäldskontoret</w:t>
      </w:r>
      <w:r w:rsidR="00C15CD7" w:rsidRPr="00CB2EB0">
        <w:t>.</w:t>
      </w:r>
    </w:p>
    <w:p w14:paraId="7E9F6F3B" w14:textId="77777777" w:rsidR="00DC3133" w:rsidRDefault="00DC3133" w:rsidP="00376DD1">
      <w:pPr>
        <w:pStyle w:val="Brdtext"/>
      </w:pPr>
    </w:p>
    <w:p w14:paraId="658494A3" w14:textId="77777777" w:rsidR="00DC3133" w:rsidRDefault="00DC3133" w:rsidP="00DC3133">
      <w:pPr>
        <w:pStyle w:val="Brdtext"/>
      </w:pPr>
    </w:p>
    <w:p w14:paraId="07105408" w14:textId="77777777" w:rsidR="00DC3133" w:rsidRDefault="00DC3133" w:rsidP="00DC3133">
      <w:pPr>
        <w:pStyle w:val="Brdtextmedindrag"/>
      </w:pPr>
    </w:p>
    <w:p w14:paraId="65581402" w14:textId="77777777" w:rsidR="00DC3133" w:rsidRPr="00DC3133" w:rsidRDefault="00DC3133" w:rsidP="00376DD1">
      <w:pPr>
        <w:pStyle w:val="Brdtextmedindrag"/>
      </w:pPr>
    </w:p>
    <w:p w14:paraId="53A0F407" w14:textId="356457AF" w:rsidR="009F1C8C" w:rsidRPr="00CB2EB0" w:rsidRDefault="009F1C8C" w:rsidP="00FC17EB">
      <w:pPr>
        <w:pStyle w:val="Rubrik5efterram"/>
        <w:outlineLvl w:val="3"/>
      </w:pPr>
      <w:r w:rsidRPr="00CB2EB0">
        <w:lastRenderedPageBreak/>
        <w:t>Risken mätt som variation i genomsnittlig kostnad</w:t>
      </w:r>
    </w:p>
    <w:p w14:paraId="0240790E" w14:textId="3C9F9AD3" w:rsidR="00A00AF6" w:rsidRPr="00CB2EB0" w:rsidRDefault="009F1C8C" w:rsidP="00E77B4E">
      <w:pPr>
        <w:pStyle w:val="Brdtext"/>
      </w:pPr>
      <w:r w:rsidRPr="00CB2EB0">
        <w:t xml:space="preserve">I </w:t>
      </w:r>
      <w:r w:rsidR="00F90B7B" w:rsidRPr="00CB2EB0">
        <w:fldChar w:fldCharType="begin"/>
      </w:r>
      <w:r w:rsidR="00F90B7B" w:rsidRPr="00CB2EB0">
        <w:instrText xml:space="preserve"> REF  _Ref222764186 \* Lower \h  \* MERGEFORMAT </w:instrText>
      </w:r>
      <w:r w:rsidR="00F90B7B" w:rsidRPr="00CB2EB0">
        <w:fldChar w:fldCharType="separate"/>
      </w:r>
      <w:r w:rsidR="001959AC" w:rsidRPr="00CB2EB0">
        <w:t xml:space="preserve">tabell </w:t>
      </w:r>
      <w:r w:rsidR="001959AC">
        <w:rPr>
          <w:noProof/>
        </w:rPr>
        <w:t>5</w:t>
      </w:r>
      <w:r w:rsidR="001959AC" w:rsidRPr="00CB2EB0">
        <w:t>.</w:t>
      </w:r>
      <w:r w:rsidR="001959AC">
        <w:rPr>
          <w:noProof/>
        </w:rPr>
        <w:t>5</w:t>
      </w:r>
      <w:r w:rsidR="00F90B7B" w:rsidRPr="00CB2EB0">
        <w:fldChar w:fldCharType="end"/>
      </w:r>
      <w:r w:rsidR="00F90B7B" w:rsidRPr="00CB2EB0">
        <w:t xml:space="preserve"> </w:t>
      </w:r>
      <w:r w:rsidRPr="00CB2EB0">
        <w:t>redovisas risken för de olika skuldslagen och där framgår att kostnadsvariationen är låg, särskilt när det gäller den nominella kron</w:t>
      </w:r>
      <w:r w:rsidR="001427C0">
        <w:softHyphen/>
      </w:r>
      <w:r w:rsidRPr="00CB2EB0">
        <w:t xml:space="preserve">skulden. </w:t>
      </w:r>
      <w:r w:rsidR="00E77B4E" w:rsidRPr="00CB2EB0">
        <w:t>Realskulden har en hög kostnadsvariation eftersom inflationen har varierat mycket under senare år, medan valutaexponeringen har en hög kostnadsvariation eftersom valutakurserna fluktuerar. Det spelar även roll att löptiden i den valutaexponerade skulden är kortare, vilket gör att ränte</w:t>
      </w:r>
      <w:r w:rsidR="00C91E60">
        <w:softHyphen/>
      </w:r>
      <w:r w:rsidR="00E77B4E" w:rsidRPr="00CB2EB0">
        <w:t>fluktuationer får snabbare genomslag.</w:t>
      </w:r>
    </w:p>
    <w:p w14:paraId="384877BD" w14:textId="19FC15AA" w:rsidR="00A65071" w:rsidRPr="00CB2EB0" w:rsidRDefault="00A65071" w:rsidP="003D6F49">
      <w:pPr>
        <w:pStyle w:val="TabellRubrik"/>
      </w:pPr>
      <w:bookmarkStart w:id="64" w:name="_Ref222764186"/>
      <w:r w:rsidRPr="00CB2EB0">
        <w:t xml:space="preserve">Tabell </w:t>
      </w:r>
      <w:r w:rsidRPr="00CB2EB0">
        <w:fldChar w:fldCharType="begin"/>
      </w:r>
      <w:r w:rsidRPr="00CB2EB0">
        <w:instrText xml:space="preserve"> STYLEREF 1 \s </w:instrText>
      </w:r>
      <w:r w:rsidRPr="00CB2EB0">
        <w:fldChar w:fldCharType="separate"/>
      </w:r>
      <w:r w:rsidR="001959AC">
        <w:rPr>
          <w:noProof/>
        </w:rPr>
        <w:t>5</w:t>
      </w:r>
      <w:r w:rsidRPr="00CB2EB0">
        <w:rPr>
          <w:noProof/>
        </w:rPr>
        <w:fldChar w:fldCharType="end"/>
      </w:r>
      <w:r w:rsidRPr="00CB2EB0">
        <w:t>.</w:t>
      </w:r>
      <w:fldSimple w:instr=" SEQ Tabell \* Arabic \s 1  \* MERGEFORMAT ">
        <w:r w:rsidR="001959AC">
          <w:rPr>
            <w:noProof/>
          </w:rPr>
          <w:t>5</w:t>
        </w:r>
      </w:fldSimple>
      <w:bookmarkEnd w:id="64"/>
      <w:r w:rsidRPr="00CB2EB0">
        <w:tab/>
      </w:r>
      <w:r w:rsidR="00D41584" w:rsidRPr="00CB2EB0">
        <w:t xml:space="preserve">Standardavvikelsen för kostnaden </w:t>
      </w:r>
      <w:r w:rsidR="008D7EAB">
        <w:t>för</w:t>
      </w:r>
      <w:r w:rsidR="00D41584" w:rsidRPr="00CB2EB0">
        <w:t xml:space="preserve"> statsskulden i femårsperioder, 201</w:t>
      </w:r>
      <w:r w:rsidR="00C45639" w:rsidRPr="00CB2EB0">
        <w:t>8</w:t>
      </w:r>
      <w:r w:rsidR="00D41584" w:rsidRPr="00CB2EB0">
        <w:t>–202</w:t>
      </w:r>
      <w:r w:rsidR="00C45639" w:rsidRPr="00CB2EB0">
        <w:t>5</w:t>
      </w:r>
    </w:p>
    <w:p w14:paraId="4F265E35" w14:textId="15EE824B" w:rsidR="00A65071" w:rsidRPr="00CB2EB0" w:rsidRDefault="00FB6F17" w:rsidP="003D6F49">
      <w:pPr>
        <w:pStyle w:val="TabellUnderrubrik"/>
      </w:pPr>
      <w:r w:rsidRPr="00CB2EB0">
        <w:t>Kostnaden som genomsnittlig effektiv ränta, procent</w:t>
      </w:r>
    </w:p>
    <w:tbl>
      <w:tblPr>
        <w:tblW w:w="5000" w:type="pct"/>
        <w:tblCellMar>
          <w:left w:w="0" w:type="dxa"/>
        </w:tblCellMar>
        <w:tblLook w:val="06A0" w:firstRow="1" w:lastRow="0" w:firstColumn="1" w:lastColumn="0" w:noHBand="1" w:noVBand="1"/>
      </w:tblPr>
      <w:tblGrid>
        <w:gridCol w:w="1705"/>
        <w:gridCol w:w="1047"/>
        <w:gridCol w:w="1050"/>
        <w:gridCol w:w="1050"/>
        <w:gridCol w:w="1045"/>
      </w:tblGrid>
      <w:tr w:rsidR="00DF7D1D" w14:paraId="18E3A289" w14:textId="77777777">
        <w:trPr>
          <w:tblHeader/>
        </w:trPr>
        <w:tc>
          <w:tcPr>
            <w:tcW w:w="1446" w:type="pct"/>
            <w:tcBorders>
              <w:top w:val="single" w:sz="8" w:space="0" w:color="auto"/>
              <w:bottom w:val="single" w:sz="6" w:space="0" w:color="auto"/>
            </w:tcBorders>
            <w:shd w:val="clear" w:color="auto" w:fill="auto"/>
          </w:tcPr>
          <w:p w14:paraId="0DF8FB36" w14:textId="77777777" w:rsidR="00176C60" w:rsidRPr="00CB2EB0" w:rsidRDefault="00176C60" w:rsidP="003D6F49">
            <w:pPr>
              <w:pStyle w:val="TabellHuvud"/>
              <w:jc w:val="left"/>
            </w:pPr>
          </w:p>
        </w:tc>
        <w:tc>
          <w:tcPr>
            <w:tcW w:w="888" w:type="pct"/>
            <w:tcBorders>
              <w:top w:val="single" w:sz="8" w:space="0" w:color="auto"/>
              <w:bottom w:val="single" w:sz="6" w:space="0" w:color="auto"/>
            </w:tcBorders>
            <w:shd w:val="clear" w:color="auto" w:fill="auto"/>
          </w:tcPr>
          <w:p w14:paraId="23CA05EF" w14:textId="694B25EA" w:rsidR="00176C60" w:rsidRPr="00CB2EB0" w:rsidRDefault="009E4EB6" w:rsidP="003D6F49">
            <w:pPr>
              <w:pStyle w:val="TabellHuvud"/>
            </w:pPr>
            <w:r w:rsidRPr="00CB2EB0">
              <w:t>2018–2022</w:t>
            </w:r>
          </w:p>
        </w:tc>
        <w:tc>
          <w:tcPr>
            <w:tcW w:w="890" w:type="pct"/>
            <w:tcBorders>
              <w:top w:val="single" w:sz="8" w:space="0" w:color="auto"/>
              <w:bottom w:val="single" w:sz="6" w:space="0" w:color="auto"/>
            </w:tcBorders>
            <w:shd w:val="clear" w:color="auto" w:fill="auto"/>
          </w:tcPr>
          <w:p w14:paraId="185267F6" w14:textId="7CC12106" w:rsidR="00176C60" w:rsidRPr="00CB2EB0" w:rsidRDefault="009E4EB6" w:rsidP="003D6F49">
            <w:pPr>
              <w:pStyle w:val="TabellHuvud"/>
            </w:pPr>
            <w:r w:rsidRPr="00CB2EB0">
              <w:t>2019–2023</w:t>
            </w:r>
          </w:p>
        </w:tc>
        <w:tc>
          <w:tcPr>
            <w:tcW w:w="890" w:type="pct"/>
            <w:tcBorders>
              <w:top w:val="single" w:sz="8" w:space="0" w:color="auto"/>
              <w:bottom w:val="single" w:sz="6" w:space="0" w:color="auto"/>
            </w:tcBorders>
            <w:shd w:val="clear" w:color="auto" w:fill="auto"/>
          </w:tcPr>
          <w:p w14:paraId="2C6AFC72" w14:textId="1BE2CE25" w:rsidR="00176C60" w:rsidRPr="00CB2EB0" w:rsidRDefault="009E4EB6" w:rsidP="003D6F49">
            <w:pPr>
              <w:pStyle w:val="TabellHuvud"/>
            </w:pPr>
            <w:r w:rsidRPr="00CB2EB0">
              <w:t>2020–2024</w:t>
            </w:r>
          </w:p>
        </w:tc>
        <w:tc>
          <w:tcPr>
            <w:tcW w:w="886" w:type="pct"/>
            <w:tcBorders>
              <w:top w:val="single" w:sz="8" w:space="0" w:color="auto"/>
              <w:bottom w:val="single" w:sz="6" w:space="0" w:color="auto"/>
            </w:tcBorders>
            <w:shd w:val="clear" w:color="auto" w:fill="auto"/>
          </w:tcPr>
          <w:p w14:paraId="1F635E1C" w14:textId="046D83DC" w:rsidR="00176C60" w:rsidRPr="00CB2EB0" w:rsidRDefault="00C45639" w:rsidP="003D6F49">
            <w:pPr>
              <w:pStyle w:val="TabellHuvud"/>
            </w:pPr>
            <w:r w:rsidRPr="00CB2EB0">
              <w:t>2021–2025</w:t>
            </w:r>
          </w:p>
        </w:tc>
      </w:tr>
      <w:tr w:rsidR="00DF7D1D" w14:paraId="6FDF238E" w14:textId="77777777">
        <w:tc>
          <w:tcPr>
            <w:tcW w:w="1446" w:type="pct"/>
            <w:tcBorders>
              <w:top w:val="single" w:sz="6" w:space="0" w:color="auto"/>
            </w:tcBorders>
            <w:shd w:val="clear" w:color="auto" w:fill="auto"/>
          </w:tcPr>
          <w:p w14:paraId="1AD095A7" w14:textId="18EEC36B" w:rsidR="00303807" w:rsidRPr="00CB2EB0" w:rsidRDefault="00303807" w:rsidP="00303807">
            <w:pPr>
              <w:pStyle w:val="TabellRader"/>
              <w:jc w:val="left"/>
            </w:pPr>
            <w:r w:rsidRPr="00CB2EB0">
              <w:t>Nominell kronskuld</w:t>
            </w:r>
          </w:p>
        </w:tc>
        <w:tc>
          <w:tcPr>
            <w:tcW w:w="888" w:type="pct"/>
            <w:tcBorders>
              <w:top w:val="single" w:sz="6" w:space="0" w:color="auto"/>
            </w:tcBorders>
            <w:shd w:val="clear" w:color="auto" w:fill="auto"/>
          </w:tcPr>
          <w:p w14:paraId="4F09F0F2" w14:textId="34C48F97" w:rsidR="00303807" w:rsidRPr="00CB2EB0" w:rsidRDefault="005315E6" w:rsidP="00303807">
            <w:pPr>
              <w:pStyle w:val="TabellRader"/>
            </w:pPr>
            <w:r w:rsidRPr="00CB2EB0">
              <w:t>0,2</w:t>
            </w:r>
          </w:p>
        </w:tc>
        <w:tc>
          <w:tcPr>
            <w:tcW w:w="890" w:type="pct"/>
            <w:tcBorders>
              <w:top w:val="single" w:sz="6" w:space="0" w:color="auto"/>
            </w:tcBorders>
            <w:shd w:val="clear" w:color="auto" w:fill="auto"/>
          </w:tcPr>
          <w:p w14:paraId="4B6D667B" w14:textId="4C1568DC" w:rsidR="00303807" w:rsidRPr="00CB2EB0" w:rsidRDefault="005F184D" w:rsidP="00303807">
            <w:pPr>
              <w:pStyle w:val="TabellRader"/>
            </w:pPr>
            <w:r w:rsidRPr="00CB2EB0">
              <w:t>0,</w:t>
            </w:r>
            <w:r w:rsidR="00C013E0" w:rsidRPr="00CB2EB0">
              <w:t>3</w:t>
            </w:r>
          </w:p>
        </w:tc>
        <w:tc>
          <w:tcPr>
            <w:tcW w:w="890" w:type="pct"/>
            <w:tcBorders>
              <w:top w:val="single" w:sz="6" w:space="0" w:color="auto"/>
            </w:tcBorders>
            <w:shd w:val="clear" w:color="auto" w:fill="auto"/>
          </w:tcPr>
          <w:p w14:paraId="3F014C1C" w14:textId="13DF891D" w:rsidR="00303807" w:rsidRPr="00CB2EB0" w:rsidRDefault="005315E6" w:rsidP="00303807">
            <w:pPr>
              <w:pStyle w:val="TabellRader"/>
            </w:pPr>
            <w:r w:rsidRPr="00CB2EB0">
              <w:t>0,2</w:t>
            </w:r>
          </w:p>
        </w:tc>
        <w:tc>
          <w:tcPr>
            <w:tcW w:w="886" w:type="pct"/>
            <w:tcBorders>
              <w:top w:val="single" w:sz="6" w:space="0" w:color="auto"/>
            </w:tcBorders>
            <w:shd w:val="clear" w:color="auto" w:fill="auto"/>
          </w:tcPr>
          <w:p w14:paraId="2FD19654" w14:textId="018CF98F" w:rsidR="00303807" w:rsidRPr="00CB2EB0" w:rsidRDefault="005315E6" w:rsidP="00303807">
            <w:pPr>
              <w:pStyle w:val="TabellRader"/>
            </w:pPr>
            <w:r w:rsidRPr="00CB2EB0">
              <w:t>0,3</w:t>
            </w:r>
          </w:p>
        </w:tc>
      </w:tr>
      <w:tr w:rsidR="00DF7D1D" w14:paraId="5E63EADB" w14:textId="77777777">
        <w:tc>
          <w:tcPr>
            <w:tcW w:w="1446" w:type="pct"/>
            <w:shd w:val="clear" w:color="auto" w:fill="auto"/>
          </w:tcPr>
          <w:p w14:paraId="430878CD" w14:textId="7F6B6BA8" w:rsidR="00303807" w:rsidRPr="00CB2EB0" w:rsidRDefault="00303807" w:rsidP="00303807">
            <w:pPr>
              <w:pStyle w:val="TabellRader"/>
              <w:jc w:val="left"/>
            </w:pPr>
            <w:r w:rsidRPr="00CB2EB0">
              <w:t>Real kronskuld</w:t>
            </w:r>
          </w:p>
        </w:tc>
        <w:tc>
          <w:tcPr>
            <w:tcW w:w="888" w:type="pct"/>
            <w:shd w:val="clear" w:color="auto" w:fill="auto"/>
          </w:tcPr>
          <w:p w14:paraId="370F1E06" w14:textId="5C3BD9BD" w:rsidR="00303807" w:rsidRPr="00CB2EB0" w:rsidRDefault="005315E6" w:rsidP="00303807">
            <w:pPr>
              <w:pStyle w:val="TabellRader"/>
            </w:pPr>
            <w:r w:rsidRPr="00CB2EB0">
              <w:t>2,8</w:t>
            </w:r>
          </w:p>
        </w:tc>
        <w:tc>
          <w:tcPr>
            <w:tcW w:w="890" w:type="pct"/>
            <w:shd w:val="clear" w:color="auto" w:fill="auto"/>
          </w:tcPr>
          <w:p w14:paraId="59FFA5F1" w14:textId="5421B23C" w:rsidR="00303807" w:rsidRPr="00CB2EB0" w:rsidRDefault="005F184D" w:rsidP="00303807">
            <w:pPr>
              <w:pStyle w:val="TabellRader"/>
            </w:pPr>
            <w:r w:rsidRPr="00CB2EB0">
              <w:t>2,</w:t>
            </w:r>
            <w:r w:rsidR="00C013E0" w:rsidRPr="00CB2EB0">
              <w:t>1</w:t>
            </w:r>
          </w:p>
        </w:tc>
        <w:tc>
          <w:tcPr>
            <w:tcW w:w="890" w:type="pct"/>
            <w:shd w:val="clear" w:color="auto" w:fill="auto"/>
          </w:tcPr>
          <w:p w14:paraId="3F8DFF9E" w14:textId="40A175BA" w:rsidR="00303807" w:rsidRPr="00CB2EB0" w:rsidRDefault="005315E6" w:rsidP="00303807">
            <w:pPr>
              <w:pStyle w:val="TabellRader"/>
            </w:pPr>
            <w:r w:rsidRPr="00CB2EB0">
              <w:t>2,9</w:t>
            </w:r>
          </w:p>
        </w:tc>
        <w:tc>
          <w:tcPr>
            <w:tcW w:w="886" w:type="pct"/>
            <w:shd w:val="clear" w:color="auto" w:fill="auto"/>
          </w:tcPr>
          <w:p w14:paraId="45942DE9" w14:textId="7B0C5242" w:rsidR="00303807" w:rsidRPr="00CB2EB0" w:rsidRDefault="005315E6" w:rsidP="00303807">
            <w:pPr>
              <w:pStyle w:val="TabellRader"/>
            </w:pPr>
            <w:r w:rsidRPr="00CB2EB0">
              <w:t>3,0</w:t>
            </w:r>
          </w:p>
        </w:tc>
      </w:tr>
      <w:tr w:rsidR="00DF7D1D" w14:paraId="3A35BF88" w14:textId="77777777">
        <w:tc>
          <w:tcPr>
            <w:tcW w:w="1446" w:type="pct"/>
            <w:shd w:val="clear" w:color="auto" w:fill="auto"/>
          </w:tcPr>
          <w:p w14:paraId="09A37084" w14:textId="04DCCADF" w:rsidR="00303807" w:rsidRPr="00CB2EB0" w:rsidRDefault="00303807" w:rsidP="00303807">
            <w:pPr>
              <w:pStyle w:val="TabellRader"/>
              <w:jc w:val="left"/>
            </w:pPr>
            <w:r w:rsidRPr="00CB2EB0">
              <w:t>Valutaskuld</w:t>
            </w:r>
          </w:p>
        </w:tc>
        <w:tc>
          <w:tcPr>
            <w:tcW w:w="888" w:type="pct"/>
            <w:shd w:val="clear" w:color="auto" w:fill="auto"/>
          </w:tcPr>
          <w:p w14:paraId="5E2032EC" w14:textId="678975C4" w:rsidR="00303807" w:rsidRPr="00CB2EB0" w:rsidRDefault="005315E6" w:rsidP="00303807">
            <w:pPr>
              <w:pStyle w:val="TabellRader"/>
            </w:pPr>
            <w:r w:rsidRPr="00CB2EB0">
              <w:t>4,0</w:t>
            </w:r>
          </w:p>
        </w:tc>
        <w:tc>
          <w:tcPr>
            <w:tcW w:w="890" w:type="pct"/>
            <w:shd w:val="clear" w:color="auto" w:fill="auto"/>
          </w:tcPr>
          <w:p w14:paraId="144E5FB4" w14:textId="2CD1B4CA" w:rsidR="00303807" w:rsidRPr="00CB2EB0" w:rsidRDefault="00C013E0" w:rsidP="00303807">
            <w:pPr>
              <w:pStyle w:val="TabellRader"/>
            </w:pPr>
            <w:r w:rsidRPr="00CB2EB0">
              <w:t>4</w:t>
            </w:r>
            <w:r w:rsidR="00A957BC">
              <w:t>,</w:t>
            </w:r>
            <w:r w:rsidRPr="00CB2EB0">
              <w:t>9</w:t>
            </w:r>
          </w:p>
        </w:tc>
        <w:tc>
          <w:tcPr>
            <w:tcW w:w="890" w:type="pct"/>
            <w:shd w:val="clear" w:color="auto" w:fill="auto"/>
          </w:tcPr>
          <w:p w14:paraId="1DBA394F" w14:textId="0C3AC9F1" w:rsidR="00303807" w:rsidRPr="00CB2EB0" w:rsidRDefault="005315E6" w:rsidP="00303807">
            <w:pPr>
              <w:pStyle w:val="TabellRader"/>
            </w:pPr>
            <w:r w:rsidRPr="00CB2EB0">
              <w:t>5,5</w:t>
            </w:r>
          </w:p>
        </w:tc>
        <w:tc>
          <w:tcPr>
            <w:tcW w:w="886" w:type="pct"/>
            <w:shd w:val="clear" w:color="auto" w:fill="auto"/>
          </w:tcPr>
          <w:p w14:paraId="0C355907" w14:textId="41557724" w:rsidR="00303807" w:rsidRPr="00CB2EB0" w:rsidRDefault="005315E6" w:rsidP="00303807">
            <w:pPr>
              <w:pStyle w:val="TabellRader"/>
            </w:pPr>
            <w:r w:rsidRPr="00CB2EB0">
              <w:t>5,4</w:t>
            </w:r>
          </w:p>
        </w:tc>
      </w:tr>
      <w:tr w:rsidR="00DF7D1D" w14:paraId="3B01946E" w14:textId="77777777">
        <w:tc>
          <w:tcPr>
            <w:tcW w:w="1446" w:type="pct"/>
            <w:tcBorders>
              <w:bottom w:val="single" w:sz="8" w:space="0" w:color="auto"/>
            </w:tcBorders>
            <w:shd w:val="clear" w:color="auto" w:fill="auto"/>
          </w:tcPr>
          <w:p w14:paraId="5D4E77E2" w14:textId="63D0198D" w:rsidR="00303807" w:rsidRPr="00CB2EB0" w:rsidRDefault="00303807" w:rsidP="00303807">
            <w:pPr>
              <w:pStyle w:val="TabellSlutsumma"/>
              <w:jc w:val="left"/>
            </w:pPr>
            <w:r w:rsidRPr="00CB2EB0">
              <w:t>Totalt</w:t>
            </w:r>
          </w:p>
        </w:tc>
        <w:tc>
          <w:tcPr>
            <w:tcW w:w="888" w:type="pct"/>
            <w:tcBorders>
              <w:bottom w:val="single" w:sz="8" w:space="0" w:color="auto"/>
            </w:tcBorders>
            <w:shd w:val="clear" w:color="auto" w:fill="auto"/>
          </w:tcPr>
          <w:p w14:paraId="265A030D" w14:textId="2FCEFDA3" w:rsidR="00303807" w:rsidRPr="00CB2EB0" w:rsidRDefault="005315E6" w:rsidP="00303807">
            <w:pPr>
              <w:pStyle w:val="TabellSlutsumma"/>
            </w:pPr>
            <w:r w:rsidRPr="00CB2EB0">
              <w:t>1,0</w:t>
            </w:r>
          </w:p>
        </w:tc>
        <w:tc>
          <w:tcPr>
            <w:tcW w:w="890" w:type="pct"/>
            <w:tcBorders>
              <w:bottom w:val="single" w:sz="8" w:space="0" w:color="auto"/>
            </w:tcBorders>
            <w:shd w:val="clear" w:color="auto" w:fill="auto"/>
          </w:tcPr>
          <w:p w14:paraId="6633DD6A" w14:textId="705C962A" w:rsidR="00303807" w:rsidRPr="00CB2EB0" w:rsidRDefault="005F184D" w:rsidP="00303807">
            <w:pPr>
              <w:pStyle w:val="TabellSlutsumma"/>
            </w:pPr>
            <w:r w:rsidRPr="00CB2EB0">
              <w:t>1,</w:t>
            </w:r>
            <w:r w:rsidR="00C013E0" w:rsidRPr="00CB2EB0">
              <w:t>0</w:t>
            </w:r>
          </w:p>
        </w:tc>
        <w:tc>
          <w:tcPr>
            <w:tcW w:w="890" w:type="pct"/>
            <w:tcBorders>
              <w:bottom w:val="single" w:sz="8" w:space="0" w:color="auto"/>
            </w:tcBorders>
            <w:shd w:val="clear" w:color="auto" w:fill="auto"/>
          </w:tcPr>
          <w:p w14:paraId="6EC22796" w14:textId="2C49590D" w:rsidR="00303807" w:rsidRPr="00CB2EB0" w:rsidRDefault="005315E6" w:rsidP="00303807">
            <w:pPr>
              <w:pStyle w:val="TabellSlutsumma"/>
            </w:pPr>
            <w:r w:rsidRPr="00CB2EB0">
              <w:t>1,2</w:t>
            </w:r>
          </w:p>
        </w:tc>
        <w:tc>
          <w:tcPr>
            <w:tcW w:w="886" w:type="pct"/>
            <w:tcBorders>
              <w:bottom w:val="single" w:sz="8" w:space="0" w:color="auto"/>
            </w:tcBorders>
            <w:shd w:val="clear" w:color="auto" w:fill="auto"/>
          </w:tcPr>
          <w:p w14:paraId="29759DE7" w14:textId="64652ABB" w:rsidR="00303807" w:rsidRPr="00CB2EB0" w:rsidRDefault="005315E6" w:rsidP="00303807">
            <w:pPr>
              <w:pStyle w:val="TabellSlutsumma"/>
            </w:pPr>
            <w:r w:rsidRPr="00CB2EB0">
              <w:t>1,0</w:t>
            </w:r>
          </w:p>
        </w:tc>
      </w:tr>
    </w:tbl>
    <w:p w14:paraId="530A7B51" w14:textId="2C97740F" w:rsidR="00A65071" w:rsidRPr="00CB2EB0" w:rsidRDefault="00D41584" w:rsidP="006F7533">
      <w:pPr>
        <w:pStyle w:val="TabellFotnot"/>
      </w:pPr>
      <w:r w:rsidRPr="00CB2EB0">
        <w:t>Källa: Riksgäldskontoret</w:t>
      </w:r>
      <w:r w:rsidR="00C15CD7" w:rsidRPr="00CB2EB0">
        <w:t>.</w:t>
      </w:r>
    </w:p>
    <w:p w14:paraId="743C67A3" w14:textId="24ADA798" w:rsidR="00A65071" w:rsidRPr="00CB2EB0" w:rsidRDefault="00444C50" w:rsidP="00FC17EB">
      <w:pPr>
        <w:pStyle w:val="Rubrik5efterram"/>
        <w:outlineLvl w:val="3"/>
      </w:pPr>
      <w:r w:rsidRPr="00CB2EB0">
        <w:t>Ränteomsättningsrisk</w:t>
      </w:r>
    </w:p>
    <w:p w14:paraId="7F04DF83" w14:textId="0B7F6772" w:rsidR="00A65071" w:rsidRPr="00CB2EB0" w:rsidRDefault="00444C50" w:rsidP="00444C50">
      <w:pPr>
        <w:pStyle w:val="Brdtextmedindrag"/>
        <w:ind w:firstLine="0"/>
      </w:pPr>
      <w:r w:rsidRPr="00CB2EB0">
        <w:t xml:space="preserve">Med ränteomsättningsrisk </w:t>
      </w:r>
      <w:r w:rsidR="0049264F" w:rsidRPr="00CB2EB0">
        <w:t xml:space="preserve">avses </w:t>
      </w:r>
      <w:r w:rsidRPr="00CB2EB0">
        <w:t xml:space="preserve">risken att räntan på skulden snabbt stiger om marknadsräntorna </w:t>
      </w:r>
      <w:r w:rsidR="00406125" w:rsidRPr="00CB2EB0">
        <w:t>stiger</w:t>
      </w:r>
      <w:r w:rsidRPr="00CB2EB0">
        <w:t>. Ju större andel av skulden som består av korta och rörliga lån desto känsligare är statsskulden för förändrade marknads</w:t>
      </w:r>
      <w:r w:rsidR="00E558D9">
        <w:softHyphen/>
      </w:r>
      <w:r w:rsidRPr="00CB2EB0">
        <w:t>räntor. En viktig faktor i avvägningen mellan kostnad och risk är löptids</w:t>
      </w:r>
      <w:r w:rsidR="000547BE">
        <w:softHyphen/>
      </w:r>
      <w:r w:rsidRPr="00CB2EB0">
        <w:t>premien, vilke</w:t>
      </w:r>
      <w:r w:rsidR="00D61938" w:rsidRPr="00CB2EB0">
        <w:t>n</w:t>
      </w:r>
      <w:r w:rsidRPr="00CB2EB0">
        <w:t xml:space="preserve"> motsvarar den strukturella besparingen av att låna i korta löptider jämfört med långa löptider.</w:t>
      </w:r>
    </w:p>
    <w:p w14:paraId="2670821F" w14:textId="59C85113" w:rsidR="00444C50" w:rsidRPr="00CB2EB0" w:rsidRDefault="00EC473C" w:rsidP="00C50F9A">
      <w:pPr>
        <w:pStyle w:val="Brdtextmedindrag"/>
      </w:pPr>
      <w:r w:rsidRPr="00CB2EB0">
        <w:fldChar w:fldCharType="begin"/>
      </w:r>
      <w:r w:rsidRPr="00CB2EB0">
        <w:instrText xml:space="preserve"> REF _Ref223428244 \h </w:instrText>
      </w:r>
      <w:r w:rsidR="00CB2EB0">
        <w:instrText xml:space="preserve"> \* MERGEFORMAT </w:instrText>
      </w:r>
      <w:r w:rsidRPr="00CB2EB0">
        <w:fldChar w:fldCharType="separate"/>
      </w:r>
      <w:r w:rsidR="001959AC" w:rsidRPr="00CB2EB0">
        <w:t xml:space="preserve">Figur </w:t>
      </w:r>
      <w:r w:rsidR="001959AC">
        <w:rPr>
          <w:noProof/>
        </w:rPr>
        <w:t>4</w:t>
      </w:r>
      <w:r w:rsidR="001959AC" w:rsidRPr="00CB2EB0">
        <w:t>.</w:t>
      </w:r>
      <w:r w:rsidR="001959AC">
        <w:rPr>
          <w:noProof/>
        </w:rPr>
        <w:t>3</w:t>
      </w:r>
      <w:r w:rsidRPr="00CB2EB0">
        <w:fldChar w:fldCharType="end"/>
      </w:r>
      <w:r w:rsidRPr="00CB2EB0">
        <w:t xml:space="preserve"> </w:t>
      </w:r>
      <w:r w:rsidR="005F309F" w:rsidRPr="00CB2EB0">
        <w:t>i avsnitt 4.2 visar löptiden för statsskulden i termer av duration</w:t>
      </w:r>
      <w:r w:rsidR="000B2E4A" w:rsidRPr="00CB2EB0">
        <w:t xml:space="preserve"> för </w:t>
      </w:r>
      <w:r w:rsidR="00D61938" w:rsidRPr="00CB2EB0">
        <w:t xml:space="preserve">åren </w:t>
      </w:r>
      <w:r w:rsidR="00BB460B" w:rsidRPr="00CB2EB0">
        <w:t>2021–2024</w:t>
      </w:r>
      <w:r w:rsidR="000B2E4A" w:rsidRPr="00CB2EB0">
        <w:t xml:space="preserve"> och i termer av ATR för 2025</w:t>
      </w:r>
      <w:r w:rsidR="005F309F" w:rsidRPr="00CB2EB0">
        <w:t>. Av den</w:t>
      </w:r>
      <w:r w:rsidR="00D61938" w:rsidRPr="00CB2EB0">
        <w:t xml:space="preserve"> figuren</w:t>
      </w:r>
      <w:r w:rsidR="005F309F" w:rsidRPr="00CB2EB0">
        <w:t xml:space="preserve"> framgår att </w:t>
      </w:r>
      <w:r w:rsidR="00CB628F" w:rsidRPr="00CB2EB0">
        <w:t xml:space="preserve">löptiden </w:t>
      </w:r>
      <w:r w:rsidR="005F309F" w:rsidRPr="00CB2EB0">
        <w:t xml:space="preserve">varit relativt konstant över utvärderingsperioden. Under utvärderingsperioden var löptiden </w:t>
      </w:r>
      <w:r w:rsidR="00DA28BD" w:rsidRPr="00CB2EB0">
        <w:t>i genomsnitt 4,85</w:t>
      </w:r>
      <w:r w:rsidR="003432E3" w:rsidRPr="00CB2EB0">
        <w:t> </w:t>
      </w:r>
      <w:r w:rsidR="00DA28BD" w:rsidRPr="00CB2EB0">
        <w:t>år</w:t>
      </w:r>
      <w:r w:rsidR="005F309F" w:rsidRPr="00CB2EB0">
        <w:t xml:space="preserve">. Variationen i löptid mellan enstaka år har varit låg. </w:t>
      </w:r>
      <w:r w:rsidR="00DE0F61" w:rsidRPr="00CB2EB0">
        <w:t>Löptiden var som längst 5,4</w:t>
      </w:r>
      <w:r w:rsidR="003432E3" w:rsidRPr="00CB2EB0">
        <w:t> </w:t>
      </w:r>
      <w:r w:rsidR="00DE0F61" w:rsidRPr="00CB2EB0">
        <w:t>år i slutet av 2021 och som kortast 4,2</w:t>
      </w:r>
      <w:r w:rsidR="003432E3" w:rsidRPr="00CB2EB0">
        <w:t> </w:t>
      </w:r>
      <w:r w:rsidR="00DE0F61" w:rsidRPr="00CB2EB0">
        <w:t xml:space="preserve">år i slutet av 2024, mätt i termer av duration. </w:t>
      </w:r>
      <w:r w:rsidR="005F309F" w:rsidRPr="00CB2EB0">
        <w:t xml:space="preserve">En kortare </w:t>
      </w:r>
      <w:r w:rsidR="000C4119" w:rsidRPr="00CB2EB0">
        <w:t xml:space="preserve">löptid </w:t>
      </w:r>
      <w:r w:rsidR="005F309F" w:rsidRPr="00CB2EB0">
        <w:t>innebär att ränteomsättningsrisken ökar eftersom en högre andel av skulden omsätts varje år. Riksgäldskontoret har vid tidigare tillfällen påpekat att ett gemensamt styrintervall för stats</w:t>
      </w:r>
      <w:r w:rsidR="00F90CE6">
        <w:softHyphen/>
      </w:r>
      <w:r w:rsidR="005F309F" w:rsidRPr="00CB2EB0">
        <w:t>skuldens löptid ger en bättre överblick över ränteomsättningsrisken.</w:t>
      </w:r>
    </w:p>
    <w:p w14:paraId="057B9EAD" w14:textId="713D56B6" w:rsidR="00444C50" w:rsidRPr="00CB2EB0" w:rsidRDefault="00444C50" w:rsidP="00FC17EB">
      <w:pPr>
        <w:pStyle w:val="Rubrik5efterram"/>
        <w:outlineLvl w:val="3"/>
      </w:pPr>
      <w:r w:rsidRPr="00CB2EB0">
        <w:t>Refinansieringsrisk</w:t>
      </w:r>
    </w:p>
    <w:p w14:paraId="1529FCC8" w14:textId="06660C3B" w:rsidR="0017777C" w:rsidRPr="00CB2EB0" w:rsidRDefault="007C048A" w:rsidP="00E22AC9">
      <w:pPr>
        <w:pStyle w:val="Brdtext"/>
      </w:pPr>
      <w:r w:rsidRPr="00CB2EB0">
        <w:t>Refinansieringsrisk avser risken för att förfallande lån inte kan ersättas med nya lån annat än till märkbart högre kostnader eller i värsta fall inte refinansieras alls. Refinansieringsrisken anses därför vanligtvis bli högre ju större lån som förfaller den närmaste tiden. Detta är dock delvis en förenkling eftersom Riksgäldskontoret inte finansierar obligationsförfall genom att vid förfall ge ut en ny obligation. Refinansieringsrisken sprids i</w:t>
      </w:r>
      <w:r w:rsidR="00D9789C">
        <w:t> </w:t>
      </w:r>
      <w:r w:rsidRPr="00CB2EB0">
        <w:t xml:space="preserve">stället ut över tid genom långsiktig låneplanering och jämnt fördelade emissionsvolymer i regelbundna auktioner. Gamla obligationslån ersätts ofta innan de förfaller. Refinansieringsrisken som beror på förfallande lån bör dock ändå beaktas. I </w:t>
      </w:r>
      <w:r w:rsidR="00702634" w:rsidRPr="00CB2EB0">
        <w:fldChar w:fldCharType="begin"/>
      </w:r>
      <w:r w:rsidR="00702634" w:rsidRPr="00CB2EB0">
        <w:instrText xml:space="preserve"> REF  _Ref222912925 \* Lower \h  \* MERGEFORMAT </w:instrText>
      </w:r>
      <w:r w:rsidR="00702634" w:rsidRPr="00CB2EB0">
        <w:fldChar w:fldCharType="separate"/>
      </w:r>
      <w:r w:rsidR="001959AC" w:rsidRPr="00CB2EB0">
        <w:t xml:space="preserve">figur </w:t>
      </w:r>
      <w:r w:rsidR="001959AC">
        <w:rPr>
          <w:noProof/>
        </w:rPr>
        <w:t>4</w:t>
      </w:r>
      <w:r w:rsidR="001959AC" w:rsidRPr="00CB2EB0">
        <w:t>.</w:t>
      </w:r>
      <w:r w:rsidR="001959AC">
        <w:rPr>
          <w:noProof/>
        </w:rPr>
        <w:t>6</w:t>
      </w:r>
      <w:r w:rsidR="00702634" w:rsidRPr="00CB2EB0">
        <w:fldChar w:fldCharType="end"/>
      </w:r>
      <w:r w:rsidR="003934B3" w:rsidRPr="00CB2EB0">
        <w:t xml:space="preserve"> </w:t>
      </w:r>
      <w:r w:rsidRPr="00CB2EB0">
        <w:t xml:space="preserve">visas refinansieringsrisken, dvs. hur stor </w:t>
      </w:r>
      <w:r w:rsidRPr="00CB2EB0">
        <w:lastRenderedPageBreak/>
        <w:t>andel av statsskulden som förfaller inom tolv månader</w:t>
      </w:r>
      <w:r w:rsidR="0091422E" w:rsidRPr="00CB2EB0">
        <w:t xml:space="preserve"> samt inom </w:t>
      </w:r>
      <w:r w:rsidR="00755470" w:rsidRPr="00CB2EB0">
        <w:t>fem</w:t>
      </w:r>
      <w:r w:rsidR="0091422E" w:rsidRPr="00CB2EB0">
        <w:t xml:space="preserve"> år</w:t>
      </w:r>
      <w:r w:rsidRPr="00CB2EB0">
        <w:t>. En högre andel som ska refinansieras det närmaste året innebär högre refinansieringsrisk. Samtidigt bidrar även en högre andel förfall det närm</w:t>
      </w:r>
      <w:r w:rsidR="00555251" w:rsidRPr="00CB2EB0">
        <w:t>a</w:t>
      </w:r>
      <w:r w:rsidRPr="00CB2EB0">
        <w:t>st</w:t>
      </w:r>
      <w:r w:rsidR="00555251" w:rsidRPr="00CB2EB0">
        <w:t>e</w:t>
      </w:r>
      <w:r w:rsidRPr="00CB2EB0">
        <w:t xml:space="preserve"> året till flexibilitet att hantera en ökad osäkerhet i nettolåne</w:t>
      </w:r>
      <w:r w:rsidR="002F37E2">
        <w:softHyphen/>
      </w:r>
      <w:r w:rsidRPr="00CB2EB0">
        <w:t>behovet.</w:t>
      </w:r>
      <w:r w:rsidR="003934B3" w:rsidRPr="00CB2EB0">
        <w:t xml:space="preserve"> Refinansieringsrisken visar på en tydlig kalendervariation med uppgångar runt årsskiftena som en följd av omfattande penningmarkn</w:t>
      </w:r>
      <w:r w:rsidR="008A1061">
        <w:t>a</w:t>
      </w:r>
      <w:r w:rsidR="003934B3" w:rsidRPr="00CB2EB0">
        <w:t>dsupplåning, dvs. kortfristig upplåning. Detta beror på att staten har stora betalningar i december.</w:t>
      </w:r>
    </w:p>
    <w:p w14:paraId="04204ABF" w14:textId="3CAB3C04" w:rsidR="007A2E7D" w:rsidRPr="00CB2EB0" w:rsidRDefault="00444C50" w:rsidP="00FC17EB">
      <w:pPr>
        <w:pStyle w:val="Rubrik5efterram"/>
        <w:outlineLvl w:val="3"/>
      </w:pPr>
      <w:r w:rsidRPr="00CB2EB0">
        <w:t>Motpartsrisk</w:t>
      </w:r>
    </w:p>
    <w:p w14:paraId="33332164" w14:textId="0D90A226" w:rsidR="002159DF" w:rsidRPr="00CB2EB0" w:rsidRDefault="00444C50" w:rsidP="002159DF">
      <w:pPr>
        <w:pStyle w:val="Brdtext"/>
      </w:pPr>
      <w:r w:rsidRPr="00CB2EB0">
        <w:t>Med motpartsrisk avses risken att motparten i en transaktion inte kan fullgöra sina förpliktelser. Sådan risk uppstår dels vid placering av överskott i likviditetsförvaltningen, dels då Riksgäldskontoret gör derivat</w:t>
      </w:r>
      <w:r w:rsidR="00667A2E">
        <w:softHyphen/>
      </w:r>
      <w:r w:rsidRPr="00CB2EB0">
        <w:t xml:space="preserve">transaktioner utan central motpartsclearing. Hur risken hanteras skiljer sig åt mellan placeringar och derivattransaktioner, men gemensamt är att Riksgäldskontoret ställer </w:t>
      </w:r>
      <w:r w:rsidR="00BD35B6" w:rsidRPr="00CB2EB0">
        <w:t xml:space="preserve">höga krav </w:t>
      </w:r>
      <w:r w:rsidRPr="00CB2EB0">
        <w:t>på motpartens kreditbetyg.</w:t>
      </w:r>
      <w:r w:rsidR="002159DF" w:rsidRPr="00CB2EB0">
        <w:t xml:space="preserve"> </w:t>
      </w:r>
    </w:p>
    <w:p w14:paraId="08D81A49" w14:textId="6DA49A1C" w:rsidR="000110DC" w:rsidRPr="00CB2EB0" w:rsidRDefault="005F562E" w:rsidP="006F7533">
      <w:pPr>
        <w:pStyle w:val="Brdtextmedindrag"/>
      </w:pPr>
      <w:r w:rsidRPr="00CB2EB0">
        <w:t>Riksgäldskontoret</w:t>
      </w:r>
      <w:r w:rsidR="00083B56" w:rsidRPr="00CB2EB0">
        <w:t xml:space="preserve"> hanterade kassaöverskotten under 2024 och 2025 inom ordinarie limiter och placerade dem hos motparter med god kredit</w:t>
      </w:r>
      <w:r w:rsidR="00F50697">
        <w:softHyphen/>
      </w:r>
      <w:r w:rsidR="00083B56" w:rsidRPr="00CB2EB0">
        <w:t>värdighet. Det inträffade inga avvikelser från de kreditrisklimiter som styrelsen fastställt. Derivattransaktioner genomfördes med etablerade mot</w:t>
      </w:r>
      <w:r w:rsidR="00667A2E">
        <w:softHyphen/>
      </w:r>
      <w:r w:rsidR="00083B56" w:rsidRPr="00CB2EB0">
        <w:t xml:space="preserve">parter och omfattas av säkerhetsarrangemang som begränsar kreditrisken. </w:t>
      </w:r>
    </w:p>
    <w:p w14:paraId="006BEDA1" w14:textId="09A72DA2" w:rsidR="002159DF" w:rsidRPr="00CB2EB0" w:rsidRDefault="0086533A" w:rsidP="00FC17EB">
      <w:pPr>
        <w:pStyle w:val="Rubrik5efterram"/>
        <w:outlineLvl w:val="3"/>
      </w:pPr>
      <w:r w:rsidRPr="00CB2EB0">
        <w:t>Likviditeten på statsobligationsmarknaden</w:t>
      </w:r>
    </w:p>
    <w:p w14:paraId="1B92A8B7" w14:textId="7E85EC3D" w:rsidR="008F15F4" w:rsidRPr="00CB2EB0" w:rsidRDefault="00A22A3F" w:rsidP="006F7533">
      <w:pPr>
        <w:pStyle w:val="Brdtextmedindrag"/>
        <w:ind w:firstLine="0"/>
      </w:pPr>
      <w:r w:rsidRPr="00CB2EB0">
        <w:t xml:space="preserve">Som emittent verkar Riksgäldskontoret på primärmarknaden och obligationerna säljs </w:t>
      </w:r>
      <w:r w:rsidR="00E24C2E" w:rsidRPr="00CB2EB0">
        <w:t xml:space="preserve">via återförsäljare </w:t>
      </w:r>
      <w:r w:rsidRPr="00CB2EB0">
        <w:t xml:space="preserve">vidare till andra investerare på sekundärmarknaden. Likviditeten på sekundärmarknaden har stor betydelse för likviditeten på primärmarknaden och för att marknaden för statspapper som helhet ska fungera bra. Bristande likviditet </w:t>
      </w:r>
      <w:r w:rsidR="00904D6F" w:rsidRPr="00CB2EB0">
        <w:t xml:space="preserve">kan </w:t>
      </w:r>
      <w:r w:rsidRPr="00CB2EB0">
        <w:t>led</w:t>
      </w:r>
      <w:r w:rsidR="00904D6F" w:rsidRPr="00CB2EB0">
        <w:t xml:space="preserve">a </w:t>
      </w:r>
      <w:r w:rsidRPr="00CB2EB0">
        <w:t xml:space="preserve">till </w:t>
      </w:r>
      <w:r w:rsidR="00904D6F" w:rsidRPr="00CB2EB0">
        <w:t xml:space="preserve">mer volatila priser och ökad osäkerhet, </w:t>
      </w:r>
      <w:r w:rsidRPr="00CB2EB0">
        <w:t>högre upplåningskostnader för staten, svårigheter att låna upp stora belopp i händelser av kris och svårigheter attrahera investerare.</w:t>
      </w:r>
      <w:r w:rsidR="008F15F4" w:rsidRPr="00CB2EB0">
        <w:t xml:space="preserve"> </w:t>
      </w:r>
    </w:p>
    <w:p w14:paraId="4CF1F21D" w14:textId="6BF68A8F" w:rsidR="004D074B" w:rsidRPr="00CB2EB0" w:rsidRDefault="008F15F4" w:rsidP="00A005CC">
      <w:pPr>
        <w:pStyle w:val="Brdtextmedindrag"/>
      </w:pPr>
      <w:r w:rsidRPr="00CB2EB0">
        <w:t>Avsaknaden av ett standardiserat mått som mäter alla likviditetens dimensioner medför att likviditeten är svår att uppskatta. Finans</w:t>
      </w:r>
      <w:r w:rsidR="00C011D4">
        <w:softHyphen/>
      </w:r>
      <w:r w:rsidRPr="00CB2EB0">
        <w:t>inspektionen har dock utvecklat ett aggregerat mått för marknads</w:t>
      </w:r>
      <w:r w:rsidR="00097FE7">
        <w:softHyphen/>
      </w:r>
      <w:r w:rsidRPr="00CB2EB0">
        <w:t xml:space="preserve">likviditeten genom att beräkna och väga samman </w:t>
      </w:r>
      <w:r w:rsidR="00B97B5F">
        <w:t>flera</w:t>
      </w:r>
      <w:r w:rsidRPr="00CB2EB0">
        <w:t xml:space="preserve"> indikatorer. Detta likviditetsindex syftar till att ge en övergripande bild av marknads</w:t>
      </w:r>
      <w:r w:rsidR="00FC7811">
        <w:softHyphen/>
      </w:r>
      <w:r w:rsidRPr="00CB2EB0">
        <w:t xml:space="preserve">likviditeten för nominella statsobligationer. De enskilda indikatorerna avser transaktioner, omsättning och priser på statsobligationsmarknaden. Ett högre värde motsvarar högre likviditet på marknaden. </w:t>
      </w:r>
    </w:p>
    <w:p w14:paraId="4199A17F" w14:textId="2E25CCE6" w:rsidR="00FA6ABE" w:rsidRPr="00CB2EB0" w:rsidRDefault="008F15F4" w:rsidP="00FA6ABE">
      <w:pPr>
        <w:pStyle w:val="Brdtextmedindrag"/>
      </w:pPr>
      <w:r w:rsidRPr="00CB2EB0">
        <w:t xml:space="preserve">Som framgår av </w:t>
      </w:r>
      <w:r w:rsidR="004D074B" w:rsidRPr="00CB2EB0">
        <w:fldChar w:fldCharType="begin"/>
      </w:r>
      <w:r w:rsidR="004D074B" w:rsidRPr="00CB2EB0">
        <w:instrText xml:space="preserve"> REF  _Ref223426492 \* Lower \h  \* MERGEFORMAT </w:instrText>
      </w:r>
      <w:r w:rsidR="004D074B" w:rsidRPr="00CB2EB0">
        <w:fldChar w:fldCharType="separate"/>
      </w:r>
      <w:r w:rsidR="001959AC" w:rsidRPr="00CB2EB0">
        <w:t xml:space="preserve">figur </w:t>
      </w:r>
      <w:r w:rsidR="001959AC">
        <w:rPr>
          <w:noProof/>
        </w:rPr>
        <w:t>5</w:t>
      </w:r>
      <w:r w:rsidR="001959AC" w:rsidRPr="00CB2EB0">
        <w:t>.</w:t>
      </w:r>
      <w:r w:rsidR="001959AC">
        <w:rPr>
          <w:noProof/>
        </w:rPr>
        <w:t>3</w:t>
      </w:r>
      <w:r w:rsidR="004D074B" w:rsidRPr="00CB2EB0">
        <w:fldChar w:fldCharType="end"/>
      </w:r>
      <w:r w:rsidR="004D074B" w:rsidRPr="00CB2EB0">
        <w:t xml:space="preserve"> </w:t>
      </w:r>
      <w:r w:rsidRPr="00CB2EB0">
        <w:t xml:space="preserve">har likviditetsindex sjunkit under </w:t>
      </w:r>
      <w:r w:rsidR="006A0D9E" w:rsidRPr="00CB2EB0">
        <w:t xml:space="preserve">perioden </w:t>
      </w:r>
      <w:r w:rsidRPr="00CB2EB0">
        <w:t>20</w:t>
      </w:r>
      <w:r w:rsidR="00853AD9" w:rsidRPr="00CB2EB0">
        <w:t>21</w:t>
      </w:r>
      <w:r w:rsidRPr="00CB2EB0">
        <w:t>–202</w:t>
      </w:r>
      <w:r w:rsidR="00853AD9" w:rsidRPr="00CB2EB0">
        <w:t xml:space="preserve">3 för att sedan öka </w:t>
      </w:r>
      <w:r w:rsidR="003F2A04" w:rsidRPr="00CB2EB0">
        <w:t>2024</w:t>
      </w:r>
      <w:r w:rsidR="006A0D9E" w:rsidRPr="00CB2EB0">
        <w:t xml:space="preserve"> och </w:t>
      </w:r>
      <w:r w:rsidR="003F2A04" w:rsidRPr="00CB2EB0">
        <w:t>2025</w:t>
      </w:r>
      <w:r w:rsidRPr="00CB2EB0">
        <w:t>. Även genomsnittlig dags</w:t>
      </w:r>
      <w:r w:rsidR="00B205FD">
        <w:softHyphen/>
      </w:r>
      <w:r w:rsidRPr="00CB2EB0">
        <w:t xml:space="preserve">omsättning av nominella statsobligationer kan ge en indikation på marknadens likviditet. </w:t>
      </w:r>
      <w:r w:rsidR="00E3711A" w:rsidRPr="00CB2EB0">
        <w:fldChar w:fldCharType="begin"/>
      </w:r>
      <w:r w:rsidR="00E3711A" w:rsidRPr="00CB2EB0">
        <w:instrText xml:space="preserve"> REF _Ref223426492 \h </w:instrText>
      </w:r>
      <w:r w:rsidR="00CB2EB0">
        <w:instrText xml:space="preserve"> \* MERGEFORMAT </w:instrText>
      </w:r>
      <w:r w:rsidR="00E3711A" w:rsidRPr="00CB2EB0">
        <w:fldChar w:fldCharType="separate"/>
      </w:r>
      <w:r w:rsidR="001959AC" w:rsidRPr="00CB2EB0">
        <w:t xml:space="preserve">Figur </w:t>
      </w:r>
      <w:r w:rsidR="001959AC">
        <w:rPr>
          <w:noProof/>
        </w:rPr>
        <w:t>5</w:t>
      </w:r>
      <w:r w:rsidR="001959AC" w:rsidRPr="00CB2EB0">
        <w:t>.</w:t>
      </w:r>
      <w:r w:rsidR="001959AC">
        <w:rPr>
          <w:noProof/>
        </w:rPr>
        <w:t>3</w:t>
      </w:r>
      <w:r w:rsidR="00E3711A" w:rsidRPr="00CB2EB0">
        <w:fldChar w:fldCharType="end"/>
      </w:r>
      <w:r w:rsidR="00E3711A" w:rsidRPr="00CB2EB0">
        <w:t xml:space="preserve"> </w:t>
      </w:r>
      <w:r w:rsidRPr="00CB2EB0">
        <w:t xml:space="preserve">visar att omsättningen </w:t>
      </w:r>
      <w:r w:rsidR="00853AD9" w:rsidRPr="00CB2EB0">
        <w:t xml:space="preserve">började </w:t>
      </w:r>
      <w:r w:rsidRPr="00CB2EB0">
        <w:t>öka under hösten 2023</w:t>
      </w:r>
      <w:r w:rsidR="00E3711A" w:rsidRPr="00CB2EB0">
        <w:t>.</w:t>
      </w:r>
      <w:r w:rsidR="00025B1D" w:rsidRPr="00CB2EB0">
        <w:t xml:space="preserve"> </w:t>
      </w:r>
    </w:p>
    <w:p w14:paraId="312A53EF" w14:textId="7C2928D0" w:rsidR="008F15F4" w:rsidRPr="00CB2EB0" w:rsidRDefault="008F15F4" w:rsidP="008F15F4">
      <w:pPr>
        <w:pStyle w:val="FigurRubrik"/>
      </w:pPr>
      <w:bookmarkStart w:id="65" w:name="_Ref223426492"/>
      <w:r w:rsidRPr="00CB2EB0">
        <w:lastRenderedPageBreak/>
        <w:t xml:space="preserve">Figur </w:t>
      </w:r>
      <w:r w:rsidRPr="00CB2EB0">
        <w:fldChar w:fldCharType="begin"/>
      </w:r>
      <w:r w:rsidRPr="00CB2EB0">
        <w:instrText xml:space="preserve"> STYLEREF 1 \s </w:instrText>
      </w:r>
      <w:r w:rsidRPr="00CB2EB0">
        <w:fldChar w:fldCharType="separate"/>
      </w:r>
      <w:r w:rsidR="001959AC">
        <w:rPr>
          <w:noProof/>
        </w:rPr>
        <w:t>5</w:t>
      </w:r>
      <w:r w:rsidRPr="00CB2EB0">
        <w:rPr>
          <w:noProof/>
        </w:rPr>
        <w:fldChar w:fldCharType="end"/>
      </w:r>
      <w:r w:rsidRPr="00CB2EB0">
        <w:t>.</w:t>
      </w:r>
      <w:fldSimple w:instr=" SEQ Figur \* Arabic \s 1  \* MERGEFORMAT ">
        <w:r w:rsidR="001959AC">
          <w:rPr>
            <w:noProof/>
          </w:rPr>
          <w:t>3</w:t>
        </w:r>
      </w:fldSimple>
      <w:bookmarkEnd w:id="65"/>
      <w:r w:rsidRPr="00CB2EB0">
        <w:tab/>
        <w:t xml:space="preserve">Likviditetsmått och omsättning på </w:t>
      </w:r>
      <w:r w:rsidRPr="00CB2EB0">
        <w:br/>
        <w:t>statsobligationsmarknaden i miljarder kronor</w:t>
      </w:r>
    </w:p>
    <w:p w14:paraId="44529A3C" w14:textId="3DDBE05D" w:rsidR="008F15F4" w:rsidRPr="00CB2EB0" w:rsidRDefault="00A61EDC" w:rsidP="00AC19D9">
      <w:pPr>
        <w:pStyle w:val="Brdtext"/>
      </w:pPr>
      <w:r w:rsidRPr="00CB2EB0">
        <w:rPr>
          <w:noProof/>
        </w:rPr>
        <w:drawing>
          <wp:inline distT="0" distB="0" distL="0" distR="0" wp14:anchorId="78DD82C1" wp14:editId="64EE196D">
            <wp:extent cx="3744595" cy="2460625"/>
            <wp:effectExtent l="0" t="0" r="0" b="0"/>
            <wp:docPr id="22" name="Diagram 1">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Pr="00CB2EB0" w:rsidDel="00A61EDC">
        <w:rPr>
          <w:noProof/>
        </w:rPr>
        <w:t xml:space="preserve"> </w:t>
      </w:r>
    </w:p>
    <w:p w14:paraId="3487DE1C" w14:textId="2992EE88" w:rsidR="007B3A82" w:rsidRPr="00CB2EB0" w:rsidRDefault="007B3A82" w:rsidP="00897BD6">
      <w:pPr>
        <w:pStyle w:val="FigurFotnot"/>
      </w:pPr>
      <w:r w:rsidRPr="00CB2EB0">
        <w:t>Anm.: F</w:t>
      </w:r>
      <w:r w:rsidR="00B306F7">
        <w:t>inansinspektionen</w:t>
      </w:r>
      <w:r w:rsidRPr="00CB2EB0">
        <w:t>s likviditetsindex är en aggregering av olika enskilda indikatorer för nominella statsobligationer med benchmarkstatus. Högre värden motsvarar högre likviditet. Diagrammet visar två</w:t>
      </w:r>
      <w:r w:rsidR="00E3225B">
        <w:rPr>
          <w:rFonts w:ascii="Cambria" w:hAnsi="Cambria"/>
        </w:rPr>
        <w:t> </w:t>
      </w:r>
      <w:r w:rsidRPr="00CB2EB0">
        <w:t>månaders glidande medelvärde av index. Omsättning är månatliga genomsnitt av dagliga utfall för nominella statsobligationer.</w:t>
      </w:r>
    </w:p>
    <w:p w14:paraId="2FF3D254" w14:textId="553D8799" w:rsidR="008F15F4" w:rsidRPr="00CB2EB0" w:rsidRDefault="003F2A04" w:rsidP="00897BD6">
      <w:pPr>
        <w:pStyle w:val="FigurFotnot"/>
      </w:pPr>
      <w:r w:rsidRPr="00CB2EB0">
        <w:t>Källa: Finansinspektionen och Riksbanken</w:t>
      </w:r>
      <w:r w:rsidR="00C15CD7" w:rsidRPr="00CB2EB0">
        <w:t>.</w:t>
      </w:r>
    </w:p>
    <w:p w14:paraId="37D8B4E3" w14:textId="77777777" w:rsidR="008F15F4" w:rsidRPr="00CB2EB0" w:rsidRDefault="008F15F4" w:rsidP="00E22AC9">
      <w:pPr>
        <w:pStyle w:val="Brdtext"/>
      </w:pPr>
    </w:p>
    <w:p w14:paraId="1E21F408" w14:textId="274451D1" w:rsidR="00FA6ABE" w:rsidRPr="00CB2EB0" w:rsidRDefault="00784C9E" w:rsidP="00C50F9A">
      <w:pPr>
        <w:pStyle w:val="Brdtextmedindrag"/>
        <w:ind w:firstLine="0"/>
      </w:pPr>
      <w:r w:rsidRPr="00CB2EB0">
        <w:t xml:space="preserve">I början av </w:t>
      </w:r>
      <w:r w:rsidR="00F31AA7" w:rsidRPr="00CB2EB0">
        <w:t>utvärderings</w:t>
      </w:r>
      <w:r w:rsidRPr="00CB2EB0">
        <w:t xml:space="preserve">perioden hade Riksbanken köpt upp en stor del av obligationerna samtidigt som obligationsstocken minskade. Riksbanken började minska sitt innehav under 2023 och 2024 samtidigt som Riksgäldskontoret började öka sin emissionstakt för nominella obligationer. I både Riksgäldskontorets och Riksbankens undersökningar anger flera av marknadsaktörerna att den ökade handelsbara volymen har varit positiv för likviditeten på marknaden för nominella statsobligationer. Dock är likviditeten enligt </w:t>
      </w:r>
      <w:r w:rsidR="006E2985" w:rsidRPr="00CB2EB0">
        <w:t xml:space="preserve">de svarande </w:t>
      </w:r>
      <w:r w:rsidRPr="00CB2EB0">
        <w:t xml:space="preserve">ännu inte lika god som den var innan Riksbanken påbörjade sina värdepappersköp. </w:t>
      </w:r>
      <w:r w:rsidR="00FA6ABE" w:rsidRPr="00CB2EB0">
        <w:t xml:space="preserve">Av </w:t>
      </w:r>
      <w:r w:rsidR="003D7E98" w:rsidRPr="00CB2EB0">
        <w:fldChar w:fldCharType="begin"/>
      </w:r>
      <w:r w:rsidR="003D7E98" w:rsidRPr="00CB2EB0">
        <w:instrText xml:space="preserve"> REF  _Ref222757410 \* Lower \h  \* MERGEFORMAT </w:instrText>
      </w:r>
      <w:r w:rsidR="003D7E98" w:rsidRPr="00CB2EB0">
        <w:fldChar w:fldCharType="separate"/>
      </w:r>
      <w:r w:rsidR="001959AC" w:rsidRPr="00CB2EB0">
        <w:t xml:space="preserve">figur </w:t>
      </w:r>
      <w:r w:rsidR="001959AC">
        <w:rPr>
          <w:noProof/>
        </w:rPr>
        <w:t>4</w:t>
      </w:r>
      <w:r w:rsidR="001959AC" w:rsidRPr="00CB2EB0">
        <w:t>.</w:t>
      </w:r>
      <w:r w:rsidR="001959AC">
        <w:rPr>
          <w:noProof/>
        </w:rPr>
        <w:t>8</w:t>
      </w:r>
      <w:r w:rsidR="003D7E98" w:rsidRPr="00CB2EB0">
        <w:fldChar w:fldCharType="end"/>
      </w:r>
      <w:r w:rsidR="00FA6ABE" w:rsidRPr="00CB2EB0">
        <w:t xml:space="preserve"> framgår också att utnyttjandet av repofaciliteten</w:t>
      </w:r>
      <w:r w:rsidR="009A59C6">
        <w:t xml:space="preserve"> var</w:t>
      </w:r>
      <w:r w:rsidR="00FA6ABE" w:rsidRPr="00CB2EB0">
        <w:t xml:space="preserve"> mycket högt under 2022 och första halvan av 2023. Därefter har utnyttjandet minskat drastiskt och är nu nära noll</w:t>
      </w:r>
      <w:r w:rsidR="00DC367F" w:rsidRPr="00CB2EB0">
        <w:t xml:space="preserve"> (se </w:t>
      </w:r>
      <w:r w:rsidR="0050417D" w:rsidRPr="00CB2EB0">
        <w:t xml:space="preserve">avsnitt </w:t>
      </w:r>
      <w:r w:rsidR="00DC367F" w:rsidRPr="00CB2EB0">
        <w:fldChar w:fldCharType="begin"/>
      </w:r>
      <w:r w:rsidR="00DC367F" w:rsidRPr="00CB2EB0">
        <w:instrText xml:space="preserve"> REF _Ref223427215 \w \h </w:instrText>
      </w:r>
      <w:r w:rsidR="00CB2EB0">
        <w:instrText xml:space="preserve"> \* MERGEFORMAT </w:instrText>
      </w:r>
      <w:r w:rsidR="00DC367F" w:rsidRPr="00CB2EB0">
        <w:fldChar w:fldCharType="separate"/>
      </w:r>
      <w:r w:rsidR="001959AC">
        <w:t>4.4</w:t>
      </w:r>
      <w:r w:rsidR="00DC367F" w:rsidRPr="00CB2EB0">
        <w:fldChar w:fldCharType="end"/>
      </w:r>
      <w:r w:rsidR="00DC367F" w:rsidRPr="00CB2EB0">
        <w:t>)</w:t>
      </w:r>
      <w:r w:rsidR="00FA6ABE" w:rsidRPr="00CB2EB0">
        <w:t xml:space="preserve">. </w:t>
      </w:r>
    </w:p>
    <w:p w14:paraId="178BBD9A" w14:textId="1A03C515" w:rsidR="00BD3C35" w:rsidRPr="00CB2EB0" w:rsidRDefault="00FA6ABE" w:rsidP="00BD3C35">
      <w:pPr>
        <w:pStyle w:val="Brdtextmedindrag"/>
      </w:pPr>
      <w:r w:rsidRPr="00CB2EB0">
        <w:t xml:space="preserve">Statskontoret </w:t>
      </w:r>
      <w:r w:rsidR="00712283" w:rsidRPr="00CB2EB0">
        <w:t>konstaterar att sammantaget verkar</w:t>
      </w:r>
      <w:r w:rsidR="00655508" w:rsidRPr="00CB2EB0">
        <w:t xml:space="preserve"> </w:t>
      </w:r>
      <w:r w:rsidRPr="00CB2EB0">
        <w:t xml:space="preserve">likviditetsproblemen på statspappersmarknaden </w:t>
      </w:r>
      <w:r w:rsidR="00F45B79">
        <w:t xml:space="preserve">ha </w:t>
      </w:r>
      <w:r w:rsidR="00655508" w:rsidRPr="00CB2EB0">
        <w:t>minskat</w:t>
      </w:r>
      <w:r w:rsidRPr="00CB2EB0">
        <w:t xml:space="preserve">, även om det finns utrymme för förbättringar. Regeringen instämmer </w:t>
      </w:r>
      <w:r w:rsidR="008C1D79" w:rsidRPr="00CB2EB0">
        <w:t>i</w:t>
      </w:r>
      <w:r w:rsidRPr="00CB2EB0">
        <w:t xml:space="preserve"> den bedömningen</w:t>
      </w:r>
      <w:r w:rsidR="00677F15" w:rsidRPr="00CB2EB0">
        <w:t xml:space="preserve"> och ser positivt på den förbättrade marknadslikviditet</w:t>
      </w:r>
      <w:r w:rsidR="00555A9B" w:rsidRPr="00CB2EB0">
        <w:t>e</w:t>
      </w:r>
      <w:r w:rsidR="00677F15" w:rsidRPr="00CB2EB0">
        <w:t>n</w:t>
      </w:r>
      <w:r w:rsidRPr="00CB2EB0">
        <w:t>.</w:t>
      </w:r>
      <w:r w:rsidRPr="00CB2EB0" w:rsidDel="00FA6ABE">
        <w:t xml:space="preserve"> </w:t>
      </w:r>
    </w:p>
    <w:p w14:paraId="2D442894" w14:textId="78747360" w:rsidR="007A2E7D" w:rsidRPr="00CB2EB0" w:rsidRDefault="007A2E7D" w:rsidP="00376DD1">
      <w:pPr>
        <w:pStyle w:val="Rubrik2"/>
        <w:spacing w:before="240"/>
      </w:pPr>
      <w:bookmarkStart w:id="66" w:name="_Ref224564238"/>
      <w:bookmarkStart w:id="67" w:name="_Toc227766877"/>
      <w:r w:rsidRPr="00CB2EB0">
        <w:t>Sammantagen bedömning av kostnaderna och riskerna i förvaltningen av statsskulden</w:t>
      </w:r>
      <w:bookmarkEnd w:id="66"/>
      <w:bookmarkEnd w:id="67"/>
    </w:p>
    <w:p w14:paraId="786F4254" w14:textId="2C11E920" w:rsidR="00A00AF6" w:rsidRPr="00CB2EB0" w:rsidRDefault="00A00AF6" w:rsidP="00FC17EB">
      <w:pPr>
        <w:pStyle w:val="Rubrik4ram"/>
        <w:outlineLvl w:val="2"/>
      </w:pPr>
      <w:r w:rsidRPr="00CB2EB0">
        <w:t xml:space="preserve">Regeringens </w:t>
      </w:r>
      <w:r w:rsidR="00692AF1" w:rsidRPr="00CB2EB0">
        <w:t>bedömning</w:t>
      </w:r>
    </w:p>
    <w:p w14:paraId="267C6F3C" w14:textId="6DB231DB" w:rsidR="00A00AF6" w:rsidRPr="00CB2EB0" w:rsidRDefault="000E6A35" w:rsidP="000E6A35">
      <w:pPr>
        <w:pStyle w:val="Brdtextram"/>
      </w:pPr>
      <w:r w:rsidRPr="00CB2EB0">
        <w:t>Såväl regeringens riktlinjer för statsskuldens förvaltning som Riksgäldskontorets tillämpning av riktlinjerna har i allt väsentligt legat i linje med målet för statsskuldspolitiken, att långsiktigt minimera kostnaden med beaktande av risk</w:t>
      </w:r>
      <w:r w:rsidR="00A00AF6" w:rsidRPr="00CB2EB0">
        <w:t>.</w:t>
      </w:r>
    </w:p>
    <w:p w14:paraId="0EC41F66" w14:textId="51927868" w:rsidR="00A00AF6" w:rsidRPr="00CB2EB0" w:rsidRDefault="00692AF1" w:rsidP="00FC17EB">
      <w:pPr>
        <w:pStyle w:val="Rubrik4efterram"/>
        <w:outlineLvl w:val="2"/>
      </w:pPr>
      <w:r w:rsidRPr="00CB2EB0">
        <w:lastRenderedPageBreak/>
        <w:t>Skälen för regeringens bedömning</w:t>
      </w:r>
    </w:p>
    <w:p w14:paraId="7BD2A5CD" w14:textId="53266CEA" w:rsidR="00B22486" w:rsidRPr="00CB2EB0" w:rsidRDefault="00B22486" w:rsidP="00B22486">
      <w:pPr>
        <w:pStyle w:val="Brdtext"/>
      </w:pPr>
      <w:r w:rsidRPr="00CB2EB0">
        <w:t>I de årliga riktlinjebesluten styr regeringen avvägningen mellan kostnad och risk på en övergripande nivå i statsskuldsförvaltningen med utgångs</w:t>
      </w:r>
      <w:r w:rsidR="003917A6">
        <w:softHyphen/>
      </w:r>
      <w:r w:rsidRPr="00CB2EB0">
        <w:t>punkt i det lagfästa målet för statsskuldspolitiken. Avvägningen görs främst genom val av statsskuldens sammansättning och löptid. Historiskt sett har en kortare löptid inneburit lägre genomsnittlig kostnad än en längre löptid. Andra viktiga parametrar som påverkar kostnaden för statsskulden är statsskuldens storlek och hur denna förväntas förändras, liksom ränte</w:t>
      </w:r>
      <w:r w:rsidR="00692DF9">
        <w:softHyphen/>
      </w:r>
      <w:r w:rsidRPr="00CB2EB0">
        <w:t>nivåerna vid den tidpunkt som skuldinstrumenten ges ut. Eftersom en del av statsskulden är exponerad mot utländsk valuta påverkar även valutakursrörelser statsskuldens kostnad, och realskuldens kostnader påverkas av hur inflationen (mätt med konsumentprisindex) utvecklas.</w:t>
      </w:r>
    </w:p>
    <w:p w14:paraId="711A8E1D" w14:textId="1DAC8814" w:rsidR="00A2593F" w:rsidRPr="00CB2EB0" w:rsidRDefault="00A2593F" w:rsidP="009E36F1">
      <w:pPr>
        <w:pStyle w:val="Brdtextmedindrag"/>
        <w:rPr>
          <w:rFonts w:eastAsiaTheme="minorHAnsi"/>
        </w:rPr>
      </w:pPr>
      <w:r w:rsidRPr="00CB2EB0">
        <w:rPr>
          <w:rFonts w:eastAsiaTheme="minorHAnsi"/>
        </w:rPr>
        <w:t>Att exakt utvärdera om målet att låna till lägsta möjliga kostnad utan att ta för stora risker uppnåtts är inte möjligt. Det finns flera olika slags risker som statsskuldens förvaltning har att hantera som därtill kan variera över tiden. Även riktlinjerna för statsskuld</w:t>
      </w:r>
      <w:r w:rsidR="003808FD">
        <w:rPr>
          <w:rFonts w:eastAsiaTheme="minorHAnsi"/>
        </w:rPr>
        <w:t>en</w:t>
      </w:r>
      <w:r w:rsidRPr="00CB2EB0">
        <w:rPr>
          <w:rFonts w:eastAsiaTheme="minorHAnsi"/>
        </w:rPr>
        <w:t>s</w:t>
      </w:r>
      <w:r w:rsidR="003808FD">
        <w:rPr>
          <w:rFonts w:eastAsiaTheme="minorHAnsi"/>
        </w:rPr>
        <w:t xml:space="preserve"> </w:t>
      </w:r>
      <w:r w:rsidRPr="00CB2EB0">
        <w:rPr>
          <w:rFonts w:eastAsiaTheme="minorHAnsi"/>
        </w:rPr>
        <w:t>förvaltning och Riksgäldskontorets tillämpning av dessa påverkar hur väl målet uppfylls, men det kan vara svårt att särskilja de två och att särskilja utvecklingen från omvärldsfaktorer</w:t>
      </w:r>
      <w:r w:rsidR="009E36F1" w:rsidRPr="00CB2EB0">
        <w:rPr>
          <w:rFonts w:eastAsiaTheme="minorHAnsi"/>
        </w:rPr>
        <w:t>.</w:t>
      </w:r>
    </w:p>
    <w:p w14:paraId="46D3B575" w14:textId="78946C15" w:rsidR="009E36F1" w:rsidRPr="00CB2EB0" w:rsidRDefault="00DA28BD" w:rsidP="002366BB">
      <w:pPr>
        <w:pStyle w:val="Brdtextmedindrag"/>
        <w:rPr>
          <w:rFonts w:eastAsiaTheme="minorHAnsi"/>
        </w:rPr>
      </w:pPr>
      <w:r w:rsidRPr="00CB2EB0">
        <w:rPr>
          <w:rFonts w:eastAsiaTheme="minorHAnsi"/>
        </w:rPr>
        <w:t>Som framgår av avsnitt</w:t>
      </w:r>
      <w:r w:rsidR="00686D05" w:rsidRPr="00CB2EB0">
        <w:rPr>
          <w:rFonts w:eastAsiaTheme="minorHAnsi"/>
        </w:rPr>
        <w:t xml:space="preserve"> </w:t>
      </w:r>
      <w:r w:rsidR="006B602B" w:rsidRPr="00CB2EB0">
        <w:rPr>
          <w:rFonts w:eastAsiaTheme="minorHAnsi"/>
        </w:rPr>
        <w:fldChar w:fldCharType="begin"/>
      </w:r>
      <w:r w:rsidR="006B602B" w:rsidRPr="00CB2EB0">
        <w:rPr>
          <w:rFonts w:eastAsiaTheme="minorHAnsi"/>
        </w:rPr>
        <w:instrText xml:space="preserve"> REF _Ref224129226 \r \h </w:instrText>
      </w:r>
      <w:r w:rsidR="00CB2EB0">
        <w:rPr>
          <w:rFonts w:eastAsiaTheme="minorHAnsi"/>
        </w:rPr>
        <w:instrText xml:space="preserve"> \* MERGEFORMAT </w:instrText>
      </w:r>
      <w:r w:rsidR="006B602B" w:rsidRPr="00CB2EB0">
        <w:rPr>
          <w:rFonts w:eastAsiaTheme="minorHAnsi"/>
        </w:rPr>
      </w:r>
      <w:r w:rsidR="006B602B" w:rsidRPr="00CB2EB0">
        <w:rPr>
          <w:rFonts w:eastAsiaTheme="minorHAnsi"/>
        </w:rPr>
        <w:fldChar w:fldCharType="separate"/>
      </w:r>
      <w:r w:rsidR="001959AC">
        <w:rPr>
          <w:rFonts w:eastAsiaTheme="minorHAnsi"/>
        </w:rPr>
        <w:t>3</w:t>
      </w:r>
      <w:r w:rsidR="006B602B" w:rsidRPr="00CB2EB0">
        <w:rPr>
          <w:rFonts w:eastAsiaTheme="minorHAnsi"/>
        </w:rPr>
        <w:fldChar w:fldCharType="end"/>
      </w:r>
      <w:r w:rsidR="00686D05" w:rsidRPr="00CB2EB0">
        <w:rPr>
          <w:rFonts w:eastAsiaTheme="minorHAnsi"/>
        </w:rPr>
        <w:t xml:space="preserve"> och</w:t>
      </w:r>
      <w:r w:rsidRPr="00CB2EB0">
        <w:rPr>
          <w:rFonts w:eastAsiaTheme="minorHAnsi"/>
        </w:rPr>
        <w:t xml:space="preserve"> </w:t>
      </w:r>
      <w:r w:rsidR="001E5701" w:rsidRPr="00CB2EB0">
        <w:rPr>
          <w:rFonts w:eastAsiaTheme="minorHAnsi"/>
        </w:rPr>
        <w:fldChar w:fldCharType="begin"/>
      </w:r>
      <w:r w:rsidR="001E5701" w:rsidRPr="00CB2EB0">
        <w:rPr>
          <w:rFonts w:eastAsiaTheme="minorHAnsi"/>
        </w:rPr>
        <w:instrText xml:space="preserve"> REF _Ref223428006 \r \h </w:instrText>
      </w:r>
      <w:r w:rsidR="00CB2EB0">
        <w:rPr>
          <w:rFonts w:eastAsiaTheme="minorHAnsi"/>
        </w:rPr>
        <w:instrText xml:space="preserve"> \* MERGEFORMAT </w:instrText>
      </w:r>
      <w:r w:rsidR="001E5701" w:rsidRPr="00CB2EB0">
        <w:rPr>
          <w:rFonts w:eastAsiaTheme="minorHAnsi"/>
        </w:rPr>
      </w:r>
      <w:r w:rsidR="001E5701" w:rsidRPr="00CB2EB0">
        <w:rPr>
          <w:rFonts w:eastAsiaTheme="minorHAnsi"/>
        </w:rPr>
        <w:fldChar w:fldCharType="separate"/>
      </w:r>
      <w:r w:rsidR="001959AC">
        <w:rPr>
          <w:rFonts w:eastAsiaTheme="minorHAnsi"/>
        </w:rPr>
        <w:t>4</w:t>
      </w:r>
      <w:r w:rsidR="001E5701" w:rsidRPr="00CB2EB0">
        <w:rPr>
          <w:rFonts w:eastAsiaTheme="minorHAnsi"/>
        </w:rPr>
        <w:fldChar w:fldCharType="end"/>
      </w:r>
      <w:r w:rsidRPr="00CB2EB0">
        <w:rPr>
          <w:rFonts w:eastAsiaTheme="minorHAnsi"/>
        </w:rPr>
        <w:t xml:space="preserve"> har</w:t>
      </w:r>
      <w:r w:rsidR="00686D05" w:rsidRPr="00CB2EB0">
        <w:t xml:space="preserve"> </w:t>
      </w:r>
      <w:r w:rsidR="009D331C" w:rsidRPr="00CB2EB0">
        <w:t>regeringens riktlinjer för stats</w:t>
      </w:r>
      <w:r w:rsidR="00FC5594">
        <w:softHyphen/>
      </w:r>
      <w:r w:rsidR="009D331C" w:rsidRPr="00CB2EB0">
        <w:t xml:space="preserve">skuldens förvaltning i allt väsentligt </w:t>
      </w:r>
      <w:r w:rsidR="00686D05" w:rsidRPr="00CB2EB0">
        <w:rPr>
          <w:rFonts w:eastAsiaTheme="minorHAnsi"/>
        </w:rPr>
        <w:t>varit i enlighet med målet för statsskuldsförvaltningen och</w:t>
      </w:r>
      <w:r w:rsidRPr="00CB2EB0">
        <w:rPr>
          <w:rFonts w:eastAsiaTheme="minorHAnsi"/>
        </w:rPr>
        <w:t xml:space="preserve"> Riksgäldskontorets förvaltning av stats</w:t>
      </w:r>
      <w:r w:rsidR="006E1534">
        <w:rPr>
          <w:rFonts w:eastAsiaTheme="minorHAnsi"/>
        </w:rPr>
        <w:softHyphen/>
      </w:r>
      <w:r w:rsidRPr="00CB2EB0">
        <w:rPr>
          <w:rFonts w:eastAsiaTheme="minorHAnsi"/>
        </w:rPr>
        <w:t xml:space="preserve">skulden </w:t>
      </w:r>
      <w:r w:rsidR="00686D05" w:rsidRPr="00CB2EB0">
        <w:rPr>
          <w:rFonts w:eastAsiaTheme="minorHAnsi"/>
        </w:rPr>
        <w:t xml:space="preserve">har </w:t>
      </w:r>
      <w:r w:rsidRPr="00CB2EB0">
        <w:rPr>
          <w:rFonts w:eastAsiaTheme="minorHAnsi"/>
        </w:rPr>
        <w:t>i allt väsentligt följt regeringens riktlinjer under utvärderings</w:t>
      </w:r>
      <w:r w:rsidR="003E6A91">
        <w:rPr>
          <w:rFonts w:eastAsiaTheme="minorHAnsi"/>
        </w:rPr>
        <w:softHyphen/>
      </w:r>
      <w:r w:rsidRPr="00CB2EB0">
        <w:rPr>
          <w:rFonts w:eastAsiaTheme="minorHAnsi"/>
        </w:rPr>
        <w:t xml:space="preserve">perioden. Regeringen konstaterar att kostnaden för statsskulden under utvärderingsperioden </w:t>
      </w:r>
      <w:r w:rsidR="0084408D">
        <w:rPr>
          <w:rFonts w:eastAsiaTheme="minorHAnsi"/>
        </w:rPr>
        <w:t>ökat</w:t>
      </w:r>
      <w:r w:rsidR="0084408D" w:rsidRPr="00CB2EB0">
        <w:rPr>
          <w:rFonts w:eastAsiaTheme="minorHAnsi"/>
        </w:rPr>
        <w:t xml:space="preserve"> </w:t>
      </w:r>
      <w:r w:rsidRPr="00CB2EB0">
        <w:rPr>
          <w:rFonts w:eastAsiaTheme="minorHAnsi"/>
        </w:rPr>
        <w:t>från historiskt låga nivåer, med en kraftig ökning under 2022, för att åter sjunka något efterföljande år (se avsnitt</w:t>
      </w:r>
      <w:r w:rsidR="008836BC">
        <w:rPr>
          <w:rFonts w:eastAsiaTheme="minorHAnsi"/>
        </w:rPr>
        <w:t> </w:t>
      </w:r>
      <w:r w:rsidR="001E5701" w:rsidRPr="00CB2EB0">
        <w:rPr>
          <w:rFonts w:eastAsiaTheme="minorHAnsi"/>
        </w:rPr>
        <w:fldChar w:fldCharType="begin"/>
      </w:r>
      <w:r w:rsidR="001E5701" w:rsidRPr="00CB2EB0">
        <w:rPr>
          <w:rFonts w:eastAsiaTheme="minorHAnsi"/>
        </w:rPr>
        <w:instrText xml:space="preserve"> REF _Ref223427993 \r \h </w:instrText>
      </w:r>
      <w:r w:rsidR="00CB2EB0">
        <w:rPr>
          <w:rFonts w:eastAsiaTheme="minorHAnsi"/>
        </w:rPr>
        <w:instrText xml:space="preserve"> \* MERGEFORMAT </w:instrText>
      </w:r>
      <w:r w:rsidR="001E5701" w:rsidRPr="00CB2EB0">
        <w:rPr>
          <w:rFonts w:eastAsiaTheme="minorHAnsi"/>
        </w:rPr>
      </w:r>
      <w:r w:rsidR="001E5701" w:rsidRPr="00CB2EB0">
        <w:rPr>
          <w:rFonts w:eastAsiaTheme="minorHAnsi"/>
        </w:rPr>
        <w:fldChar w:fldCharType="separate"/>
      </w:r>
      <w:r w:rsidR="001959AC">
        <w:rPr>
          <w:rFonts w:eastAsiaTheme="minorHAnsi"/>
        </w:rPr>
        <w:t>5.1</w:t>
      </w:r>
      <w:r w:rsidR="001E5701" w:rsidRPr="00CB2EB0">
        <w:rPr>
          <w:rFonts w:eastAsiaTheme="minorHAnsi"/>
        </w:rPr>
        <w:fldChar w:fldCharType="end"/>
      </w:r>
      <w:r w:rsidRPr="00CB2EB0">
        <w:rPr>
          <w:rFonts w:eastAsiaTheme="minorHAnsi"/>
        </w:rPr>
        <w:t xml:space="preserve">). </w:t>
      </w:r>
      <w:r w:rsidR="002366BB" w:rsidRPr="00CB2EB0">
        <w:rPr>
          <w:rFonts w:eastAsiaTheme="minorHAnsi"/>
        </w:rPr>
        <w:t xml:space="preserve">Löptiden för statsskulden har under utvärderingsperioden varit inom löptidsintervallet, samtidigt som variationen i löptid mellan enstaka år varit låg. Refinansieringsrisken i termer av lån som löper till förfall de närmaste tolv månaderna respektive </w:t>
      </w:r>
      <w:r w:rsidR="003D7E98" w:rsidRPr="00CB2EB0">
        <w:rPr>
          <w:rFonts w:eastAsiaTheme="minorHAnsi"/>
        </w:rPr>
        <w:t>fem</w:t>
      </w:r>
      <w:r w:rsidR="002366BB" w:rsidRPr="00CB2EB0">
        <w:rPr>
          <w:rFonts w:eastAsiaTheme="minorHAnsi"/>
        </w:rPr>
        <w:t xml:space="preserve"> år bedöms vara låg (se avsnitt</w:t>
      </w:r>
      <w:r w:rsidR="00A02FF1">
        <w:rPr>
          <w:rFonts w:eastAsiaTheme="minorHAnsi"/>
        </w:rPr>
        <w:t> </w:t>
      </w:r>
      <w:r w:rsidR="00D43B91" w:rsidRPr="00CB2EB0">
        <w:rPr>
          <w:rFonts w:eastAsiaTheme="minorHAnsi"/>
        </w:rPr>
        <w:fldChar w:fldCharType="begin"/>
      </w:r>
      <w:r w:rsidR="00D43B91" w:rsidRPr="00CB2EB0">
        <w:rPr>
          <w:rFonts w:eastAsiaTheme="minorHAnsi"/>
        </w:rPr>
        <w:instrText xml:space="preserve"> REF _Ref223610943 \r \h </w:instrText>
      </w:r>
      <w:r w:rsidR="00CB2EB0">
        <w:rPr>
          <w:rFonts w:eastAsiaTheme="minorHAnsi"/>
        </w:rPr>
        <w:instrText xml:space="preserve"> \* MERGEFORMAT </w:instrText>
      </w:r>
      <w:r w:rsidR="00D43B91" w:rsidRPr="00CB2EB0">
        <w:rPr>
          <w:rFonts w:eastAsiaTheme="minorHAnsi"/>
        </w:rPr>
      </w:r>
      <w:r w:rsidR="00D43B91" w:rsidRPr="00CB2EB0">
        <w:rPr>
          <w:rFonts w:eastAsiaTheme="minorHAnsi"/>
        </w:rPr>
        <w:fldChar w:fldCharType="separate"/>
      </w:r>
      <w:r w:rsidR="001959AC">
        <w:rPr>
          <w:rFonts w:eastAsiaTheme="minorHAnsi"/>
        </w:rPr>
        <w:t>5.2</w:t>
      </w:r>
      <w:r w:rsidR="00D43B91" w:rsidRPr="00CB2EB0">
        <w:rPr>
          <w:rFonts w:eastAsiaTheme="minorHAnsi"/>
        </w:rPr>
        <w:fldChar w:fldCharType="end"/>
      </w:r>
      <w:r w:rsidR="002366BB" w:rsidRPr="00CB2EB0">
        <w:rPr>
          <w:rFonts w:eastAsiaTheme="minorHAnsi"/>
        </w:rPr>
        <w:t xml:space="preserve">). </w:t>
      </w:r>
      <w:r w:rsidR="009C58E2" w:rsidRPr="00CB2EB0">
        <w:rPr>
          <w:rFonts w:eastAsiaTheme="minorHAnsi"/>
        </w:rPr>
        <w:t xml:space="preserve">Mot den nu beskrivna bakgrunden bedömer regeringen sammantaget att såväl regeringens riktlinjer som Riksgäldskontorets </w:t>
      </w:r>
      <w:r w:rsidR="00357FD0" w:rsidRPr="00CB2EB0">
        <w:rPr>
          <w:rFonts w:eastAsiaTheme="minorHAnsi"/>
        </w:rPr>
        <w:t xml:space="preserve">operativa förvaltning och </w:t>
      </w:r>
      <w:r w:rsidR="009C58E2" w:rsidRPr="00CB2EB0">
        <w:rPr>
          <w:rFonts w:eastAsiaTheme="minorHAnsi"/>
        </w:rPr>
        <w:t>tillämpning av riktlinjerna i allt väsentligt legat i linje med målet för statsskuldsförvaltningen, att långsiktigt minimera kostnaden med beaktande av risk.</w:t>
      </w:r>
    </w:p>
    <w:p w14:paraId="327FD759" w14:textId="3DC6A76E" w:rsidR="00192D48" w:rsidRPr="00CB2EB0" w:rsidRDefault="00ED1406" w:rsidP="00DA28BD">
      <w:pPr>
        <w:pStyle w:val="Brdtextmedindrag"/>
        <w:rPr>
          <w:rFonts w:eastAsiaTheme="minorHAnsi"/>
        </w:rPr>
      </w:pPr>
      <w:r w:rsidRPr="00CB2EB0">
        <w:t>Statskontoret anför att framöver kan möjligen det försämrade geo</w:t>
      </w:r>
      <w:r w:rsidR="00504FF9">
        <w:softHyphen/>
      </w:r>
      <w:r w:rsidRPr="00CB2EB0">
        <w:t>politiska läget föranleda ytterligare överväganden och kanske ett större fokus på finansierings- och refinansieringsrisker</w:t>
      </w:r>
      <w:r w:rsidR="00DE5559" w:rsidRPr="00CB2EB0">
        <w:t xml:space="preserve">. </w:t>
      </w:r>
      <w:r w:rsidR="00E80193" w:rsidRPr="00CB2EB0">
        <w:t>Statskontoret framhåller också</w:t>
      </w:r>
      <w:r w:rsidR="00DE5559" w:rsidRPr="00CB2EB0">
        <w:t xml:space="preserve"> att det skulle kunna föranleda en analys av om överupplåning ska tillåtas i likviditetsförvaltningen</w:t>
      </w:r>
      <w:r w:rsidRPr="00CB2EB0">
        <w:t>.</w:t>
      </w:r>
    </w:p>
    <w:p w14:paraId="7443DDEC" w14:textId="5E8093D7" w:rsidR="00DA28BD" w:rsidRPr="00CB2EB0" w:rsidRDefault="00192D48" w:rsidP="00F815FD">
      <w:pPr>
        <w:pStyle w:val="Brdtextmedindrag"/>
        <w:rPr>
          <w:rFonts w:eastAsiaTheme="minorHAnsi"/>
        </w:rPr>
      </w:pPr>
      <w:r w:rsidRPr="00CB2EB0">
        <w:rPr>
          <w:rFonts w:eastAsiaTheme="minorHAnsi"/>
        </w:rPr>
        <w:t>Statskontoret bedömer att regeringen och Riksgäld</w:t>
      </w:r>
      <w:r w:rsidR="00A83475" w:rsidRPr="00CB2EB0">
        <w:rPr>
          <w:rFonts w:eastAsiaTheme="minorHAnsi"/>
        </w:rPr>
        <w:t>skontoret</w:t>
      </w:r>
      <w:r w:rsidRPr="00CB2EB0">
        <w:rPr>
          <w:rFonts w:eastAsiaTheme="minorHAnsi"/>
        </w:rPr>
        <w:t xml:space="preserve"> i riktlinje</w:t>
      </w:r>
      <w:r w:rsidR="008A6F69">
        <w:rPr>
          <w:rFonts w:eastAsiaTheme="minorHAnsi"/>
        </w:rPr>
        <w:softHyphen/>
      </w:r>
      <w:r w:rsidRPr="00CB2EB0">
        <w:rPr>
          <w:rFonts w:eastAsiaTheme="minorHAnsi"/>
        </w:rPr>
        <w:t>processen har adresserat större omvärldsförändringar och viktiga förändringar i marknadsförutsättningarna under utvärderingsperioden och på ett övergripande plan övervägt om de föranleder ändringar i riktlinjerna. Statskontoret bedömer att budgetlagens krav är uppfyllda beträffande riktlinjerna och riktlinjeprocessen.</w:t>
      </w:r>
      <w:r w:rsidR="004C52AD">
        <w:rPr>
          <w:rFonts w:eastAsiaTheme="minorHAnsi"/>
        </w:rPr>
        <w:t xml:space="preserve"> Statskontoret bedömer även att Riksgäldskontorets operativa verksamhet fungerar väl och följer budgetlagens krav om kostnadsminimering med beaktande av risk.</w:t>
      </w:r>
    </w:p>
    <w:p w14:paraId="66AEB6C2" w14:textId="77777777" w:rsidR="00E71557" w:rsidRPr="00CB2EB0" w:rsidRDefault="00E71557" w:rsidP="00FC17EB">
      <w:pPr>
        <w:pStyle w:val="Rubrik5efterram"/>
        <w:outlineLvl w:val="3"/>
      </w:pPr>
      <w:r w:rsidRPr="00CB2EB0">
        <w:lastRenderedPageBreak/>
        <w:t>Utvecklad utvärdering</w:t>
      </w:r>
    </w:p>
    <w:p w14:paraId="28E35AD4" w14:textId="73D53E8B" w:rsidR="00192D48" w:rsidRPr="00CB2EB0" w:rsidRDefault="004C2F33" w:rsidP="00C50F9A">
      <w:pPr>
        <w:pStyle w:val="Brdtext"/>
        <w:rPr>
          <w:iCs/>
        </w:rPr>
      </w:pPr>
      <w:r w:rsidRPr="00CB2EB0">
        <w:rPr>
          <w:iCs/>
        </w:rPr>
        <w:t xml:space="preserve">I utvärderingsrapporten för </w:t>
      </w:r>
      <w:r w:rsidR="00376533" w:rsidRPr="00CB2EB0">
        <w:rPr>
          <w:iCs/>
        </w:rPr>
        <w:t>2019–2023</w:t>
      </w:r>
      <w:r w:rsidRPr="00CB2EB0">
        <w:rPr>
          <w:iCs/>
        </w:rPr>
        <w:t xml:space="preserve"> framför</w:t>
      </w:r>
      <w:r w:rsidR="00AF4B1B" w:rsidRPr="00CB2EB0">
        <w:rPr>
          <w:iCs/>
        </w:rPr>
        <w:t>de</w:t>
      </w:r>
      <w:r w:rsidRPr="00CB2EB0">
        <w:rPr>
          <w:iCs/>
        </w:rPr>
        <w:t xml:space="preserve"> ESV att det är svårt att dra tydliga slutsatser om hur kostnad och risk påverkats av skuldens sammansättning och löptid baserat på de underlag som f</w:t>
      </w:r>
      <w:r w:rsidR="005E1FA5">
        <w:rPr>
          <w:iCs/>
        </w:rPr>
        <w:t>a</w:t>
      </w:r>
      <w:r w:rsidRPr="00CB2EB0">
        <w:rPr>
          <w:iCs/>
        </w:rPr>
        <w:t>nns tillgängliga. ESV an</w:t>
      </w:r>
      <w:r w:rsidR="00376533" w:rsidRPr="00CB2EB0">
        <w:rPr>
          <w:iCs/>
        </w:rPr>
        <w:t>såg</w:t>
      </w:r>
      <w:r w:rsidRPr="00CB2EB0">
        <w:rPr>
          <w:iCs/>
        </w:rPr>
        <w:t xml:space="preserve"> därför att regeringens riktlinjer för utvärdering bör anpassas för att tydliggöra vilka aspekter som regeringen avser utvärdera och därmed vilka underlag som Riksgäldskontoret ska tillhandahålla.</w:t>
      </w:r>
      <w:r w:rsidR="00740049" w:rsidRPr="00CB2EB0">
        <w:t xml:space="preserve"> Som angavs i den senaste utvärderingsskrivelsen </w:t>
      </w:r>
      <w:r w:rsidR="001673DA">
        <w:t xml:space="preserve">delade </w:t>
      </w:r>
      <w:r w:rsidR="00740049" w:rsidRPr="00CB2EB0">
        <w:t>r</w:t>
      </w:r>
      <w:r w:rsidR="00740049" w:rsidRPr="00CB2EB0">
        <w:rPr>
          <w:iCs/>
        </w:rPr>
        <w:t>egeringen ESV:s bedömning om att Riksgäldskontorets analyser är en viktig del i både förståelsen av kostnaden och av underlaget för valet av rätt balans mellan kostnad och risk</w:t>
      </w:r>
      <w:r w:rsidR="009A4B24">
        <w:rPr>
          <w:iCs/>
        </w:rPr>
        <w:t xml:space="preserve"> </w:t>
      </w:r>
      <w:r w:rsidR="009A4B24" w:rsidRPr="009A4B24">
        <w:rPr>
          <w:iCs/>
        </w:rPr>
        <w:t>(skr. 2023/24:104 s. 41)</w:t>
      </w:r>
      <w:r w:rsidR="00740049" w:rsidRPr="00CB2EB0">
        <w:rPr>
          <w:iCs/>
        </w:rPr>
        <w:t>.</w:t>
      </w:r>
      <w:r w:rsidRPr="00CB2EB0">
        <w:rPr>
          <w:iCs/>
        </w:rPr>
        <w:t xml:space="preserve"> </w:t>
      </w:r>
      <w:r w:rsidR="00705625" w:rsidRPr="00CB2EB0">
        <w:rPr>
          <w:iCs/>
        </w:rPr>
        <w:t xml:space="preserve">Regeringen anger även i riktlinjebeslutet för 2025 att det behöver göras en större översyn av vilka underlag för utvärdering som Riksgäldskontoret ska tillhandahålla och hur dessa ska vara utformade så att tydligare slutsatser kan dras. I regleringsbrevet för 2025 gavs Riksgäldskontoret därför i uppdrag att analysera om och föreslå metoder för hur utvärderingen av förvaltningen av statsskulden kan utvecklas och förtydligas. I uppdraget ingick att motivera vilka aspekter av statsskuldens förvaltning som bör utvärderas och hur, samt att särskilt redogöra för hur avvägningar mellan kostnad och risk i förvaltningen av statsskulden kan utvärderas. </w:t>
      </w:r>
      <w:r w:rsidR="001F2086" w:rsidRPr="00CB2EB0">
        <w:rPr>
          <w:iCs/>
        </w:rPr>
        <w:t>Riksgäldskontoret redovisade uppdraget i samband med myndighetens förslag till riktlinjer för statsskuldens förvaltning 202</w:t>
      </w:r>
      <w:r w:rsidR="001C789A">
        <w:rPr>
          <w:iCs/>
        </w:rPr>
        <w:t>6</w:t>
      </w:r>
      <w:r w:rsidR="001F2086" w:rsidRPr="00CB2EB0">
        <w:rPr>
          <w:iCs/>
        </w:rPr>
        <w:t xml:space="preserve">. </w:t>
      </w:r>
      <w:r w:rsidR="00192D48" w:rsidRPr="00CB2EB0">
        <w:t>Då detta uppdrag är nära knutet till riktlinjerna har Statskontoret även utvärderat det.</w:t>
      </w:r>
    </w:p>
    <w:p w14:paraId="57A61B2C" w14:textId="56CD5AEC" w:rsidR="00E71557" w:rsidRPr="00CB2EB0" w:rsidRDefault="00E71557" w:rsidP="005F3A25">
      <w:pPr>
        <w:pStyle w:val="Brdtextmedindrag"/>
      </w:pPr>
      <w:r w:rsidRPr="00CB2EB0">
        <w:t xml:space="preserve">Statskontoret </w:t>
      </w:r>
      <w:r w:rsidR="0037617D" w:rsidRPr="00CB2EB0">
        <w:t>bedömer</w:t>
      </w:r>
      <w:r w:rsidR="001533AB" w:rsidRPr="00CB2EB0">
        <w:t xml:space="preserve"> </w:t>
      </w:r>
      <w:r w:rsidRPr="00CB2EB0">
        <w:t xml:space="preserve">att Riksgäldskontorets förslag till utvidgad analys är ändamålsenliga. Statskontoret instämmer också i Riksgäldskontorets bedömning att kvantitativa analyser av avvägningen mellan kostnad och risk har ett värde för utvärderingen och det är också något som </w:t>
      </w:r>
      <w:r w:rsidR="009907CB" w:rsidRPr="00CB2EB0">
        <w:t>E</w:t>
      </w:r>
      <w:r w:rsidR="009907CB">
        <w:t>SV</w:t>
      </w:r>
      <w:r w:rsidR="009907CB" w:rsidRPr="00CB2EB0">
        <w:t xml:space="preserve"> </w:t>
      </w:r>
      <w:r w:rsidRPr="00CB2EB0">
        <w:t xml:space="preserve">efterfrågat i tidigare utvärderingar. </w:t>
      </w:r>
      <w:r w:rsidR="0037617D" w:rsidRPr="00CB2EB0">
        <w:t xml:space="preserve">Statskontoret </w:t>
      </w:r>
      <w:r w:rsidRPr="00CB2EB0">
        <w:t>delar också bedömningen att en sådan analys inte kan användas mekaniskt för en utvärdering.</w:t>
      </w:r>
    </w:p>
    <w:p w14:paraId="27110DC4" w14:textId="1F25F677" w:rsidR="00E71557" w:rsidRPr="00CB2EB0" w:rsidRDefault="00E71557" w:rsidP="00810637">
      <w:pPr>
        <w:pStyle w:val="Brdtextmedindrag"/>
      </w:pPr>
      <w:r w:rsidRPr="00CB2EB0">
        <w:t>Statskontoret instämmer i att det är önskvärt att Riksgäldskontoret föreslår utvärderingsmetoder för val av olika riktlinjer inför riktlinjebesluten. Samtidigt instämmer Statskontoret i att en enkel ex-postutvärdering vanligen säger ganska lite om kvaliteten på beslutet utifrån den information som fanns vid beslutstillfället. I Riksgäldskontorets förslag till riktlinjer och i regeringens beslut om riktlinjer för statsskuld</w:t>
      </w:r>
      <w:r w:rsidR="000F4B9C">
        <w:t>en</w:t>
      </w:r>
      <w:r w:rsidRPr="00CB2EB0">
        <w:t>s</w:t>
      </w:r>
      <w:r w:rsidR="000F4B9C">
        <w:t xml:space="preserve"> </w:t>
      </w:r>
      <w:r w:rsidRPr="00CB2EB0">
        <w:t>förvaltning dokumenteras resonemanget som motiverade beslutet. Denna dokumentation kommer sannolikt även fortsättningsvis att vara den det viktigaste underlaget för att bedöma besluten om riktlinjerna.</w:t>
      </w:r>
      <w:r w:rsidR="0037617D" w:rsidRPr="00CB2EB0">
        <w:t xml:space="preserve"> Den kvantitativa och utfallsanalysen kan enligt Statskontoret komplettera dessa underlag och även bidra till att förbättra den kvalitativa analys som ligger till grund för förslagen. Kvantitativa uppskattningar kan, trots att de kan bygga på antaganden och vara osäkra, leda till att det tydliggörs vilka faktorer som är kritiska och ge vägledning för den kvalitativa analysens fokus.</w:t>
      </w:r>
    </w:p>
    <w:p w14:paraId="712FE664" w14:textId="5C427014" w:rsidR="00A603B9" w:rsidRPr="00CB2EB0" w:rsidRDefault="00A603B9" w:rsidP="00FC17EB">
      <w:pPr>
        <w:pStyle w:val="Rubrik1"/>
      </w:pPr>
      <w:bookmarkStart w:id="68" w:name="_Toc227766878"/>
      <w:r w:rsidRPr="00CB2EB0">
        <w:lastRenderedPageBreak/>
        <w:t>Penningpolitik och statsskuldspolitik</w:t>
      </w:r>
      <w:bookmarkEnd w:id="68"/>
    </w:p>
    <w:p w14:paraId="76E526C1" w14:textId="0D349BCC" w:rsidR="0078625B" w:rsidRPr="00CB2EB0" w:rsidRDefault="0078625B" w:rsidP="00FC17EB">
      <w:pPr>
        <w:pStyle w:val="Rubrik4ram"/>
        <w:outlineLvl w:val="1"/>
      </w:pPr>
      <w:r w:rsidRPr="00CB2EB0">
        <w:t>Regeringens bedö</w:t>
      </w:r>
      <w:r w:rsidR="008E21F7" w:rsidRPr="00CB2EB0">
        <w:t>m</w:t>
      </w:r>
      <w:r w:rsidRPr="00CB2EB0">
        <w:t>ning</w:t>
      </w:r>
    </w:p>
    <w:p w14:paraId="375E8E08" w14:textId="77777777" w:rsidR="008E21F7" w:rsidRPr="00CB2EB0" w:rsidRDefault="008E21F7" w:rsidP="008E21F7">
      <w:pPr>
        <w:pStyle w:val="Brdtextram"/>
        <w:rPr>
          <w:b/>
        </w:rPr>
      </w:pPr>
      <w:r w:rsidRPr="00CB2EB0">
        <w:t>Förvaltningen av statsskulden har bedrivits inom ramen för de krav som penningpolitiken ställer.</w:t>
      </w:r>
    </w:p>
    <w:p w14:paraId="610AE24C" w14:textId="338CB092" w:rsidR="0078625B" w:rsidRPr="00CB2EB0" w:rsidRDefault="0078625B" w:rsidP="00FC17EB">
      <w:pPr>
        <w:pStyle w:val="Rubrik4efterram"/>
        <w:outlineLvl w:val="1"/>
      </w:pPr>
      <w:r w:rsidRPr="00CB2EB0">
        <w:t>Skälen för regeringens bedömning</w:t>
      </w:r>
    </w:p>
    <w:p w14:paraId="39C37EE8" w14:textId="0E6CE7D5" w:rsidR="00114FC5" w:rsidRPr="00CB2EB0" w:rsidRDefault="007241AF" w:rsidP="007A1F01">
      <w:pPr>
        <w:pStyle w:val="Brdtext"/>
      </w:pPr>
      <w:r w:rsidRPr="00CB2EB0">
        <w:t>Riksbanken har i de yttranden som lämnats avseende Riksgäldskontorets förslag till riktlinjer för stats</w:t>
      </w:r>
      <w:r w:rsidRPr="00CB2EB0">
        <w:softHyphen/>
        <w:t xml:space="preserve">skuldens förvaltning inte haft några invändningar mot något av förslagen för åren 2021–2025. </w:t>
      </w:r>
      <w:r w:rsidR="00114FC5" w:rsidRPr="00CB2EB0">
        <w:t>Däremot hade Riksbanken i samband med förslaget för 2024 synpunkter på Riksgäldskontorets avveckling av statsskuldens valutaexponering.</w:t>
      </w:r>
      <w:r w:rsidR="007A1F01" w:rsidRPr="00CB2EB0">
        <w:t xml:space="preserve"> Med utgångspunkt i målet för statsskuldspolitiken ansåg regeringen inte att det fanns skäl till att förändra styrningen av statsskuldens exponering i utländsk valuta att anta riktvärdet noll </w:t>
      </w:r>
      <w:r w:rsidR="00544381" w:rsidRPr="00CB2EB0">
        <w:t>fr.o.m.</w:t>
      </w:r>
      <w:r w:rsidR="007A1F01" w:rsidRPr="00CB2EB0">
        <w:t xml:space="preserve"> den 1 januari 2027.</w:t>
      </w:r>
    </w:p>
    <w:p w14:paraId="1CD46B39" w14:textId="3A4147E6" w:rsidR="00A603B9" w:rsidRPr="00A603B9" w:rsidRDefault="007241AF" w:rsidP="007241AF">
      <w:pPr>
        <w:pStyle w:val="Brdtextmedindrag"/>
        <w:sectPr w:rsidR="00A603B9" w:rsidRPr="00A603B9" w:rsidSect="00155500">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titlePg/>
          <w:docGrid w:linePitch="360"/>
        </w:sectPr>
      </w:pPr>
      <w:r w:rsidRPr="00CB2EB0">
        <w:t>Sammanfattningsvis bedöms förvaltningen av statsskulden ha bedrivits inom ramen för de krav som penningpolitiken ställer.</w:t>
      </w:r>
    </w:p>
    <w:p w14:paraId="6CE2BC57" w14:textId="659D41E3" w:rsidR="00DB62B9" w:rsidRDefault="00063A24" w:rsidP="00FC17EB">
      <w:pPr>
        <w:pStyle w:val="Bilagarubrik"/>
      </w:pPr>
      <w:bookmarkStart w:id="69" w:name="_Toc227766879"/>
      <w:r>
        <w:lastRenderedPageBreak/>
        <w:t xml:space="preserve">Statskontorets rapport </w:t>
      </w:r>
      <w:r w:rsidR="00FC17EB" w:rsidRPr="0040449C">
        <w:t>Utvärdering av statens upplåning</w:t>
      </w:r>
      <w:r w:rsidR="00FC17EB">
        <w:t xml:space="preserve"> </w:t>
      </w:r>
      <w:r w:rsidR="00FC17EB" w:rsidRPr="0040449C">
        <w:t>och skuldförvaltning 2021–2025</w:t>
      </w:r>
      <w:bookmarkEnd w:id="69"/>
    </w:p>
    <w:p w14:paraId="117EC641" w14:textId="77777777" w:rsidR="00FC17EB" w:rsidRDefault="00FC17EB" w:rsidP="00BA2319">
      <w:pPr>
        <w:pStyle w:val="Brdtext"/>
      </w:pPr>
    </w:p>
    <w:p w14:paraId="773DE600" w14:textId="77777777" w:rsidR="00063A24" w:rsidRDefault="00063A24" w:rsidP="00063A24">
      <w:pPr>
        <w:pStyle w:val="Brdtextmedindrag"/>
      </w:pPr>
    </w:p>
    <w:p w14:paraId="57957671" w14:textId="77777777" w:rsidR="00A15971" w:rsidRDefault="00A15971" w:rsidP="00063A24">
      <w:pPr>
        <w:pStyle w:val="Brdtextmedindrag"/>
      </w:pPr>
    </w:p>
    <w:p w14:paraId="1E6B568C" w14:textId="576804DE" w:rsidR="00A15971" w:rsidRDefault="00A15971" w:rsidP="00063A24">
      <w:pPr>
        <w:pStyle w:val="Brdtextmedindrag"/>
      </w:pPr>
      <w:r>
        <w:br w:type="column"/>
      </w:r>
    </w:p>
    <w:p w14:paraId="3F09E802" w14:textId="77777777" w:rsidR="00A15971" w:rsidRDefault="00A15971" w:rsidP="00063A24">
      <w:pPr>
        <w:pStyle w:val="Brdtextmedindrag"/>
      </w:pPr>
    </w:p>
    <w:p w14:paraId="2119E59F" w14:textId="5998D24B" w:rsidR="00A15971" w:rsidRDefault="00A15971" w:rsidP="00063A24">
      <w:pPr>
        <w:pStyle w:val="Brdtextmedindrag"/>
      </w:pPr>
      <w:r>
        <w:br w:type="column"/>
      </w:r>
    </w:p>
    <w:p w14:paraId="641B4E4E" w14:textId="77777777" w:rsidR="00A15971" w:rsidRDefault="00A15971" w:rsidP="00063A24">
      <w:pPr>
        <w:pStyle w:val="Brdtextmedindrag"/>
      </w:pPr>
    </w:p>
    <w:p w14:paraId="0DDCFFB6" w14:textId="77777777" w:rsidR="00A15971" w:rsidRDefault="00A15971" w:rsidP="00063A24">
      <w:pPr>
        <w:pStyle w:val="Brdtextmedindrag"/>
      </w:pPr>
    </w:p>
    <w:p w14:paraId="05FFA366" w14:textId="1D5D36F3" w:rsidR="00A15971" w:rsidRDefault="00A15971" w:rsidP="00063A24">
      <w:pPr>
        <w:pStyle w:val="Brdtextmedindrag"/>
      </w:pPr>
      <w:r>
        <w:br w:type="column"/>
      </w:r>
    </w:p>
    <w:p w14:paraId="70AFDD86" w14:textId="77777777" w:rsidR="00A15971" w:rsidRDefault="00A15971" w:rsidP="00063A24">
      <w:pPr>
        <w:pStyle w:val="Brdtextmedindrag"/>
      </w:pPr>
    </w:p>
    <w:p w14:paraId="037433A6" w14:textId="77777777" w:rsidR="00A15971" w:rsidRDefault="00A15971" w:rsidP="00063A24">
      <w:pPr>
        <w:pStyle w:val="Brdtextmedindrag"/>
      </w:pPr>
    </w:p>
    <w:p w14:paraId="0B79A4E3" w14:textId="2F908243" w:rsidR="00A15971" w:rsidRDefault="00A15971" w:rsidP="00063A24">
      <w:pPr>
        <w:pStyle w:val="Brdtextmedindrag"/>
      </w:pPr>
      <w:r>
        <w:br w:type="column"/>
      </w:r>
    </w:p>
    <w:p w14:paraId="5B59C2A9" w14:textId="77777777" w:rsidR="00A15971" w:rsidRDefault="00A15971" w:rsidP="00063A24">
      <w:pPr>
        <w:pStyle w:val="Brdtextmedindrag"/>
      </w:pPr>
    </w:p>
    <w:p w14:paraId="32F86BE3" w14:textId="77777777" w:rsidR="00A15971" w:rsidRDefault="00A15971" w:rsidP="00063A24">
      <w:pPr>
        <w:pStyle w:val="Brdtextmedindrag"/>
      </w:pPr>
    </w:p>
    <w:p w14:paraId="5CBF881C" w14:textId="5308B4CE" w:rsidR="00A15971" w:rsidRDefault="00A15971" w:rsidP="00063A24">
      <w:pPr>
        <w:pStyle w:val="Brdtextmedindrag"/>
      </w:pPr>
      <w:r>
        <w:br w:type="column"/>
      </w:r>
    </w:p>
    <w:p w14:paraId="629064D4" w14:textId="77777777" w:rsidR="00A15971" w:rsidRDefault="00A15971" w:rsidP="00063A24">
      <w:pPr>
        <w:pStyle w:val="Brdtextmedindrag"/>
      </w:pPr>
    </w:p>
    <w:p w14:paraId="52C79110" w14:textId="44D49850" w:rsidR="00A15971" w:rsidRDefault="00A15971" w:rsidP="00063A24">
      <w:pPr>
        <w:pStyle w:val="Brdtextmedindrag"/>
      </w:pPr>
      <w:r>
        <w:br w:type="column"/>
      </w:r>
    </w:p>
    <w:p w14:paraId="09C64979" w14:textId="77777777" w:rsidR="00A15971" w:rsidRDefault="00A15971" w:rsidP="00063A24">
      <w:pPr>
        <w:pStyle w:val="Brdtextmedindrag"/>
      </w:pPr>
    </w:p>
    <w:p w14:paraId="50763E66" w14:textId="77777777" w:rsidR="00A15971" w:rsidRDefault="00A15971" w:rsidP="00063A24">
      <w:pPr>
        <w:pStyle w:val="Brdtextmedindrag"/>
      </w:pPr>
    </w:p>
    <w:p w14:paraId="62132043" w14:textId="36A3459E" w:rsidR="00A15971" w:rsidRDefault="00A15971" w:rsidP="00063A24">
      <w:pPr>
        <w:pStyle w:val="Brdtextmedindrag"/>
      </w:pPr>
      <w:r>
        <w:br w:type="column"/>
      </w:r>
    </w:p>
    <w:p w14:paraId="4E4DB06B" w14:textId="77777777" w:rsidR="00A15971" w:rsidRDefault="00A15971" w:rsidP="00063A24">
      <w:pPr>
        <w:pStyle w:val="Brdtextmedindrag"/>
      </w:pPr>
    </w:p>
    <w:p w14:paraId="4B9D8E9B" w14:textId="77777777" w:rsidR="00A15971" w:rsidRDefault="00A15971" w:rsidP="00063A24">
      <w:pPr>
        <w:pStyle w:val="Brdtextmedindrag"/>
      </w:pPr>
    </w:p>
    <w:p w14:paraId="72B87AC7" w14:textId="66E9888C" w:rsidR="00A15971" w:rsidRDefault="00A15971" w:rsidP="00063A24">
      <w:pPr>
        <w:pStyle w:val="Brdtextmedindrag"/>
      </w:pPr>
      <w:r>
        <w:br w:type="column"/>
      </w:r>
    </w:p>
    <w:p w14:paraId="2DD80C3B" w14:textId="77777777" w:rsidR="00A15971" w:rsidRDefault="00A15971" w:rsidP="00063A24">
      <w:pPr>
        <w:pStyle w:val="Brdtextmedindrag"/>
      </w:pPr>
    </w:p>
    <w:p w14:paraId="349A24FD" w14:textId="77777777" w:rsidR="00A15971" w:rsidRDefault="00A15971" w:rsidP="00063A24">
      <w:pPr>
        <w:pStyle w:val="Brdtextmedindrag"/>
      </w:pPr>
    </w:p>
    <w:p w14:paraId="7D111EE5" w14:textId="239DAE14" w:rsidR="00A15971" w:rsidRDefault="00A15971" w:rsidP="00063A24">
      <w:pPr>
        <w:pStyle w:val="Brdtextmedindrag"/>
      </w:pPr>
      <w:r>
        <w:br w:type="column"/>
      </w:r>
    </w:p>
    <w:p w14:paraId="78B479DD" w14:textId="77777777" w:rsidR="00A15971" w:rsidRDefault="00A15971" w:rsidP="00063A24">
      <w:pPr>
        <w:pStyle w:val="Brdtextmedindrag"/>
      </w:pPr>
    </w:p>
    <w:p w14:paraId="369B7C09" w14:textId="77777777" w:rsidR="00A15971" w:rsidRDefault="00A15971" w:rsidP="00063A24">
      <w:pPr>
        <w:pStyle w:val="Brdtextmedindrag"/>
      </w:pPr>
    </w:p>
    <w:p w14:paraId="27A55327" w14:textId="61F5157C" w:rsidR="00A15971" w:rsidRDefault="00A15971" w:rsidP="00063A24">
      <w:pPr>
        <w:pStyle w:val="Brdtextmedindrag"/>
      </w:pPr>
      <w:r>
        <w:br w:type="column"/>
      </w:r>
    </w:p>
    <w:p w14:paraId="266BD72A" w14:textId="77777777" w:rsidR="00A15971" w:rsidRDefault="00A15971" w:rsidP="00063A24">
      <w:pPr>
        <w:pStyle w:val="Brdtextmedindrag"/>
      </w:pPr>
    </w:p>
    <w:p w14:paraId="7082C203" w14:textId="77777777" w:rsidR="00A15971" w:rsidRDefault="00A15971" w:rsidP="00063A24">
      <w:pPr>
        <w:pStyle w:val="Brdtextmedindrag"/>
      </w:pPr>
    </w:p>
    <w:p w14:paraId="205F6DF4" w14:textId="30CB8A3D" w:rsidR="00A15971" w:rsidRDefault="00A15971" w:rsidP="00063A24">
      <w:pPr>
        <w:pStyle w:val="Brdtextmedindrag"/>
      </w:pPr>
      <w:r>
        <w:br w:type="column"/>
      </w:r>
    </w:p>
    <w:p w14:paraId="3EBD6533" w14:textId="77777777" w:rsidR="00A15971" w:rsidRDefault="00A15971" w:rsidP="00063A24">
      <w:pPr>
        <w:pStyle w:val="Brdtextmedindrag"/>
      </w:pPr>
    </w:p>
    <w:p w14:paraId="088A6A19" w14:textId="77777777" w:rsidR="00A15971" w:rsidRDefault="00A15971" w:rsidP="00063A24">
      <w:pPr>
        <w:pStyle w:val="Brdtextmedindrag"/>
      </w:pPr>
    </w:p>
    <w:p w14:paraId="07E9E569" w14:textId="11FE1FBA" w:rsidR="00A15971" w:rsidRDefault="00A15971" w:rsidP="00063A24">
      <w:pPr>
        <w:pStyle w:val="Brdtextmedindrag"/>
      </w:pPr>
      <w:r>
        <w:br w:type="column"/>
      </w:r>
    </w:p>
    <w:p w14:paraId="5C8601D9" w14:textId="77777777" w:rsidR="00A15971" w:rsidRDefault="00A15971" w:rsidP="00063A24">
      <w:pPr>
        <w:pStyle w:val="Brdtextmedindrag"/>
      </w:pPr>
    </w:p>
    <w:p w14:paraId="287F4CC8" w14:textId="77777777" w:rsidR="00A15971" w:rsidRDefault="00A15971" w:rsidP="00063A24">
      <w:pPr>
        <w:pStyle w:val="Brdtextmedindrag"/>
      </w:pPr>
    </w:p>
    <w:p w14:paraId="17557FF0" w14:textId="3D10688F" w:rsidR="00A15971" w:rsidRDefault="00A15971" w:rsidP="00063A24">
      <w:pPr>
        <w:pStyle w:val="Brdtextmedindrag"/>
      </w:pPr>
      <w:r>
        <w:br w:type="column"/>
      </w:r>
    </w:p>
    <w:p w14:paraId="3162C61F" w14:textId="77777777" w:rsidR="00A15971" w:rsidRDefault="00A15971" w:rsidP="00063A24">
      <w:pPr>
        <w:pStyle w:val="Brdtextmedindrag"/>
      </w:pPr>
    </w:p>
    <w:p w14:paraId="38A4962B" w14:textId="77777777" w:rsidR="00A15971" w:rsidRDefault="00A15971" w:rsidP="00063A24">
      <w:pPr>
        <w:pStyle w:val="Brdtextmedindrag"/>
      </w:pPr>
    </w:p>
    <w:p w14:paraId="52A28CC3" w14:textId="77ABC760" w:rsidR="00A15971" w:rsidRDefault="00A15971" w:rsidP="00063A24">
      <w:pPr>
        <w:pStyle w:val="Brdtextmedindrag"/>
      </w:pPr>
      <w:r>
        <w:br w:type="column"/>
      </w:r>
    </w:p>
    <w:p w14:paraId="44F50D38" w14:textId="77777777" w:rsidR="00A15971" w:rsidRDefault="00A15971" w:rsidP="00063A24">
      <w:pPr>
        <w:pStyle w:val="Brdtextmedindrag"/>
      </w:pPr>
    </w:p>
    <w:p w14:paraId="112EC939" w14:textId="77777777" w:rsidR="00A15971" w:rsidRDefault="00A15971" w:rsidP="00063A24">
      <w:pPr>
        <w:pStyle w:val="Brdtextmedindrag"/>
      </w:pPr>
    </w:p>
    <w:p w14:paraId="28CD67E5" w14:textId="10DFB46F" w:rsidR="00A15971" w:rsidRDefault="00A15971" w:rsidP="00063A24">
      <w:pPr>
        <w:pStyle w:val="Brdtextmedindrag"/>
      </w:pPr>
      <w:r>
        <w:br w:type="column"/>
      </w:r>
    </w:p>
    <w:p w14:paraId="0219893C" w14:textId="77777777" w:rsidR="00A15971" w:rsidRDefault="00A15971" w:rsidP="00063A24">
      <w:pPr>
        <w:pStyle w:val="Brdtextmedindrag"/>
      </w:pPr>
    </w:p>
    <w:p w14:paraId="308367DC" w14:textId="39614DD4" w:rsidR="00A15971" w:rsidRDefault="00A15971" w:rsidP="00063A24">
      <w:pPr>
        <w:pStyle w:val="Brdtextmedindrag"/>
      </w:pPr>
      <w:r>
        <w:br w:type="column"/>
      </w:r>
    </w:p>
    <w:p w14:paraId="6C864739" w14:textId="77777777" w:rsidR="00A15971" w:rsidRDefault="00A15971" w:rsidP="00063A24">
      <w:pPr>
        <w:pStyle w:val="Brdtextmedindrag"/>
      </w:pPr>
    </w:p>
    <w:p w14:paraId="6D9F40C6" w14:textId="77777777" w:rsidR="00A15971" w:rsidRDefault="00A15971" w:rsidP="00063A24">
      <w:pPr>
        <w:pStyle w:val="Brdtextmedindrag"/>
      </w:pPr>
    </w:p>
    <w:p w14:paraId="0EA6A3E1" w14:textId="4B5BF636" w:rsidR="00A15971" w:rsidRDefault="00A15971" w:rsidP="00063A24">
      <w:pPr>
        <w:pStyle w:val="Brdtextmedindrag"/>
      </w:pPr>
      <w:r>
        <w:br w:type="column"/>
      </w:r>
    </w:p>
    <w:p w14:paraId="266657C8" w14:textId="77777777" w:rsidR="00A15971" w:rsidRDefault="00A15971" w:rsidP="00063A24">
      <w:pPr>
        <w:pStyle w:val="Brdtextmedindrag"/>
      </w:pPr>
    </w:p>
    <w:p w14:paraId="1EA58899" w14:textId="77777777" w:rsidR="00A15971" w:rsidRDefault="00A15971" w:rsidP="00063A24">
      <w:pPr>
        <w:pStyle w:val="Brdtextmedindrag"/>
      </w:pPr>
    </w:p>
    <w:p w14:paraId="49D2CEEC" w14:textId="3CF86411" w:rsidR="00A15971" w:rsidRDefault="00A15971" w:rsidP="00063A24">
      <w:pPr>
        <w:pStyle w:val="Brdtextmedindrag"/>
      </w:pPr>
      <w:r>
        <w:br w:type="column"/>
      </w:r>
    </w:p>
    <w:p w14:paraId="14E085EC" w14:textId="77777777" w:rsidR="00A15971" w:rsidRDefault="00A15971" w:rsidP="00063A24">
      <w:pPr>
        <w:pStyle w:val="Brdtextmedindrag"/>
      </w:pPr>
    </w:p>
    <w:p w14:paraId="0A2D1626" w14:textId="77777777" w:rsidR="00A15971" w:rsidRDefault="00A15971" w:rsidP="00063A24">
      <w:pPr>
        <w:pStyle w:val="Brdtextmedindrag"/>
      </w:pPr>
    </w:p>
    <w:p w14:paraId="72C50C8B" w14:textId="76FFF5B1" w:rsidR="00A15971" w:rsidRDefault="00A15971" w:rsidP="00063A24">
      <w:pPr>
        <w:pStyle w:val="Brdtextmedindrag"/>
      </w:pPr>
      <w:r>
        <w:br w:type="column"/>
      </w:r>
    </w:p>
    <w:p w14:paraId="08F8C906" w14:textId="77777777" w:rsidR="00A15971" w:rsidRDefault="00A15971" w:rsidP="00063A24">
      <w:pPr>
        <w:pStyle w:val="Brdtextmedindrag"/>
      </w:pPr>
    </w:p>
    <w:p w14:paraId="2F23361C" w14:textId="77777777" w:rsidR="00A15971" w:rsidRDefault="00A15971" w:rsidP="00063A24">
      <w:pPr>
        <w:pStyle w:val="Brdtextmedindrag"/>
      </w:pPr>
    </w:p>
    <w:p w14:paraId="5F59A6B2" w14:textId="463EAA61" w:rsidR="00A15971" w:rsidRDefault="00A15971" w:rsidP="00063A24">
      <w:pPr>
        <w:pStyle w:val="Brdtextmedindrag"/>
      </w:pPr>
      <w:r>
        <w:br w:type="column"/>
      </w:r>
    </w:p>
    <w:p w14:paraId="45DA5CE5" w14:textId="77777777" w:rsidR="00A15971" w:rsidRDefault="00A15971" w:rsidP="00063A24">
      <w:pPr>
        <w:pStyle w:val="Brdtextmedindrag"/>
      </w:pPr>
    </w:p>
    <w:p w14:paraId="4206F13A" w14:textId="77777777" w:rsidR="00A15971" w:rsidRDefault="00A15971" w:rsidP="00063A24">
      <w:pPr>
        <w:pStyle w:val="Brdtextmedindrag"/>
      </w:pPr>
    </w:p>
    <w:p w14:paraId="5A08088E" w14:textId="2C38370D" w:rsidR="00A15971" w:rsidRDefault="00A15971" w:rsidP="00063A24">
      <w:pPr>
        <w:pStyle w:val="Brdtextmedindrag"/>
      </w:pPr>
      <w:r>
        <w:br w:type="column"/>
      </w:r>
    </w:p>
    <w:p w14:paraId="634F3392" w14:textId="77777777" w:rsidR="00A15971" w:rsidRDefault="00A15971" w:rsidP="00063A24">
      <w:pPr>
        <w:pStyle w:val="Brdtextmedindrag"/>
      </w:pPr>
    </w:p>
    <w:p w14:paraId="2226C0A6" w14:textId="77777777" w:rsidR="00A15971" w:rsidRDefault="00A15971" w:rsidP="00063A24">
      <w:pPr>
        <w:pStyle w:val="Brdtextmedindrag"/>
      </w:pPr>
    </w:p>
    <w:p w14:paraId="5BDEC336" w14:textId="4EA0A7F3" w:rsidR="00A15971" w:rsidRDefault="00A15971" w:rsidP="00063A24">
      <w:pPr>
        <w:pStyle w:val="Brdtextmedindrag"/>
      </w:pPr>
      <w:r>
        <w:br w:type="column"/>
      </w:r>
    </w:p>
    <w:p w14:paraId="3E320FEA" w14:textId="77777777" w:rsidR="00A15971" w:rsidRDefault="00A15971" w:rsidP="00063A24">
      <w:pPr>
        <w:pStyle w:val="Brdtextmedindrag"/>
      </w:pPr>
    </w:p>
    <w:p w14:paraId="4EFAB113" w14:textId="77777777" w:rsidR="00A15971" w:rsidRDefault="00A15971" w:rsidP="00063A24">
      <w:pPr>
        <w:pStyle w:val="Brdtextmedindrag"/>
      </w:pPr>
    </w:p>
    <w:p w14:paraId="485B5A26" w14:textId="1183397A" w:rsidR="00A15971" w:rsidRDefault="00A15971" w:rsidP="00063A24">
      <w:pPr>
        <w:pStyle w:val="Brdtextmedindrag"/>
      </w:pPr>
      <w:r>
        <w:br w:type="column"/>
      </w:r>
    </w:p>
    <w:p w14:paraId="388BBF9B" w14:textId="77777777" w:rsidR="00A15971" w:rsidRDefault="00A15971" w:rsidP="00063A24">
      <w:pPr>
        <w:pStyle w:val="Brdtextmedindrag"/>
      </w:pPr>
    </w:p>
    <w:p w14:paraId="02217B11" w14:textId="1F1BCDC5" w:rsidR="00A15971" w:rsidRDefault="00A15971" w:rsidP="00063A24">
      <w:pPr>
        <w:pStyle w:val="Brdtextmedindrag"/>
      </w:pPr>
      <w:r>
        <w:br w:type="column"/>
      </w:r>
    </w:p>
    <w:p w14:paraId="244A3EB2" w14:textId="77777777" w:rsidR="00A15971" w:rsidRDefault="00A15971" w:rsidP="00063A24">
      <w:pPr>
        <w:pStyle w:val="Brdtextmedindrag"/>
      </w:pPr>
    </w:p>
    <w:p w14:paraId="32B0813B" w14:textId="77777777" w:rsidR="00A15971" w:rsidRDefault="00A15971" w:rsidP="00063A24">
      <w:pPr>
        <w:pStyle w:val="Brdtextmedindrag"/>
      </w:pPr>
    </w:p>
    <w:p w14:paraId="06C5DF15" w14:textId="1D4BA047" w:rsidR="00A15971" w:rsidRDefault="00A15971" w:rsidP="00063A24">
      <w:pPr>
        <w:pStyle w:val="Brdtextmedindrag"/>
      </w:pPr>
      <w:r>
        <w:br w:type="column"/>
      </w:r>
    </w:p>
    <w:p w14:paraId="233AF2DB" w14:textId="77777777" w:rsidR="00A15971" w:rsidRDefault="00A15971" w:rsidP="00063A24">
      <w:pPr>
        <w:pStyle w:val="Brdtextmedindrag"/>
      </w:pPr>
    </w:p>
    <w:p w14:paraId="4E0A6471" w14:textId="77777777" w:rsidR="00A15971" w:rsidRDefault="00A15971" w:rsidP="00063A24">
      <w:pPr>
        <w:pStyle w:val="Brdtextmedindrag"/>
      </w:pPr>
    </w:p>
    <w:p w14:paraId="147F9A1B" w14:textId="741F86AF" w:rsidR="00A15971" w:rsidRDefault="00A15971" w:rsidP="00063A24">
      <w:pPr>
        <w:pStyle w:val="Brdtextmedindrag"/>
      </w:pPr>
      <w:r>
        <w:br w:type="column"/>
      </w:r>
    </w:p>
    <w:p w14:paraId="3899E2F0" w14:textId="77777777" w:rsidR="00A15971" w:rsidRDefault="00A15971" w:rsidP="00063A24">
      <w:pPr>
        <w:pStyle w:val="Brdtextmedindrag"/>
      </w:pPr>
    </w:p>
    <w:p w14:paraId="4D1F1840" w14:textId="77777777" w:rsidR="00A15971" w:rsidRDefault="00A15971" w:rsidP="00063A24">
      <w:pPr>
        <w:pStyle w:val="Brdtextmedindrag"/>
      </w:pPr>
    </w:p>
    <w:p w14:paraId="3D782A76" w14:textId="0C4A961E" w:rsidR="00A15971" w:rsidRDefault="00A15971" w:rsidP="00063A24">
      <w:pPr>
        <w:pStyle w:val="Brdtextmedindrag"/>
      </w:pPr>
      <w:r>
        <w:br w:type="column"/>
      </w:r>
    </w:p>
    <w:p w14:paraId="221681E4" w14:textId="77777777" w:rsidR="00A15971" w:rsidRDefault="00A15971" w:rsidP="00063A24">
      <w:pPr>
        <w:pStyle w:val="Brdtextmedindrag"/>
      </w:pPr>
    </w:p>
    <w:p w14:paraId="4ECCEFDB" w14:textId="77777777" w:rsidR="00A15971" w:rsidRDefault="00A15971" w:rsidP="00063A24">
      <w:pPr>
        <w:pStyle w:val="Brdtextmedindrag"/>
      </w:pPr>
    </w:p>
    <w:p w14:paraId="63FA32FF" w14:textId="648BB32F" w:rsidR="00A15971" w:rsidRDefault="00A15971" w:rsidP="00063A24">
      <w:pPr>
        <w:pStyle w:val="Brdtextmedindrag"/>
      </w:pPr>
      <w:r>
        <w:br w:type="column"/>
      </w:r>
    </w:p>
    <w:p w14:paraId="09516814" w14:textId="77777777" w:rsidR="00A15971" w:rsidRDefault="00A15971" w:rsidP="00063A24">
      <w:pPr>
        <w:pStyle w:val="Brdtextmedindrag"/>
      </w:pPr>
    </w:p>
    <w:p w14:paraId="5A93D6F6" w14:textId="77777777" w:rsidR="00A15971" w:rsidRDefault="00A15971" w:rsidP="00063A24">
      <w:pPr>
        <w:pStyle w:val="Brdtextmedindrag"/>
      </w:pPr>
    </w:p>
    <w:p w14:paraId="13B2B596" w14:textId="22BB75FC" w:rsidR="00A15971" w:rsidRDefault="00A15971" w:rsidP="00063A24">
      <w:pPr>
        <w:pStyle w:val="Brdtextmedindrag"/>
      </w:pPr>
      <w:r>
        <w:br w:type="column"/>
      </w:r>
    </w:p>
    <w:p w14:paraId="747F3798" w14:textId="77777777" w:rsidR="00A15971" w:rsidRDefault="00A15971" w:rsidP="00063A24">
      <w:pPr>
        <w:pStyle w:val="Brdtextmedindrag"/>
      </w:pPr>
    </w:p>
    <w:p w14:paraId="0E97F4F9" w14:textId="77777777" w:rsidR="00A15971" w:rsidRDefault="00A15971" w:rsidP="00063A24">
      <w:pPr>
        <w:pStyle w:val="Brdtextmedindrag"/>
      </w:pPr>
    </w:p>
    <w:p w14:paraId="6E30526A" w14:textId="2AF7A4F4" w:rsidR="00A15971" w:rsidRDefault="00A15971" w:rsidP="00063A24">
      <w:pPr>
        <w:pStyle w:val="Brdtextmedindrag"/>
      </w:pPr>
      <w:r>
        <w:br w:type="column"/>
      </w:r>
    </w:p>
    <w:p w14:paraId="3AB4F000" w14:textId="77777777" w:rsidR="00A15971" w:rsidRDefault="00A15971" w:rsidP="00063A24">
      <w:pPr>
        <w:pStyle w:val="Brdtextmedindrag"/>
      </w:pPr>
    </w:p>
    <w:p w14:paraId="59B63266" w14:textId="77777777" w:rsidR="00A15971" w:rsidRDefault="00A15971" w:rsidP="00063A24">
      <w:pPr>
        <w:pStyle w:val="Brdtextmedindrag"/>
      </w:pPr>
    </w:p>
    <w:p w14:paraId="26A8DB26" w14:textId="2345FBA3" w:rsidR="00A15971" w:rsidRDefault="00A15971" w:rsidP="00063A24">
      <w:pPr>
        <w:pStyle w:val="Brdtextmedindrag"/>
      </w:pPr>
      <w:r>
        <w:br w:type="column"/>
      </w:r>
    </w:p>
    <w:p w14:paraId="1C7F8125" w14:textId="77777777" w:rsidR="00A15971" w:rsidRDefault="00A15971" w:rsidP="00063A24">
      <w:pPr>
        <w:pStyle w:val="Brdtextmedindrag"/>
      </w:pPr>
    </w:p>
    <w:p w14:paraId="09B0ACD0" w14:textId="77777777" w:rsidR="00A15971" w:rsidRDefault="00A15971" w:rsidP="00063A24">
      <w:pPr>
        <w:pStyle w:val="Brdtextmedindrag"/>
      </w:pPr>
    </w:p>
    <w:p w14:paraId="455AA1A8" w14:textId="2DCDFF16" w:rsidR="00A15971" w:rsidRDefault="00A15971" w:rsidP="00063A24">
      <w:pPr>
        <w:pStyle w:val="Brdtextmedindrag"/>
      </w:pPr>
      <w:r>
        <w:br w:type="column"/>
      </w:r>
    </w:p>
    <w:p w14:paraId="1F9FE68C" w14:textId="77777777" w:rsidR="00A15971" w:rsidRDefault="00A15971" w:rsidP="00063A24">
      <w:pPr>
        <w:pStyle w:val="Brdtextmedindrag"/>
      </w:pPr>
    </w:p>
    <w:p w14:paraId="3173CC9C" w14:textId="77777777" w:rsidR="00A15971" w:rsidRDefault="00A15971" w:rsidP="00063A24">
      <w:pPr>
        <w:pStyle w:val="Brdtextmedindrag"/>
      </w:pPr>
    </w:p>
    <w:p w14:paraId="5DEC51F9" w14:textId="22D719E9" w:rsidR="00A15971" w:rsidRDefault="00A15971" w:rsidP="00063A24">
      <w:pPr>
        <w:pStyle w:val="Brdtextmedindrag"/>
      </w:pPr>
      <w:r>
        <w:br w:type="column"/>
      </w:r>
    </w:p>
    <w:p w14:paraId="5D4EB0BE" w14:textId="77777777" w:rsidR="00A15971" w:rsidRDefault="00A15971" w:rsidP="00063A24">
      <w:pPr>
        <w:pStyle w:val="Brdtextmedindrag"/>
      </w:pPr>
    </w:p>
    <w:p w14:paraId="5081A62D" w14:textId="77777777" w:rsidR="00A15971" w:rsidRDefault="00A15971" w:rsidP="00063A24">
      <w:pPr>
        <w:pStyle w:val="Brdtextmedindrag"/>
      </w:pPr>
    </w:p>
    <w:p w14:paraId="11D0550A" w14:textId="14E1BC17" w:rsidR="00A15971" w:rsidRDefault="00A15971" w:rsidP="00063A24">
      <w:pPr>
        <w:pStyle w:val="Brdtextmedindrag"/>
      </w:pPr>
      <w:r>
        <w:br w:type="column"/>
      </w:r>
    </w:p>
    <w:p w14:paraId="27CFDBB3" w14:textId="77777777" w:rsidR="00A15971" w:rsidRDefault="00A15971" w:rsidP="00063A24">
      <w:pPr>
        <w:pStyle w:val="Brdtextmedindrag"/>
      </w:pPr>
    </w:p>
    <w:p w14:paraId="167D2ED6" w14:textId="77777777" w:rsidR="00A15971" w:rsidRDefault="00A15971" w:rsidP="00063A24">
      <w:pPr>
        <w:pStyle w:val="Brdtextmedindrag"/>
      </w:pPr>
    </w:p>
    <w:p w14:paraId="0A1FF3B2" w14:textId="261027FA" w:rsidR="00A15971" w:rsidRDefault="00A15971" w:rsidP="00063A24">
      <w:pPr>
        <w:pStyle w:val="Brdtextmedindrag"/>
      </w:pPr>
      <w:r>
        <w:br w:type="column"/>
      </w:r>
    </w:p>
    <w:p w14:paraId="5A31B1CF" w14:textId="77777777" w:rsidR="00A15971" w:rsidRDefault="00A15971" w:rsidP="00063A24">
      <w:pPr>
        <w:pStyle w:val="Brdtextmedindrag"/>
      </w:pPr>
    </w:p>
    <w:p w14:paraId="10D776BE" w14:textId="67B59811" w:rsidR="00A15971" w:rsidRDefault="00A15971" w:rsidP="00063A24">
      <w:pPr>
        <w:pStyle w:val="Brdtextmedindrag"/>
      </w:pPr>
      <w:r>
        <w:br w:type="column"/>
      </w:r>
    </w:p>
    <w:p w14:paraId="2033EA04" w14:textId="77777777" w:rsidR="00A15971" w:rsidRDefault="00A15971" w:rsidP="00063A24">
      <w:pPr>
        <w:pStyle w:val="Brdtextmedindrag"/>
      </w:pPr>
    </w:p>
    <w:p w14:paraId="0EDB4218" w14:textId="5AA82449" w:rsidR="00A15971" w:rsidRDefault="00A15971" w:rsidP="00063A24">
      <w:pPr>
        <w:pStyle w:val="Brdtextmedindrag"/>
      </w:pPr>
      <w:r>
        <w:br w:type="column"/>
      </w:r>
    </w:p>
    <w:p w14:paraId="26FFE4D9" w14:textId="77777777" w:rsidR="00A15971" w:rsidRDefault="00A15971" w:rsidP="00063A24">
      <w:pPr>
        <w:pStyle w:val="Brdtextmedindrag"/>
      </w:pPr>
    </w:p>
    <w:p w14:paraId="252E3CB7" w14:textId="3B034953" w:rsidR="00A15971" w:rsidRDefault="00A15971" w:rsidP="00063A24">
      <w:pPr>
        <w:pStyle w:val="Brdtextmedindrag"/>
      </w:pPr>
      <w:r>
        <w:br w:type="column"/>
      </w:r>
    </w:p>
    <w:p w14:paraId="6C3C08C1" w14:textId="77777777" w:rsidR="00A15971" w:rsidRDefault="00A15971" w:rsidP="00063A24">
      <w:pPr>
        <w:pStyle w:val="Brdtextmedindrag"/>
      </w:pPr>
    </w:p>
    <w:p w14:paraId="432C4AF4" w14:textId="77777777" w:rsidR="00A15971" w:rsidRDefault="00A15971" w:rsidP="00063A24">
      <w:pPr>
        <w:pStyle w:val="Brdtextmedindrag"/>
      </w:pPr>
    </w:p>
    <w:p w14:paraId="6885F2AB" w14:textId="786A1BA5" w:rsidR="00A15971" w:rsidRDefault="00A15971" w:rsidP="00063A24">
      <w:pPr>
        <w:pStyle w:val="Brdtextmedindrag"/>
      </w:pPr>
      <w:r>
        <w:br w:type="column"/>
      </w:r>
    </w:p>
    <w:p w14:paraId="163132BF" w14:textId="77777777" w:rsidR="00A15971" w:rsidRDefault="00A15971" w:rsidP="00063A24">
      <w:pPr>
        <w:pStyle w:val="Brdtextmedindrag"/>
      </w:pPr>
    </w:p>
    <w:p w14:paraId="2A436FF3" w14:textId="77777777" w:rsidR="00A15971" w:rsidRDefault="00A15971" w:rsidP="00063A24">
      <w:pPr>
        <w:pStyle w:val="Brdtextmedindrag"/>
      </w:pPr>
    </w:p>
    <w:p w14:paraId="3AD17DC6" w14:textId="352E7875" w:rsidR="00A15971" w:rsidRDefault="00A15971" w:rsidP="00063A24">
      <w:pPr>
        <w:pStyle w:val="Brdtextmedindrag"/>
      </w:pPr>
      <w:r>
        <w:br w:type="column"/>
      </w:r>
    </w:p>
    <w:p w14:paraId="0DCFAA26" w14:textId="77777777" w:rsidR="00A15971" w:rsidRDefault="00A15971" w:rsidP="00063A24">
      <w:pPr>
        <w:pStyle w:val="Brdtextmedindrag"/>
      </w:pPr>
    </w:p>
    <w:p w14:paraId="1C15822C" w14:textId="77777777" w:rsidR="00A15971" w:rsidRDefault="00A15971" w:rsidP="00063A24">
      <w:pPr>
        <w:pStyle w:val="Brdtextmedindrag"/>
      </w:pPr>
    </w:p>
    <w:p w14:paraId="338BF38B" w14:textId="2585DC60" w:rsidR="00A15971" w:rsidRDefault="00A15971" w:rsidP="00063A24">
      <w:pPr>
        <w:pStyle w:val="Brdtextmedindrag"/>
      </w:pPr>
      <w:r>
        <w:br w:type="column"/>
      </w:r>
    </w:p>
    <w:p w14:paraId="6A80DCE9" w14:textId="77777777" w:rsidR="00A15971" w:rsidRDefault="00A15971" w:rsidP="00063A24">
      <w:pPr>
        <w:pStyle w:val="Brdtextmedindrag"/>
      </w:pPr>
    </w:p>
    <w:p w14:paraId="7E1EC4B8" w14:textId="77777777" w:rsidR="00A15971" w:rsidRDefault="00A15971" w:rsidP="00063A24">
      <w:pPr>
        <w:pStyle w:val="Brdtextmedindrag"/>
      </w:pPr>
    </w:p>
    <w:p w14:paraId="05F0C868" w14:textId="20F2D683" w:rsidR="00A15971" w:rsidRDefault="00A15971" w:rsidP="00063A24">
      <w:pPr>
        <w:pStyle w:val="Brdtextmedindrag"/>
      </w:pPr>
      <w:r>
        <w:br w:type="column"/>
      </w:r>
    </w:p>
    <w:p w14:paraId="16CE99EA" w14:textId="77777777" w:rsidR="00A15971" w:rsidRDefault="00A15971" w:rsidP="00063A24">
      <w:pPr>
        <w:pStyle w:val="Brdtextmedindrag"/>
      </w:pPr>
    </w:p>
    <w:p w14:paraId="257DACCA" w14:textId="77777777" w:rsidR="00A15971" w:rsidRDefault="00A15971" w:rsidP="00063A24">
      <w:pPr>
        <w:pStyle w:val="Brdtextmedindrag"/>
      </w:pPr>
    </w:p>
    <w:p w14:paraId="26C8202E" w14:textId="376D4468" w:rsidR="00A15971" w:rsidRDefault="00A15971" w:rsidP="00063A24">
      <w:pPr>
        <w:pStyle w:val="Brdtextmedindrag"/>
      </w:pPr>
      <w:r>
        <w:br w:type="column"/>
      </w:r>
    </w:p>
    <w:p w14:paraId="18BD9EC4" w14:textId="77777777" w:rsidR="00A15971" w:rsidRDefault="00A15971" w:rsidP="00063A24">
      <w:pPr>
        <w:pStyle w:val="Brdtextmedindrag"/>
      </w:pPr>
    </w:p>
    <w:p w14:paraId="39A391F1" w14:textId="77777777" w:rsidR="00A15971" w:rsidRDefault="00A15971" w:rsidP="00063A24">
      <w:pPr>
        <w:pStyle w:val="Brdtextmedindrag"/>
      </w:pPr>
    </w:p>
    <w:p w14:paraId="605B68E2" w14:textId="1FA6029D" w:rsidR="00A15971" w:rsidRDefault="00A15971" w:rsidP="00063A24">
      <w:pPr>
        <w:pStyle w:val="Brdtextmedindrag"/>
      </w:pPr>
      <w:r>
        <w:br w:type="column"/>
      </w:r>
    </w:p>
    <w:p w14:paraId="3FD3AA75" w14:textId="77777777" w:rsidR="00A15971" w:rsidRDefault="00A15971" w:rsidP="00063A24">
      <w:pPr>
        <w:pStyle w:val="Brdtextmedindrag"/>
      </w:pPr>
    </w:p>
    <w:p w14:paraId="44F7C311" w14:textId="77777777" w:rsidR="00A15971" w:rsidRDefault="00A15971" w:rsidP="00063A24">
      <w:pPr>
        <w:pStyle w:val="Brdtextmedindrag"/>
      </w:pPr>
    </w:p>
    <w:p w14:paraId="3E8EFD73" w14:textId="54455A9E" w:rsidR="00A15971" w:rsidRDefault="00A15971" w:rsidP="00063A24">
      <w:pPr>
        <w:pStyle w:val="Brdtextmedindrag"/>
      </w:pPr>
      <w:r>
        <w:br w:type="column"/>
      </w:r>
    </w:p>
    <w:p w14:paraId="6924F57E" w14:textId="77777777" w:rsidR="00A15971" w:rsidRDefault="00A15971" w:rsidP="00063A24">
      <w:pPr>
        <w:pStyle w:val="Brdtextmedindrag"/>
      </w:pPr>
    </w:p>
    <w:p w14:paraId="686209DE" w14:textId="77777777" w:rsidR="00A15971" w:rsidRDefault="00A15971" w:rsidP="00063A24">
      <w:pPr>
        <w:pStyle w:val="Brdtextmedindrag"/>
      </w:pPr>
    </w:p>
    <w:p w14:paraId="7C2642FC" w14:textId="7F46F827" w:rsidR="00A15971" w:rsidRDefault="00A15971" w:rsidP="00063A24">
      <w:pPr>
        <w:pStyle w:val="Brdtextmedindrag"/>
      </w:pPr>
      <w:r>
        <w:br w:type="column"/>
      </w:r>
    </w:p>
    <w:p w14:paraId="18E116B7" w14:textId="77777777" w:rsidR="00A15971" w:rsidRDefault="00A15971" w:rsidP="00063A24">
      <w:pPr>
        <w:pStyle w:val="Brdtextmedindrag"/>
      </w:pPr>
    </w:p>
    <w:p w14:paraId="0BEC9C18" w14:textId="77777777" w:rsidR="00A15971" w:rsidRDefault="00A15971" w:rsidP="00063A24">
      <w:pPr>
        <w:pStyle w:val="Brdtextmedindrag"/>
      </w:pPr>
    </w:p>
    <w:p w14:paraId="3F15D9E8" w14:textId="6F66857B" w:rsidR="00A15971" w:rsidRDefault="00A15971" w:rsidP="00063A24">
      <w:pPr>
        <w:pStyle w:val="Brdtextmedindrag"/>
      </w:pPr>
      <w:r>
        <w:br w:type="column"/>
      </w:r>
    </w:p>
    <w:p w14:paraId="7F80FD1B" w14:textId="77777777" w:rsidR="00A15971" w:rsidRDefault="00A15971" w:rsidP="00063A24">
      <w:pPr>
        <w:pStyle w:val="Brdtextmedindrag"/>
      </w:pPr>
    </w:p>
    <w:p w14:paraId="29391C0A" w14:textId="77777777" w:rsidR="00A15971" w:rsidRDefault="00A15971" w:rsidP="00063A24">
      <w:pPr>
        <w:pStyle w:val="Brdtextmedindrag"/>
      </w:pPr>
    </w:p>
    <w:p w14:paraId="627F69F7" w14:textId="0C5B92C4" w:rsidR="00A15971" w:rsidRDefault="00A15971" w:rsidP="00063A24">
      <w:pPr>
        <w:pStyle w:val="Brdtextmedindrag"/>
      </w:pPr>
      <w:r>
        <w:br w:type="column"/>
      </w:r>
    </w:p>
    <w:p w14:paraId="72B468EF" w14:textId="77777777" w:rsidR="00A15971" w:rsidRDefault="00A15971" w:rsidP="00063A24">
      <w:pPr>
        <w:pStyle w:val="Brdtextmedindrag"/>
      </w:pPr>
    </w:p>
    <w:p w14:paraId="19A339FD" w14:textId="77777777" w:rsidR="00A15971" w:rsidRDefault="00A15971" w:rsidP="00063A24">
      <w:pPr>
        <w:pStyle w:val="Brdtextmedindrag"/>
      </w:pPr>
    </w:p>
    <w:p w14:paraId="148B95EA" w14:textId="241285CD" w:rsidR="00A15971" w:rsidRDefault="00A15971" w:rsidP="00063A24">
      <w:pPr>
        <w:pStyle w:val="Brdtextmedindrag"/>
      </w:pPr>
      <w:r>
        <w:br w:type="column"/>
      </w:r>
    </w:p>
    <w:p w14:paraId="28D34293" w14:textId="77777777" w:rsidR="00A15971" w:rsidRDefault="00A15971" w:rsidP="00063A24">
      <w:pPr>
        <w:pStyle w:val="Brdtextmedindrag"/>
      </w:pPr>
    </w:p>
    <w:p w14:paraId="245287BB" w14:textId="77777777" w:rsidR="00A15971" w:rsidRDefault="00A15971" w:rsidP="00063A24">
      <w:pPr>
        <w:pStyle w:val="Brdtextmedindrag"/>
      </w:pPr>
    </w:p>
    <w:p w14:paraId="058586C4" w14:textId="051BB64C" w:rsidR="00A15971" w:rsidRDefault="00A15971" w:rsidP="00063A24">
      <w:pPr>
        <w:pStyle w:val="Brdtextmedindrag"/>
      </w:pPr>
      <w:r>
        <w:br w:type="column"/>
      </w:r>
    </w:p>
    <w:p w14:paraId="497F9179" w14:textId="77777777" w:rsidR="00A15971" w:rsidRDefault="00A15971" w:rsidP="00063A24">
      <w:pPr>
        <w:pStyle w:val="Brdtextmedindrag"/>
      </w:pPr>
    </w:p>
    <w:p w14:paraId="5DA43D6B" w14:textId="77777777" w:rsidR="00A15971" w:rsidRDefault="00A15971" w:rsidP="00063A24">
      <w:pPr>
        <w:pStyle w:val="Brdtextmedindrag"/>
      </w:pPr>
    </w:p>
    <w:p w14:paraId="1BA916FC" w14:textId="361CA2B4" w:rsidR="00A15971" w:rsidRDefault="00A15971" w:rsidP="00063A24">
      <w:pPr>
        <w:pStyle w:val="Brdtextmedindrag"/>
      </w:pPr>
      <w:r>
        <w:br w:type="column"/>
      </w:r>
    </w:p>
    <w:p w14:paraId="5D0C0399" w14:textId="77777777" w:rsidR="00A15971" w:rsidRDefault="00A15971" w:rsidP="00063A24">
      <w:pPr>
        <w:pStyle w:val="Brdtextmedindrag"/>
      </w:pPr>
    </w:p>
    <w:p w14:paraId="08985810" w14:textId="77777777" w:rsidR="00A15971" w:rsidRDefault="00A15971" w:rsidP="00063A24">
      <w:pPr>
        <w:pStyle w:val="Brdtextmedindrag"/>
      </w:pPr>
    </w:p>
    <w:p w14:paraId="270208B7" w14:textId="2565D022" w:rsidR="00A15971" w:rsidRDefault="00A15971" w:rsidP="00063A24">
      <w:pPr>
        <w:pStyle w:val="Brdtextmedindrag"/>
      </w:pPr>
      <w:r>
        <w:br w:type="column"/>
      </w:r>
    </w:p>
    <w:p w14:paraId="4DDDD353" w14:textId="77777777" w:rsidR="00A15971" w:rsidRDefault="00A15971" w:rsidP="00063A24">
      <w:pPr>
        <w:pStyle w:val="Brdtextmedindrag"/>
      </w:pPr>
    </w:p>
    <w:p w14:paraId="6838DFDD" w14:textId="77777777" w:rsidR="00A15971" w:rsidRDefault="00A15971" w:rsidP="00063A24">
      <w:pPr>
        <w:pStyle w:val="Brdtextmedindrag"/>
      </w:pPr>
    </w:p>
    <w:p w14:paraId="6C479A90" w14:textId="5A926A8A" w:rsidR="00A15971" w:rsidRDefault="00A15971" w:rsidP="00063A24">
      <w:pPr>
        <w:pStyle w:val="Brdtextmedindrag"/>
      </w:pPr>
      <w:r>
        <w:br w:type="column"/>
      </w:r>
    </w:p>
    <w:p w14:paraId="3CACBB1A" w14:textId="77777777" w:rsidR="00A15971" w:rsidRDefault="00A15971" w:rsidP="00063A24">
      <w:pPr>
        <w:pStyle w:val="Brdtextmedindrag"/>
      </w:pPr>
    </w:p>
    <w:p w14:paraId="448FA400" w14:textId="77777777" w:rsidR="00A15971" w:rsidRDefault="00A15971" w:rsidP="00063A24">
      <w:pPr>
        <w:pStyle w:val="Brdtextmedindrag"/>
      </w:pPr>
    </w:p>
    <w:p w14:paraId="47194051" w14:textId="5E0D8141" w:rsidR="00A15971" w:rsidRDefault="00A15971" w:rsidP="00063A24">
      <w:pPr>
        <w:pStyle w:val="Brdtextmedindrag"/>
      </w:pPr>
      <w:r>
        <w:br w:type="column"/>
      </w:r>
    </w:p>
    <w:p w14:paraId="5CA2B72A" w14:textId="77777777" w:rsidR="00A15971" w:rsidRDefault="00A15971" w:rsidP="00063A24">
      <w:pPr>
        <w:pStyle w:val="Brdtextmedindrag"/>
      </w:pPr>
    </w:p>
    <w:p w14:paraId="7A01E784" w14:textId="77777777" w:rsidR="00A15971" w:rsidRDefault="00A15971" w:rsidP="00063A24">
      <w:pPr>
        <w:pStyle w:val="Brdtextmedindrag"/>
      </w:pPr>
    </w:p>
    <w:p w14:paraId="44E1A149" w14:textId="0821B850" w:rsidR="00A15971" w:rsidRDefault="00A15971" w:rsidP="00063A24">
      <w:pPr>
        <w:pStyle w:val="Brdtextmedindrag"/>
      </w:pPr>
      <w:r>
        <w:br w:type="column"/>
      </w:r>
    </w:p>
    <w:p w14:paraId="2DF51783" w14:textId="77777777" w:rsidR="00A15971" w:rsidRDefault="00A15971" w:rsidP="00063A24">
      <w:pPr>
        <w:pStyle w:val="Brdtextmedindrag"/>
      </w:pPr>
    </w:p>
    <w:p w14:paraId="77001ADB" w14:textId="77777777" w:rsidR="00A15971" w:rsidRDefault="00A15971" w:rsidP="00063A24">
      <w:pPr>
        <w:pStyle w:val="Brdtextmedindrag"/>
      </w:pPr>
    </w:p>
    <w:p w14:paraId="3381C48E" w14:textId="11837142" w:rsidR="00A15971" w:rsidRDefault="00A15971" w:rsidP="00063A24">
      <w:pPr>
        <w:pStyle w:val="Brdtextmedindrag"/>
      </w:pPr>
      <w:r>
        <w:br w:type="column"/>
      </w:r>
    </w:p>
    <w:p w14:paraId="6A2C3BF8" w14:textId="77777777" w:rsidR="00A15971" w:rsidRDefault="00A15971" w:rsidP="00063A24">
      <w:pPr>
        <w:pStyle w:val="Brdtextmedindrag"/>
      </w:pPr>
    </w:p>
    <w:p w14:paraId="319EE034" w14:textId="77777777" w:rsidR="00A15971" w:rsidRDefault="00A15971" w:rsidP="00063A24">
      <w:pPr>
        <w:pStyle w:val="Brdtextmedindrag"/>
      </w:pPr>
    </w:p>
    <w:p w14:paraId="42D4ABB9" w14:textId="76C10ED8" w:rsidR="00A15971" w:rsidRDefault="00A15971" w:rsidP="00063A24">
      <w:pPr>
        <w:pStyle w:val="Brdtextmedindrag"/>
      </w:pPr>
      <w:r>
        <w:br w:type="column"/>
      </w:r>
    </w:p>
    <w:p w14:paraId="6D3ABF55" w14:textId="77777777" w:rsidR="00A15971" w:rsidRDefault="00A15971" w:rsidP="00063A24">
      <w:pPr>
        <w:pStyle w:val="Brdtextmedindrag"/>
      </w:pPr>
    </w:p>
    <w:p w14:paraId="461A73D6" w14:textId="77777777" w:rsidR="00A15971" w:rsidRDefault="00A15971" w:rsidP="00063A24">
      <w:pPr>
        <w:pStyle w:val="Brdtextmedindrag"/>
      </w:pPr>
    </w:p>
    <w:p w14:paraId="335D2E5E" w14:textId="2EB07DD7" w:rsidR="00A15971" w:rsidRDefault="00A15971" w:rsidP="00063A24">
      <w:pPr>
        <w:pStyle w:val="Brdtextmedindrag"/>
      </w:pPr>
      <w:r>
        <w:br w:type="column"/>
      </w:r>
    </w:p>
    <w:p w14:paraId="615C19D2" w14:textId="77777777" w:rsidR="00A15971" w:rsidRDefault="00A15971" w:rsidP="00063A24">
      <w:pPr>
        <w:pStyle w:val="Brdtextmedindrag"/>
      </w:pPr>
    </w:p>
    <w:p w14:paraId="1A2A3F9A" w14:textId="77777777" w:rsidR="00A15971" w:rsidRDefault="00A15971" w:rsidP="00063A24">
      <w:pPr>
        <w:pStyle w:val="Brdtextmedindrag"/>
      </w:pPr>
    </w:p>
    <w:p w14:paraId="730323B7" w14:textId="4DCF1E94" w:rsidR="00A15971" w:rsidRDefault="00A15971" w:rsidP="00063A24">
      <w:pPr>
        <w:pStyle w:val="Brdtextmedindrag"/>
      </w:pPr>
      <w:r>
        <w:br w:type="column"/>
      </w:r>
    </w:p>
    <w:p w14:paraId="0F4706FB" w14:textId="77777777" w:rsidR="00A15971" w:rsidRDefault="00A15971" w:rsidP="00063A24">
      <w:pPr>
        <w:pStyle w:val="Brdtextmedindrag"/>
      </w:pPr>
    </w:p>
    <w:p w14:paraId="1E1389D7" w14:textId="77777777" w:rsidR="00A15971" w:rsidRDefault="00A15971" w:rsidP="00063A24">
      <w:pPr>
        <w:pStyle w:val="Brdtextmedindrag"/>
      </w:pPr>
    </w:p>
    <w:p w14:paraId="2D39B0FB" w14:textId="222B958F" w:rsidR="00A15971" w:rsidRDefault="00A15971" w:rsidP="00063A24">
      <w:pPr>
        <w:pStyle w:val="Brdtextmedindrag"/>
      </w:pPr>
      <w:r>
        <w:br w:type="column"/>
      </w:r>
    </w:p>
    <w:p w14:paraId="380EAE51" w14:textId="77777777" w:rsidR="00A15971" w:rsidRDefault="00A15971" w:rsidP="00063A24">
      <w:pPr>
        <w:pStyle w:val="Brdtextmedindrag"/>
      </w:pPr>
    </w:p>
    <w:p w14:paraId="65B4D0BE" w14:textId="77777777" w:rsidR="00A15971" w:rsidRDefault="00A15971" w:rsidP="00063A24">
      <w:pPr>
        <w:pStyle w:val="Brdtextmedindrag"/>
      </w:pPr>
    </w:p>
    <w:p w14:paraId="3AC09C4B" w14:textId="665343E5" w:rsidR="00A15971" w:rsidRDefault="00A15971" w:rsidP="00063A24">
      <w:pPr>
        <w:pStyle w:val="Brdtextmedindrag"/>
      </w:pPr>
      <w:r>
        <w:br w:type="column"/>
      </w:r>
    </w:p>
    <w:p w14:paraId="4A26CA88" w14:textId="77777777" w:rsidR="00A15971" w:rsidRDefault="00A15971" w:rsidP="00063A24">
      <w:pPr>
        <w:pStyle w:val="Brdtextmedindrag"/>
      </w:pPr>
    </w:p>
    <w:p w14:paraId="22900BC7" w14:textId="77777777" w:rsidR="00A15971" w:rsidRDefault="00A15971" w:rsidP="00063A24">
      <w:pPr>
        <w:pStyle w:val="Brdtextmedindrag"/>
      </w:pPr>
    </w:p>
    <w:p w14:paraId="680379EE" w14:textId="40A9E938" w:rsidR="00A15971" w:rsidRDefault="00A15971" w:rsidP="00063A24">
      <w:pPr>
        <w:pStyle w:val="Brdtextmedindrag"/>
      </w:pPr>
      <w:r>
        <w:br w:type="column"/>
      </w:r>
    </w:p>
    <w:p w14:paraId="24D4261D" w14:textId="77777777" w:rsidR="00A15971" w:rsidRDefault="00A15971" w:rsidP="00063A24">
      <w:pPr>
        <w:pStyle w:val="Brdtextmedindrag"/>
      </w:pPr>
    </w:p>
    <w:p w14:paraId="3A8C87D4" w14:textId="77777777" w:rsidR="00A15971" w:rsidRDefault="00A15971" w:rsidP="00063A24">
      <w:pPr>
        <w:pStyle w:val="Brdtextmedindrag"/>
      </w:pPr>
    </w:p>
    <w:p w14:paraId="7D2366CC" w14:textId="71B86824" w:rsidR="00A15971" w:rsidRDefault="00A15971" w:rsidP="00ED7C78">
      <w:pPr>
        <w:pStyle w:val="Brdtextmedindrag"/>
        <w:ind w:firstLine="0"/>
      </w:pPr>
    </w:p>
    <w:p w14:paraId="1E6D6085" w14:textId="77777777" w:rsidR="00063A24" w:rsidRDefault="00063A24" w:rsidP="00063A24">
      <w:pPr>
        <w:pStyle w:val="Brdtextmedindrag"/>
      </w:pPr>
    </w:p>
    <w:p w14:paraId="5120B0F5" w14:textId="381E8BDD" w:rsidR="00063A24" w:rsidRPr="00063A24" w:rsidRDefault="00063A24" w:rsidP="00ED7C78">
      <w:pPr>
        <w:pStyle w:val="Brdtextmedindrag"/>
        <w:ind w:firstLine="0"/>
        <w:sectPr w:rsidR="00063A24" w:rsidRPr="00063A24" w:rsidSect="00155500">
          <w:headerReference w:type="even" r:id="rId40"/>
          <w:headerReference w:type="default" r:id="rId41"/>
          <w:footerReference w:type="even" r:id="rId42"/>
          <w:footerReference w:type="default" r:id="rId43"/>
          <w:headerReference w:type="first" r:id="rId44"/>
          <w:footerReference w:type="first" r:id="rId45"/>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38D930DF" w14:textId="25E5636E" w:rsidR="00FC17EB" w:rsidRDefault="00063A24" w:rsidP="00FC17EB">
          <w:pPr>
            <w:pStyle w:val="Proprubrik"/>
            <w:spacing w:after="190"/>
          </w:pPr>
          <w:r>
            <w:t>Finansdepartementet</w:t>
          </w:r>
        </w:p>
      </w:sdtContent>
    </w:sdt>
    <w:p w14:paraId="7F34B91E" w14:textId="46119688" w:rsidR="00FC17EB" w:rsidRDefault="00FC17EB" w:rsidP="000641A6">
      <w:pPr>
        <w:pStyle w:val="Proputdrag"/>
      </w:pPr>
      <w:bookmarkStart w:id="70" w:name="_Toc227766880"/>
      <w:r>
        <w:t xml:space="preserve">Utdrag ur protokoll vid regeringssammanträde </w:t>
      </w:r>
      <w:sdt>
        <w:sdtPr>
          <w:alias w:val="Datum"/>
          <w:tag w:val="Datum"/>
          <w:id w:val="1508867760"/>
          <w:date w:fullDate="2026-04-23T00:00:00Z">
            <w:dateFormat w:val="'den' d MMMM yyyy"/>
            <w:lid w:val="sv-SE"/>
            <w:storeMappedDataAs w:val="dateTime"/>
            <w:calendar w:val="gregorian"/>
          </w:date>
        </w:sdtPr>
        <w:sdtEndPr/>
        <w:sdtContent>
          <w:r w:rsidR="000C0F33">
            <w:t>den 23 april 2026</w:t>
          </w:r>
        </w:sdtContent>
      </w:sdt>
      <w:bookmarkEnd w:id="70"/>
    </w:p>
    <w:p w14:paraId="24AEB97F" w14:textId="77777777" w:rsidR="00FC17EB" w:rsidRDefault="00FC17EB" w:rsidP="000641A6">
      <w:pPr>
        <w:pStyle w:val="Brdtext"/>
        <w:jc w:val="left"/>
      </w:pPr>
    </w:p>
    <w:p w14:paraId="5E0F11E1" w14:textId="1B48BAB7" w:rsidR="00FC17EB" w:rsidRDefault="00FC17EB"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063A24">
            <w:t>statsminister Kristersson, ordförande, och statsråden Svantesson, Waltersson Grönvall, Jonson, Strömmer, Forssmed, Slottner, Wykman, Malmer Stenergard, Kullgren, Liljestrand, Bohlin, Carlson, Rosencrantz, Dousa, Larsson, Britz, Mohamsson, Lann</w:t>
          </w:r>
        </w:sdtContent>
      </w:sdt>
    </w:p>
    <w:p w14:paraId="032DCF4A" w14:textId="77777777" w:rsidR="00FC17EB" w:rsidRDefault="00FC17EB" w:rsidP="000641A6">
      <w:pPr>
        <w:pStyle w:val="Brdtext"/>
        <w:jc w:val="left"/>
      </w:pPr>
    </w:p>
    <w:p w14:paraId="0F76089A" w14:textId="2C37E367" w:rsidR="00FC17EB" w:rsidRDefault="00FC17EB" w:rsidP="000641A6">
      <w:pPr>
        <w:pStyle w:val="Brdtext"/>
        <w:jc w:val="left"/>
      </w:pPr>
      <w:r>
        <w:t xml:space="preserve">Föredragande: statsrådet </w:t>
      </w:r>
      <w:sdt>
        <w:sdtPr>
          <w:alias w:val="Foredragande"/>
          <w:tag w:val="Foredragande"/>
          <w:id w:val="-1423715855"/>
          <w:placeholder>
            <w:docPart w:val="2D9439464A2D459FB60C19E837E687E0"/>
          </w:placeholder>
          <w:text w:multiLine="1"/>
        </w:sdtPr>
        <w:sdtEndPr/>
        <w:sdtContent>
          <w:r w:rsidR="009605F9">
            <w:t>Wykman</w:t>
          </w:r>
        </w:sdtContent>
      </w:sdt>
    </w:p>
    <w:p w14:paraId="3E34B0B3" w14:textId="77777777" w:rsidR="00FC17EB" w:rsidRPr="00827386" w:rsidRDefault="00FC17EB" w:rsidP="000641A6">
      <w:pPr>
        <w:pStyle w:val="Brdtext"/>
        <w:jc w:val="left"/>
        <w:rPr>
          <w:szCs w:val="21"/>
        </w:rPr>
      </w:pPr>
    </w:p>
    <w:p w14:paraId="066B88B7" w14:textId="77777777" w:rsidR="00FC17EB" w:rsidRPr="008B7E85" w:rsidRDefault="00FC17EB" w:rsidP="0044419F">
      <w:pPr>
        <w:pStyle w:val="Slutstreck"/>
      </w:pPr>
      <w:r w:rsidRPr="008B7E85">
        <w:t>                    </w:t>
      </w:r>
    </w:p>
    <w:p w14:paraId="6668851B" w14:textId="77777777" w:rsidR="00FC17EB" w:rsidRPr="006E102E" w:rsidRDefault="00FC17EB" w:rsidP="000641A6">
      <w:pPr>
        <w:pStyle w:val="Brdtext"/>
        <w:jc w:val="left"/>
        <w:rPr>
          <w:sz w:val="18"/>
          <w:szCs w:val="18"/>
        </w:rPr>
      </w:pPr>
    </w:p>
    <w:p w14:paraId="52C75897" w14:textId="77777777" w:rsidR="00FC17EB" w:rsidRDefault="00FC17EB" w:rsidP="000641A6">
      <w:pPr>
        <w:pStyle w:val="Brdtext"/>
        <w:jc w:val="left"/>
      </w:pPr>
    </w:p>
    <w:p w14:paraId="449E7564" w14:textId="02335F01" w:rsidR="00FC17EB" w:rsidRDefault="00FC17EB"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rsidR="00063A24">
            <w:t>Utvärdering av statens upplåning och skuldförvaltning 2021–2025</w:t>
          </w:r>
        </w:sdtContent>
      </w:sdt>
    </w:p>
    <w:p w14:paraId="0E0A63AF" w14:textId="77777777" w:rsidR="00FC17EB" w:rsidRDefault="00FC17EB" w:rsidP="000641A6">
      <w:pPr>
        <w:pStyle w:val="Brdtext"/>
      </w:pPr>
    </w:p>
    <w:p w14:paraId="092F1501" w14:textId="77777777" w:rsidR="00DB62B9" w:rsidRDefault="00DB62B9" w:rsidP="00152749">
      <w:pPr>
        <w:pStyle w:val="Brdtextmedindrag"/>
      </w:pPr>
    </w:p>
    <w:sectPr w:rsidR="00DB62B9" w:rsidSect="00155500">
      <w:headerReference w:type="even" r:id="rId46"/>
      <w:headerReference w:type="default" r:id="rId47"/>
      <w:footerReference w:type="even" r:id="rId48"/>
      <w:footerReference w:type="default" r:id="rId49"/>
      <w:headerReference w:type="first" r:id="rId50"/>
      <w:footerReference w:type="first" r:id="rId5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88D34" w14:textId="77777777" w:rsidR="00BD1D0E" w:rsidRDefault="00BD1D0E" w:rsidP="00F8009C">
      <w:r>
        <w:separator/>
      </w:r>
    </w:p>
  </w:endnote>
  <w:endnote w:type="continuationSeparator" w:id="0">
    <w:p w14:paraId="2264BC15" w14:textId="77777777" w:rsidR="00BD1D0E" w:rsidRDefault="00BD1D0E"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D0CDA" w14:textId="77777777" w:rsidR="00244011" w:rsidRDefault="00244011" w:rsidP="009C2B67">
    <w:pPr>
      <w:pStyle w:val="Brdtext"/>
    </w:pPr>
    <w:r>
      <w:rPr>
        <w:noProof/>
        <w:lang w:eastAsia="sv-SE"/>
      </w:rPr>
      <mc:AlternateContent>
        <mc:Choice Requires="wps">
          <w:drawing>
            <wp:anchor distT="0" distB="0" distL="0" distR="0" simplePos="0" relativeHeight="251665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2AB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672AB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3BDCF" w14:textId="77777777" w:rsidR="00244011" w:rsidRDefault="00244011" w:rsidP="00EE1584">
    <w:pPr>
      <w:pStyle w:val="Brdtext"/>
    </w:pPr>
    <w:r>
      <w:rPr>
        <w:noProof/>
        <w:lang w:eastAsia="sv-SE"/>
      </w:rPr>
      <mc:AlternateContent>
        <mc:Choice Requires="wps">
          <w:drawing>
            <wp:anchor distT="0" distB="0" distL="0" distR="0" simplePos="0" relativeHeight="251651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42B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F042B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FC65C"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0EB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E30EB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DE2C1" w14:textId="77777777" w:rsidR="00244011" w:rsidRDefault="00244011" w:rsidP="009C2B67">
    <w:pPr>
      <w:pStyle w:val="Brdtext"/>
    </w:pPr>
    <w:r>
      <w:rPr>
        <w:noProof/>
        <w:lang w:eastAsia="sv-SE"/>
      </w:rPr>
      <mc:AlternateContent>
        <mc:Choice Requires="wps">
          <w:drawing>
            <wp:anchor distT="0" distB="0" distL="0" distR="0" simplePos="0" relativeHeight="2516674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83F5B" w14:textId="77777777" w:rsidR="00244011" w:rsidRPr="00756E21" w:rsidRDefault="00244011" w:rsidP="009C2B67">
                          <w:pPr>
                            <w:pStyle w:val="Brdtext"/>
                            <w:jc w:val="right"/>
                          </w:pPr>
                          <w:r>
                            <w:fldChar w:fldCharType="begin"/>
                          </w:r>
                          <w:r>
                            <w:instrText xml:space="preserve"> PAGE   \* MERGEFORMAT </w:instrText>
                          </w:r>
                          <w:r>
                            <w:fldChar w:fldCharType="separate"/>
                          </w:r>
                          <w:r w:rsidR="00FC17E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1F83F5B" w14:textId="77777777" w:rsidR="00244011" w:rsidRPr="00756E21" w:rsidRDefault="00244011" w:rsidP="009C2B67">
                    <w:pPr>
                      <w:pStyle w:val="Brdtext"/>
                      <w:jc w:val="right"/>
                    </w:pPr>
                    <w:r>
                      <w:fldChar w:fldCharType="begin"/>
                    </w:r>
                    <w:r>
                      <w:instrText xml:space="preserve"> PAGE   \* MERGEFORMAT </w:instrText>
                    </w:r>
                    <w:r>
                      <w:fldChar w:fldCharType="separate"/>
                    </w:r>
                    <w:r w:rsidR="00FC17EB">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D33BE" w14:textId="77777777" w:rsidR="00244011" w:rsidRDefault="00244011" w:rsidP="00EE1584">
    <w:pPr>
      <w:pStyle w:val="Brdtext"/>
    </w:pPr>
    <w:r>
      <w:rPr>
        <w:noProof/>
        <w:lang w:eastAsia="sv-SE"/>
      </w:rPr>
      <mc:AlternateContent>
        <mc:Choice Requires="wps">
          <w:drawing>
            <wp:anchor distT="0" distB="0" distL="0" distR="0" simplePos="0" relativeHeight="2516551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0524E" w14:textId="77777777" w:rsidR="00244011" w:rsidRPr="00756E21" w:rsidRDefault="00244011" w:rsidP="00A118D8">
                          <w:pPr>
                            <w:pStyle w:val="Brdtext"/>
                            <w:jc w:val="right"/>
                          </w:pPr>
                          <w:r>
                            <w:fldChar w:fldCharType="begin"/>
                          </w:r>
                          <w:r>
                            <w:instrText xml:space="preserve"> PAGE   \* MERGEFORMAT </w:instrText>
                          </w:r>
                          <w:r>
                            <w:fldChar w:fldCharType="separate"/>
                          </w:r>
                          <w:r w:rsidR="00FC17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8E0524E" w14:textId="77777777" w:rsidR="00244011" w:rsidRPr="00756E21" w:rsidRDefault="00244011" w:rsidP="00A118D8">
                    <w:pPr>
                      <w:pStyle w:val="Brdtext"/>
                      <w:jc w:val="right"/>
                    </w:pPr>
                    <w:r>
                      <w:fldChar w:fldCharType="begin"/>
                    </w:r>
                    <w:r>
                      <w:instrText xml:space="preserve"> PAGE   \* MERGEFORMAT </w:instrText>
                    </w:r>
                    <w:r>
                      <w:fldChar w:fldCharType="separate"/>
                    </w:r>
                    <w:r w:rsidR="00FC17EB">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3DA44" w14:textId="77777777" w:rsidR="00244011" w:rsidRDefault="00244011" w:rsidP="00EE1584">
    <w:pPr>
      <w:pStyle w:val="Brdtext"/>
    </w:pPr>
    <w:r>
      <w:rPr>
        <w:noProof/>
        <w:lang w:eastAsia="sv-SE"/>
      </w:rPr>
      <mc:AlternateContent>
        <mc:Choice Requires="wps">
          <w:drawing>
            <wp:anchor distT="0" distB="0" distL="0" distR="0" simplePos="0" relativeHeight="2516531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7F17E0" w14:textId="77777777" w:rsidR="00244011" w:rsidRPr="00756E21" w:rsidRDefault="00244011" w:rsidP="00A118D8">
                          <w:pPr>
                            <w:pStyle w:val="Brdtext"/>
                            <w:jc w:val="right"/>
                          </w:pPr>
                          <w:r>
                            <w:fldChar w:fldCharType="begin"/>
                          </w:r>
                          <w:r>
                            <w:instrText xml:space="preserve"> PAGE   \* MERGEFORMAT </w:instrText>
                          </w:r>
                          <w:r>
                            <w:fldChar w:fldCharType="separate"/>
                          </w:r>
                          <w:r w:rsidR="00FC17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27F17E0" w14:textId="77777777" w:rsidR="00244011" w:rsidRPr="00756E21" w:rsidRDefault="00244011" w:rsidP="00A118D8">
                    <w:pPr>
                      <w:pStyle w:val="Brdtext"/>
                      <w:jc w:val="right"/>
                    </w:pPr>
                    <w:r>
                      <w:fldChar w:fldCharType="begin"/>
                    </w:r>
                    <w:r>
                      <w:instrText xml:space="preserve"> PAGE   \* MERGEFORMAT </w:instrText>
                    </w:r>
                    <w:r>
                      <w:fldChar w:fldCharType="separate"/>
                    </w:r>
                    <w:r w:rsidR="00FC17EB">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C686E" w14:textId="77777777" w:rsidR="00244011" w:rsidRDefault="00244011" w:rsidP="009C2B67">
    <w:pPr>
      <w:pStyle w:val="Brdtext"/>
    </w:pPr>
    <w:r>
      <w:rPr>
        <w:noProof/>
        <w:lang w:eastAsia="sv-SE"/>
      </w:rPr>
      <mc:AlternateContent>
        <mc:Choice Requires="wps">
          <w:drawing>
            <wp:anchor distT="0" distB="0" distL="0" distR="0" simplePos="0" relativeHeight="2516582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E04DC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FE04DC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DED4F"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7DF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47DF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575CC"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798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F798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7C340" w14:textId="77777777" w:rsidR="00BD1D0E" w:rsidRDefault="00BD1D0E" w:rsidP="006923D1">
      <w:pPr>
        <w:pStyle w:val="Sidfot"/>
      </w:pPr>
    </w:p>
  </w:footnote>
  <w:footnote w:type="continuationSeparator" w:id="0">
    <w:p w14:paraId="260CF2D0" w14:textId="77777777" w:rsidR="00BD1D0E" w:rsidRPr="006923D1" w:rsidRDefault="00BD1D0E" w:rsidP="006923D1">
      <w:pPr>
        <w:pStyle w:val="Sidfot"/>
      </w:pPr>
    </w:p>
  </w:footnote>
  <w:footnote w:type="continuationNotice" w:id="1">
    <w:p w14:paraId="7A28B396" w14:textId="77777777" w:rsidR="00BD1D0E" w:rsidRDefault="00BD1D0E"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1DA88"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E12E5" w14:textId="3EB2C470" w:rsidR="00244011" w:rsidRPr="00756E21" w:rsidRDefault="009605F9"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7FE12E5" w14:textId="3EB2C470" w:rsidR="00244011" w:rsidRPr="00756E21" w:rsidRDefault="009605F9"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71FAA" w14:textId="77777777" w:rsidR="00244011" w:rsidRDefault="00244011" w:rsidP="00EE1584">
    <w:pPr>
      <w:pStyle w:val="Brdtext"/>
    </w:pPr>
    <w:r>
      <w:rPr>
        <w:noProof/>
        <w:lang w:eastAsia="sv-SE"/>
      </w:rPr>
      <mc:AlternateContent>
        <mc:Choice Requires="wps">
          <w:drawing>
            <wp:anchor distT="0" distB="0" distL="0" distR="0" simplePos="0" relativeHeight="251661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B582A" w14:textId="4BEF8B7E" w:rsidR="00244011" w:rsidRPr="00756E21" w:rsidRDefault="009605F9"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EAB582A" w14:textId="4BEF8B7E" w:rsidR="00244011" w:rsidRPr="00756E21" w:rsidRDefault="009605F9"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CAEC2"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D7B3F"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EEF1F7" w14:textId="57040305" w:rsidR="00244011" w:rsidRDefault="009605F9" w:rsidP="00664D04">
                          <w:pPr>
                            <w:pStyle w:val="Brdtext"/>
                            <w:jc w:val="left"/>
                          </w:pPr>
                          <w:sdt>
                            <w:sdtPr>
                              <w:alias w:val="NummerEtikett"/>
                              <w:tag w:val="NummerEtikett"/>
                              <w:id w:val="529157499"/>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1082828088"/>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p w14:paraId="002D7496" w14:textId="5BE96F8A" w:rsidR="00FC17EB" w:rsidRPr="000B6D9A" w:rsidRDefault="009605F9"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063A24">
                                <w:t>Bilaga</w:t>
                              </w:r>
                            </w:sdtContent>
                          </w:sdt>
                          <w:r w:rsidR="00FC17EB">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FC17EB"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4.8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lvGe/eAIAAGw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EEEF1F7" w14:textId="57040305" w:rsidR="00244011" w:rsidRDefault="009605F9" w:rsidP="00664D04">
                    <w:pPr>
                      <w:pStyle w:val="Brdtext"/>
                      <w:jc w:val="left"/>
                    </w:pPr>
                    <w:sdt>
                      <w:sdtPr>
                        <w:alias w:val="NummerEtikett"/>
                        <w:tag w:val="NummerEtikett"/>
                        <w:id w:val="529157499"/>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1082828088"/>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p w14:paraId="002D7496" w14:textId="5BE96F8A" w:rsidR="00FC17EB" w:rsidRPr="000B6D9A" w:rsidRDefault="009605F9"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063A24">
                          <w:t>Bilaga</w:t>
                        </w:r>
                      </w:sdtContent>
                    </w:sdt>
                    <w:r w:rsidR="00FC17EB">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FC17EB"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ADAB9" w14:textId="77777777" w:rsidR="00244011" w:rsidRDefault="00244011" w:rsidP="00EE1584">
    <w:pPr>
      <w:pStyle w:val="Brdtext"/>
    </w:pPr>
    <w:r>
      <w:rPr>
        <w:noProof/>
        <w:lang w:eastAsia="sv-SE"/>
      </w:rPr>
      <mc:AlternateContent>
        <mc:Choice Requires="wps">
          <w:drawing>
            <wp:anchor distT="0" distB="0" distL="0" distR="0" simplePos="0" relativeHeight="2516633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AE9867" w14:textId="7A38228B" w:rsidR="00244011" w:rsidRDefault="009605F9" w:rsidP="00A118D8">
                          <w:pPr>
                            <w:pStyle w:val="Brdtext"/>
                            <w:jc w:val="left"/>
                          </w:pPr>
                          <w:sdt>
                            <w:sdtPr>
                              <w:alias w:val="NummerEtikett"/>
                              <w:tag w:val="NummerEtikett"/>
                              <w:id w:val="-177746336"/>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1420401249"/>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p w14:paraId="72B3C66A" w14:textId="44A7DCFB" w:rsidR="00FC17EB" w:rsidRPr="000B6D9A" w:rsidRDefault="009605F9"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063A24">
                                <w:t>Bilaga</w:t>
                              </w:r>
                            </w:sdtContent>
                          </w:sdt>
                          <w:r w:rsidR="00FC17EB">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FC17EB">
                                <w:rPr>
                                  <w:rStyle w:val="Platshllartext"/>
                                  <w:rFonts w:eastAsiaTheme="minorHAnsi"/>
                                </w:rPr>
                                <w:t xml:space="preserve"> </w:t>
                              </w:r>
                              <w:r w:rsidR="00FC17EB"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15pt;margin-top:35.45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6ihHC3wAA&#10;AAkBAAAPAAAAZHJzL2Rvd25yZXYueG1sTI/BTsMwEETvSPyDtUjcqF1AaROyqQDBgUpVRYvE1Y2X&#10;OCK2o9hpw9+znMpxtU8zb8rV5DpxpCG2wSPMZwoE+TqY1jcIH/vXmyWImLQ3ugueEH4owqq6vCh1&#10;YcLJv9NxlxrBIT4WGsGm1BdSxtqS03EWevL8+wqD04nPoZFm0CcOd528VSqTTreeG6zu6dlS/b0b&#10;HcJ+82RGaSbz9lJv1lv6lGt7v0W8vpoeH0AkmtIZhj99VoeKnQ5h9CaKDiHLsztGERYqB8HAcpHx&#10;uANCruYgq1L+X1D9AgAA//8DAFBLAQItABQABgAIAAAAIQC2gziS/gAAAOEBAAATAAAAAAAAAAAA&#10;AAAAAAAAAABbQ29udGVudF9UeXBlc10ueG1sUEsBAi0AFAAGAAgAAAAhADj9If/WAAAAlAEAAAsA&#10;AAAAAAAAAAAAAAAALwEAAF9yZWxzLy5yZWxzUEsBAi0AFAAGAAgAAAAhACVsxht3AgAAbAUAAA4A&#10;AAAAAAAAAAAAAAAALgIAAGRycy9lMm9Eb2MueG1sUEsBAi0AFAAGAAgAAAAhADqKEcLfAAAACQEA&#10;AA8AAAAAAAAAAAAAAAAA0QQAAGRycy9kb3ducmV2LnhtbFBLBQYAAAAABAAEAPMAAADdBQAAAAA=&#10;" o:allowoverlap="f" fillcolor="white [3201]" stroked="f" strokeweight=".5pt">
              <v:textbox style="mso-fit-shape-to-text:t">
                <w:txbxContent>
                  <w:p w14:paraId="71AE9867" w14:textId="7A38228B" w:rsidR="00244011" w:rsidRDefault="009605F9" w:rsidP="00A118D8">
                    <w:pPr>
                      <w:pStyle w:val="Brdtext"/>
                      <w:jc w:val="left"/>
                    </w:pPr>
                    <w:sdt>
                      <w:sdtPr>
                        <w:alias w:val="NummerEtikett"/>
                        <w:tag w:val="NummerEtikett"/>
                        <w:id w:val="-177746336"/>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1420401249"/>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p w14:paraId="72B3C66A" w14:textId="44A7DCFB" w:rsidR="00FC17EB" w:rsidRPr="000B6D9A" w:rsidRDefault="009605F9"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063A24">
                          <w:t>Bilaga</w:t>
                        </w:r>
                      </w:sdtContent>
                    </w:sdt>
                    <w:r w:rsidR="00FC17EB">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FC17EB">
                          <w:rPr>
                            <w:rStyle w:val="Platshllartext"/>
                            <w:rFonts w:eastAsiaTheme="minorHAnsi"/>
                          </w:rPr>
                          <w:t xml:space="preserve"> </w:t>
                        </w:r>
                        <w:r w:rsidR="00FC17EB"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01EAD"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22C9" w14:textId="77777777" w:rsidR="00244011" w:rsidRDefault="00244011" w:rsidP="00664D04">
    <w:pPr>
      <w:pStyle w:val="Brdtext"/>
    </w:pPr>
    <w:r>
      <w:rPr>
        <w:noProof/>
        <w:lang w:eastAsia="sv-SE"/>
      </w:rPr>
      <mc:AlternateContent>
        <mc:Choice Requires="wps">
          <w:drawing>
            <wp:anchor distT="0" distB="0" distL="0" distR="0" simplePos="0" relativeHeight="2516582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56A88" w14:textId="40756204" w:rsidR="00244011" w:rsidRPr="00756E21" w:rsidRDefault="009605F9" w:rsidP="00664D04">
                          <w:pPr>
                            <w:pStyle w:val="Brdtext"/>
                            <w:jc w:val="left"/>
                          </w:pPr>
                          <w:sdt>
                            <w:sdtPr>
                              <w:alias w:val="NummerEtikett"/>
                              <w:tag w:val="NummerEtikett"/>
                              <w:id w:val="-2044194095"/>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446744103"/>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5456A88" w14:textId="40756204" w:rsidR="00244011" w:rsidRPr="00756E21" w:rsidRDefault="009605F9" w:rsidP="00664D04">
                    <w:pPr>
                      <w:pStyle w:val="Brdtext"/>
                      <w:jc w:val="left"/>
                    </w:pPr>
                    <w:sdt>
                      <w:sdtPr>
                        <w:alias w:val="NummerEtikett"/>
                        <w:tag w:val="NummerEtikett"/>
                        <w:id w:val="-2044194095"/>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446744103"/>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E07A9"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17E37" w14:textId="52A1DBA2" w:rsidR="00244011" w:rsidRPr="00756E21" w:rsidRDefault="009605F9" w:rsidP="00A118D8">
                          <w:pPr>
                            <w:pStyle w:val="Brdtext"/>
                            <w:jc w:val="left"/>
                          </w:pPr>
                          <w:sdt>
                            <w:sdtPr>
                              <w:alias w:val="NummerEtikett"/>
                              <w:tag w:val="NummerEtikett"/>
                              <w:id w:val="-1484310536"/>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1794703108"/>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6317E37" w14:textId="52A1DBA2" w:rsidR="00244011" w:rsidRPr="00756E21" w:rsidRDefault="009605F9" w:rsidP="00A118D8">
                    <w:pPr>
                      <w:pStyle w:val="Brdtext"/>
                      <w:jc w:val="left"/>
                    </w:pPr>
                    <w:sdt>
                      <w:sdtPr>
                        <w:alias w:val="NummerEtikett"/>
                        <w:tag w:val="NummerEtikett"/>
                        <w:id w:val="-1484310536"/>
                        <w:lock w:val="sdtContentLocked"/>
                        <w:dataBinding w:prefixMappings="xmlns:ns0='http://rkdhs/mallar/lagstiftning/Skr/Skr.xsd'" w:xpath="/ns0:dokumentvärden[1]/ns0:dokumentnummer[1]/@etikett" w:storeItemID="{068625C3-B546-44A5-B525-B7CC092E5AD6}"/>
                        <w:text/>
                      </w:sdtPr>
                      <w:sdtEndPr/>
                      <w:sdtContent>
                        <w:r w:rsidR="00063A24">
                          <w:t>Skr.</w:t>
                        </w:r>
                      </w:sdtContent>
                    </w:sdt>
                    <w:r w:rsidR="00244011">
                      <w:t xml:space="preserve"> </w:t>
                    </w:r>
                    <w:sdt>
                      <w:sdtPr>
                        <w:alias w:val="Nummer"/>
                        <w:tag w:val="Nummer"/>
                        <w:id w:val="1794703108"/>
                        <w:lock w:val="sdtContentLocked"/>
                        <w:dataBinding w:prefixMappings="xmlns:ns0='http://rkdhs/mallar/lagstiftning/Skr/Skr.xsd'" w:xpath="/ns0:dokumentvärden[1]/ns0:dokumentnummer[1]" w:storeItemID="{068625C3-B546-44A5-B525-B7CC092E5AD6}"/>
                        <w:text/>
                      </w:sdtPr>
                      <w:sdtEndPr/>
                      <w:sdtContent>
                        <w:r w:rsidR="00063A24">
                          <w:t>2025/26:104</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1BE1"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AFB6514"/>
    <w:multiLevelType w:val="hybridMultilevel"/>
    <w:tmpl w:val="6750BE94"/>
    <w:lvl w:ilvl="0" w:tplc="9A042234">
      <w:start w:val="6"/>
      <w:numFmt w:val="decimal"/>
      <w:lvlText w:val="%1"/>
      <w:lvlJc w:val="left"/>
      <w:pPr>
        <w:ind w:left="720" w:hanging="360"/>
      </w:pPr>
      <w:rPr>
        <w:rFonts w:ascii="Times New Roman" w:eastAsiaTheme="minorHAnsi" w:hAnsi="Times New Roman" w:hint="default"/>
        <w:color w:val="0000FF" w:themeColor="hyperlink"/>
        <w:sz w:val="20"/>
        <w:u w:val="single"/>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9"/>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8"/>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2100827549">
    <w:abstractNumId w:val="3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D0E"/>
    <w:rsid w:val="000023F8"/>
    <w:rsid w:val="00002572"/>
    <w:rsid w:val="00003A11"/>
    <w:rsid w:val="00003D0A"/>
    <w:rsid w:val="00006EE4"/>
    <w:rsid w:val="000070E2"/>
    <w:rsid w:val="0000783D"/>
    <w:rsid w:val="000106C3"/>
    <w:rsid w:val="000110DC"/>
    <w:rsid w:val="000112FE"/>
    <w:rsid w:val="00012002"/>
    <w:rsid w:val="0001274E"/>
    <w:rsid w:val="000127FF"/>
    <w:rsid w:val="00013016"/>
    <w:rsid w:val="00013E8C"/>
    <w:rsid w:val="000140A3"/>
    <w:rsid w:val="000155AA"/>
    <w:rsid w:val="000163C7"/>
    <w:rsid w:val="000164D9"/>
    <w:rsid w:val="0001787B"/>
    <w:rsid w:val="000211BF"/>
    <w:rsid w:val="00021985"/>
    <w:rsid w:val="00021C83"/>
    <w:rsid w:val="00022A6D"/>
    <w:rsid w:val="00022ADE"/>
    <w:rsid w:val="00022D71"/>
    <w:rsid w:val="00022FED"/>
    <w:rsid w:val="000240BB"/>
    <w:rsid w:val="000248E2"/>
    <w:rsid w:val="00025171"/>
    <w:rsid w:val="0002564E"/>
    <w:rsid w:val="00025B1D"/>
    <w:rsid w:val="00026BCD"/>
    <w:rsid w:val="00026E39"/>
    <w:rsid w:val="000276E3"/>
    <w:rsid w:val="00032913"/>
    <w:rsid w:val="00032E6D"/>
    <w:rsid w:val="00033207"/>
    <w:rsid w:val="00036ADB"/>
    <w:rsid w:val="00037EDE"/>
    <w:rsid w:val="00040A0F"/>
    <w:rsid w:val="00040B36"/>
    <w:rsid w:val="0004132E"/>
    <w:rsid w:val="00043AB1"/>
    <w:rsid w:val="00043BFC"/>
    <w:rsid w:val="00043EBE"/>
    <w:rsid w:val="00045430"/>
    <w:rsid w:val="00045A74"/>
    <w:rsid w:val="00046417"/>
    <w:rsid w:val="0004689E"/>
    <w:rsid w:val="00047664"/>
    <w:rsid w:val="00047AE9"/>
    <w:rsid w:val="00051952"/>
    <w:rsid w:val="000531A1"/>
    <w:rsid w:val="000537F4"/>
    <w:rsid w:val="00053AB7"/>
    <w:rsid w:val="000541BF"/>
    <w:rsid w:val="000547BE"/>
    <w:rsid w:val="00055486"/>
    <w:rsid w:val="000577EE"/>
    <w:rsid w:val="000612DA"/>
    <w:rsid w:val="0006188F"/>
    <w:rsid w:val="00061989"/>
    <w:rsid w:val="000631A9"/>
    <w:rsid w:val="00063A24"/>
    <w:rsid w:val="000654A1"/>
    <w:rsid w:val="0006556B"/>
    <w:rsid w:val="00067524"/>
    <w:rsid w:val="00070DFE"/>
    <w:rsid w:val="00072689"/>
    <w:rsid w:val="00074B92"/>
    <w:rsid w:val="00075F2D"/>
    <w:rsid w:val="000761F8"/>
    <w:rsid w:val="0008203A"/>
    <w:rsid w:val="00082F7D"/>
    <w:rsid w:val="00083B56"/>
    <w:rsid w:val="00084E55"/>
    <w:rsid w:val="00085ABB"/>
    <w:rsid w:val="00085AEF"/>
    <w:rsid w:val="00085EFF"/>
    <w:rsid w:val="000867E5"/>
    <w:rsid w:val="00086A97"/>
    <w:rsid w:val="00086ABA"/>
    <w:rsid w:val="000879B3"/>
    <w:rsid w:val="00087C22"/>
    <w:rsid w:val="0009133C"/>
    <w:rsid w:val="0009194C"/>
    <w:rsid w:val="00091B85"/>
    <w:rsid w:val="00093D6E"/>
    <w:rsid w:val="00094A25"/>
    <w:rsid w:val="0009544E"/>
    <w:rsid w:val="00096CFD"/>
    <w:rsid w:val="000978DE"/>
    <w:rsid w:val="00097FE7"/>
    <w:rsid w:val="000A1209"/>
    <w:rsid w:val="000A40DD"/>
    <w:rsid w:val="000A42F2"/>
    <w:rsid w:val="000A62B6"/>
    <w:rsid w:val="000A6489"/>
    <w:rsid w:val="000A66BE"/>
    <w:rsid w:val="000A6732"/>
    <w:rsid w:val="000A6F2D"/>
    <w:rsid w:val="000A7FC0"/>
    <w:rsid w:val="000B058E"/>
    <w:rsid w:val="000B1A18"/>
    <w:rsid w:val="000B204F"/>
    <w:rsid w:val="000B2E4A"/>
    <w:rsid w:val="000B3DDA"/>
    <w:rsid w:val="000B7DEE"/>
    <w:rsid w:val="000C0142"/>
    <w:rsid w:val="000C0772"/>
    <w:rsid w:val="000C0F33"/>
    <w:rsid w:val="000C2DE3"/>
    <w:rsid w:val="000C3B06"/>
    <w:rsid w:val="000C4119"/>
    <w:rsid w:val="000C41B0"/>
    <w:rsid w:val="000C5CDD"/>
    <w:rsid w:val="000C7233"/>
    <w:rsid w:val="000D32EA"/>
    <w:rsid w:val="000D4C10"/>
    <w:rsid w:val="000D4DA6"/>
    <w:rsid w:val="000D5B9A"/>
    <w:rsid w:val="000D6DAE"/>
    <w:rsid w:val="000E13FB"/>
    <w:rsid w:val="000E2116"/>
    <w:rsid w:val="000E22E1"/>
    <w:rsid w:val="000E3686"/>
    <w:rsid w:val="000E571C"/>
    <w:rsid w:val="000E647D"/>
    <w:rsid w:val="000E67B7"/>
    <w:rsid w:val="000E6A30"/>
    <w:rsid w:val="000E6A35"/>
    <w:rsid w:val="000E7D35"/>
    <w:rsid w:val="000E7DA9"/>
    <w:rsid w:val="000F024B"/>
    <w:rsid w:val="000F0D4A"/>
    <w:rsid w:val="000F0F4B"/>
    <w:rsid w:val="000F1F21"/>
    <w:rsid w:val="000F1FCC"/>
    <w:rsid w:val="000F2CF2"/>
    <w:rsid w:val="000F2E36"/>
    <w:rsid w:val="000F3529"/>
    <w:rsid w:val="000F4348"/>
    <w:rsid w:val="000F4B9C"/>
    <w:rsid w:val="000F4DD6"/>
    <w:rsid w:val="000F4E70"/>
    <w:rsid w:val="000F618B"/>
    <w:rsid w:val="000F73EB"/>
    <w:rsid w:val="0010084F"/>
    <w:rsid w:val="00101C59"/>
    <w:rsid w:val="001028C5"/>
    <w:rsid w:val="001030CA"/>
    <w:rsid w:val="00103805"/>
    <w:rsid w:val="00103FB7"/>
    <w:rsid w:val="00107129"/>
    <w:rsid w:val="00110C85"/>
    <w:rsid w:val="00112757"/>
    <w:rsid w:val="00113CC6"/>
    <w:rsid w:val="00114FAA"/>
    <w:rsid w:val="00114FC5"/>
    <w:rsid w:val="00115516"/>
    <w:rsid w:val="001159CA"/>
    <w:rsid w:val="00116299"/>
    <w:rsid w:val="001166EB"/>
    <w:rsid w:val="00116C2E"/>
    <w:rsid w:val="0012094D"/>
    <w:rsid w:val="001223E3"/>
    <w:rsid w:val="00122565"/>
    <w:rsid w:val="00122785"/>
    <w:rsid w:val="0012360F"/>
    <w:rsid w:val="00123A98"/>
    <w:rsid w:val="00124A1A"/>
    <w:rsid w:val="00125DCB"/>
    <w:rsid w:val="00125F18"/>
    <w:rsid w:val="00127836"/>
    <w:rsid w:val="001310AD"/>
    <w:rsid w:val="00131972"/>
    <w:rsid w:val="00131C8D"/>
    <w:rsid w:val="00132DC5"/>
    <w:rsid w:val="00133ADE"/>
    <w:rsid w:val="001345E6"/>
    <w:rsid w:val="0013464D"/>
    <w:rsid w:val="00135343"/>
    <w:rsid w:val="00136CB2"/>
    <w:rsid w:val="00136D90"/>
    <w:rsid w:val="00142243"/>
    <w:rsid w:val="0014241C"/>
    <w:rsid w:val="001427C0"/>
    <w:rsid w:val="00144361"/>
    <w:rsid w:val="001456A0"/>
    <w:rsid w:val="0015090D"/>
    <w:rsid w:val="001514AF"/>
    <w:rsid w:val="00152749"/>
    <w:rsid w:val="00152BB9"/>
    <w:rsid w:val="001531B4"/>
    <w:rsid w:val="001533AB"/>
    <w:rsid w:val="001548E4"/>
    <w:rsid w:val="00155500"/>
    <w:rsid w:val="00155937"/>
    <w:rsid w:val="001563E4"/>
    <w:rsid w:val="00157679"/>
    <w:rsid w:val="00157EF7"/>
    <w:rsid w:val="00161A4A"/>
    <w:rsid w:val="00162BB7"/>
    <w:rsid w:val="00163D57"/>
    <w:rsid w:val="00164204"/>
    <w:rsid w:val="0016447E"/>
    <w:rsid w:val="00164D86"/>
    <w:rsid w:val="00165DC1"/>
    <w:rsid w:val="00166139"/>
    <w:rsid w:val="00166ABB"/>
    <w:rsid w:val="001673DA"/>
    <w:rsid w:val="00170751"/>
    <w:rsid w:val="001708F6"/>
    <w:rsid w:val="0017122E"/>
    <w:rsid w:val="001723DF"/>
    <w:rsid w:val="00174E46"/>
    <w:rsid w:val="00175890"/>
    <w:rsid w:val="00175A45"/>
    <w:rsid w:val="00175F81"/>
    <w:rsid w:val="00176C60"/>
    <w:rsid w:val="00176E54"/>
    <w:rsid w:val="00176F7B"/>
    <w:rsid w:val="0017777C"/>
    <w:rsid w:val="00181DAB"/>
    <w:rsid w:val="00182026"/>
    <w:rsid w:val="00182518"/>
    <w:rsid w:val="0018261C"/>
    <w:rsid w:val="00185176"/>
    <w:rsid w:val="001858C8"/>
    <w:rsid w:val="00185AD6"/>
    <w:rsid w:val="00186929"/>
    <w:rsid w:val="0019016B"/>
    <w:rsid w:val="001902BD"/>
    <w:rsid w:val="00190526"/>
    <w:rsid w:val="001906F5"/>
    <w:rsid w:val="0019074D"/>
    <w:rsid w:val="00192D48"/>
    <w:rsid w:val="00194C95"/>
    <w:rsid w:val="00195571"/>
    <w:rsid w:val="001959AC"/>
    <w:rsid w:val="0019762D"/>
    <w:rsid w:val="001A04E0"/>
    <w:rsid w:val="001A0E95"/>
    <w:rsid w:val="001A0FB9"/>
    <w:rsid w:val="001A1C00"/>
    <w:rsid w:val="001A21A4"/>
    <w:rsid w:val="001A27E5"/>
    <w:rsid w:val="001A2805"/>
    <w:rsid w:val="001A31CA"/>
    <w:rsid w:val="001A465E"/>
    <w:rsid w:val="001A4767"/>
    <w:rsid w:val="001A5048"/>
    <w:rsid w:val="001A55BE"/>
    <w:rsid w:val="001A6F1A"/>
    <w:rsid w:val="001A6FAB"/>
    <w:rsid w:val="001A7F86"/>
    <w:rsid w:val="001B246F"/>
    <w:rsid w:val="001B3D90"/>
    <w:rsid w:val="001B4924"/>
    <w:rsid w:val="001B4FB9"/>
    <w:rsid w:val="001B7CDA"/>
    <w:rsid w:val="001C0A82"/>
    <w:rsid w:val="001C0D83"/>
    <w:rsid w:val="001C270F"/>
    <w:rsid w:val="001C4647"/>
    <w:rsid w:val="001C5487"/>
    <w:rsid w:val="001C6E4B"/>
    <w:rsid w:val="001C7539"/>
    <w:rsid w:val="001C789A"/>
    <w:rsid w:val="001D0157"/>
    <w:rsid w:val="001D0638"/>
    <w:rsid w:val="001D1007"/>
    <w:rsid w:val="001D19CE"/>
    <w:rsid w:val="001D23F8"/>
    <w:rsid w:val="001D2B7C"/>
    <w:rsid w:val="001D303D"/>
    <w:rsid w:val="001D3465"/>
    <w:rsid w:val="001D34DB"/>
    <w:rsid w:val="001D35E3"/>
    <w:rsid w:val="001D39A7"/>
    <w:rsid w:val="001D4287"/>
    <w:rsid w:val="001D631A"/>
    <w:rsid w:val="001D63A9"/>
    <w:rsid w:val="001D6B19"/>
    <w:rsid w:val="001D75FC"/>
    <w:rsid w:val="001D7D3E"/>
    <w:rsid w:val="001E008C"/>
    <w:rsid w:val="001E01AB"/>
    <w:rsid w:val="001E05F1"/>
    <w:rsid w:val="001E0EF5"/>
    <w:rsid w:val="001E219F"/>
    <w:rsid w:val="001E25C3"/>
    <w:rsid w:val="001E2F49"/>
    <w:rsid w:val="001E5701"/>
    <w:rsid w:val="001E6FF5"/>
    <w:rsid w:val="001F2086"/>
    <w:rsid w:val="001F22E1"/>
    <w:rsid w:val="001F3BCF"/>
    <w:rsid w:val="001F5232"/>
    <w:rsid w:val="001F5667"/>
    <w:rsid w:val="001F574B"/>
    <w:rsid w:val="001F5CE5"/>
    <w:rsid w:val="001F6474"/>
    <w:rsid w:val="001F7824"/>
    <w:rsid w:val="001F782A"/>
    <w:rsid w:val="002001F8"/>
    <w:rsid w:val="0020071B"/>
    <w:rsid w:val="002008E1"/>
    <w:rsid w:val="00200B87"/>
    <w:rsid w:val="00201D39"/>
    <w:rsid w:val="00202547"/>
    <w:rsid w:val="00203904"/>
    <w:rsid w:val="00203FAB"/>
    <w:rsid w:val="00205424"/>
    <w:rsid w:val="0020543F"/>
    <w:rsid w:val="002067D1"/>
    <w:rsid w:val="00206B3E"/>
    <w:rsid w:val="00206C46"/>
    <w:rsid w:val="00207AE9"/>
    <w:rsid w:val="00210B9F"/>
    <w:rsid w:val="00211CAA"/>
    <w:rsid w:val="00211E15"/>
    <w:rsid w:val="00212A6F"/>
    <w:rsid w:val="002131ED"/>
    <w:rsid w:val="002132D5"/>
    <w:rsid w:val="0021561E"/>
    <w:rsid w:val="002159DF"/>
    <w:rsid w:val="00217454"/>
    <w:rsid w:val="002206C9"/>
    <w:rsid w:val="00220D8F"/>
    <w:rsid w:val="0022143D"/>
    <w:rsid w:val="00224FFD"/>
    <w:rsid w:val="0022728D"/>
    <w:rsid w:val="00227B01"/>
    <w:rsid w:val="00230816"/>
    <w:rsid w:val="00230993"/>
    <w:rsid w:val="002328F3"/>
    <w:rsid w:val="00233E31"/>
    <w:rsid w:val="002345DF"/>
    <w:rsid w:val="00235765"/>
    <w:rsid w:val="002366BB"/>
    <w:rsid w:val="002367E5"/>
    <w:rsid w:val="00237C2D"/>
    <w:rsid w:val="002405D8"/>
    <w:rsid w:val="00240FAF"/>
    <w:rsid w:val="002418A2"/>
    <w:rsid w:val="00242C11"/>
    <w:rsid w:val="00243F6F"/>
    <w:rsid w:val="00244011"/>
    <w:rsid w:val="00244906"/>
    <w:rsid w:val="00246379"/>
    <w:rsid w:val="002518FC"/>
    <w:rsid w:val="00251A1A"/>
    <w:rsid w:val="00251D97"/>
    <w:rsid w:val="00252C4D"/>
    <w:rsid w:val="00254202"/>
    <w:rsid w:val="00256BDD"/>
    <w:rsid w:val="002603EF"/>
    <w:rsid w:val="00261E5C"/>
    <w:rsid w:val="00262301"/>
    <w:rsid w:val="0026238E"/>
    <w:rsid w:val="00262738"/>
    <w:rsid w:val="0026289A"/>
    <w:rsid w:val="00263274"/>
    <w:rsid w:val="002632A7"/>
    <w:rsid w:val="00263817"/>
    <w:rsid w:val="00263BE6"/>
    <w:rsid w:val="002651B0"/>
    <w:rsid w:val="00266744"/>
    <w:rsid w:val="00266987"/>
    <w:rsid w:val="002674DA"/>
    <w:rsid w:val="002675C4"/>
    <w:rsid w:val="00272F48"/>
    <w:rsid w:val="002737AB"/>
    <w:rsid w:val="00275E39"/>
    <w:rsid w:val="00281827"/>
    <w:rsid w:val="0028188B"/>
    <w:rsid w:val="002818CA"/>
    <w:rsid w:val="00284F4C"/>
    <w:rsid w:val="00285859"/>
    <w:rsid w:val="00285982"/>
    <w:rsid w:val="002859A1"/>
    <w:rsid w:val="00285A6F"/>
    <w:rsid w:val="00287045"/>
    <w:rsid w:val="002872C6"/>
    <w:rsid w:val="0029293D"/>
    <w:rsid w:val="00292E0F"/>
    <w:rsid w:val="002934D0"/>
    <w:rsid w:val="00294B19"/>
    <w:rsid w:val="00295225"/>
    <w:rsid w:val="0029533B"/>
    <w:rsid w:val="00295C59"/>
    <w:rsid w:val="00297A80"/>
    <w:rsid w:val="002A08A9"/>
    <w:rsid w:val="002A0FEE"/>
    <w:rsid w:val="002A1D7C"/>
    <w:rsid w:val="002A1E80"/>
    <w:rsid w:val="002A2948"/>
    <w:rsid w:val="002A483B"/>
    <w:rsid w:val="002A4F46"/>
    <w:rsid w:val="002A6686"/>
    <w:rsid w:val="002A703D"/>
    <w:rsid w:val="002B01BF"/>
    <w:rsid w:val="002B12FD"/>
    <w:rsid w:val="002B16C8"/>
    <w:rsid w:val="002B4862"/>
    <w:rsid w:val="002B4BD7"/>
    <w:rsid w:val="002B51B8"/>
    <w:rsid w:val="002B7599"/>
    <w:rsid w:val="002B7EB5"/>
    <w:rsid w:val="002C0655"/>
    <w:rsid w:val="002C14EF"/>
    <w:rsid w:val="002C15C9"/>
    <w:rsid w:val="002C1EBF"/>
    <w:rsid w:val="002C446B"/>
    <w:rsid w:val="002C49A5"/>
    <w:rsid w:val="002C514E"/>
    <w:rsid w:val="002C592A"/>
    <w:rsid w:val="002C7DF1"/>
    <w:rsid w:val="002D09C9"/>
    <w:rsid w:val="002D2588"/>
    <w:rsid w:val="002D2ED8"/>
    <w:rsid w:val="002D38F4"/>
    <w:rsid w:val="002D6A16"/>
    <w:rsid w:val="002D75E5"/>
    <w:rsid w:val="002D78F9"/>
    <w:rsid w:val="002E0138"/>
    <w:rsid w:val="002E1B17"/>
    <w:rsid w:val="002E219E"/>
    <w:rsid w:val="002E3787"/>
    <w:rsid w:val="002E57AD"/>
    <w:rsid w:val="002E5F6A"/>
    <w:rsid w:val="002E60D4"/>
    <w:rsid w:val="002E6E5A"/>
    <w:rsid w:val="002E7409"/>
    <w:rsid w:val="002E7485"/>
    <w:rsid w:val="002E79B4"/>
    <w:rsid w:val="002E7FC3"/>
    <w:rsid w:val="002F073E"/>
    <w:rsid w:val="002F0853"/>
    <w:rsid w:val="002F0EC4"/>
    <w:rsid w:val="002F23AF"/>
    <w:rsid w:val="002F37E2"/>
    <w:rsid w:val="002F40FF"/>
    <w:rsid w:val="002F434A"/>
    <w:rsid w:val="002F44B6"/>
    <w:rsid w:val="002F46E1"/>
    <w:rsid w:val="002F4842"/>
    <w:rsid w:val="002F4A14"/>
    <w:rsid w:val="002F4DD9"/>
    <w:rsid w:val="002F5839"/>
    <w:rsid w:val="002F6F3C"/>
    <w:rsid w:val="0030052D"/>
    <w:rsid w:val="003006FE"/>
    <w:rsid w:val="00300AE8"/>
    <w:rsid w:val="00302FB0"/>
    <w:rsid w:val="00303807"/>
    <w:rsid w:val="003047C0"/>
    <w:rsid w:val="0030635D"/>
    <w:rsid w:val="00307C14"/>
    <w:rsid w:val="0031012B"/>
    <w:rsid w:val="00311B0A"/>
    <w:rsid w:val="003124BE"/>
    <w:rsid w:val="003125C4"/>
    <w:rsid w:val="00312E5A"/>
    <w:rsid w:val="00313A4E"/>
    <w:rsid w:val="003147F0"/>
    <w:rsid w:val="00315B58"/>
    <w:rsid w:val="00316356"/>
    <w:rsid w:val="003169F8"/>
    <w:rsid w:val="00317243"/>
    <w:rsid w:val="003175A4"/>
    <w:rsid w:val="00317CC4"/>
    <w:rsid w:val="003202A0"/>
    <w:rsid w:val="00320896"/>
    <w:rsid w:val="0032640F"/>
    <w:rsid w:val="00327E6C"/>
    <w:rsid w:val="00330A84"/>
    <w:rsid w:val="00332455"/>
    <w:rsid w:val="00332ABB"/>
    <w:rsid w:val="00332DE2"/>
    <w:rsid w:val="00334AA4"/>
    <w:rsid w:val="00335435"/>
    <w:rsid w:val="00337CF8"/>
    <w:rsid w:val="0034001E"/>
    <w:rsid w:val="0034059F"/>
    <w:rsid w:val="00340970"/>
    <w:rsid w:val="00340D50"/>
    <w:rsid w:val="00342CDB"/>
    <w:rsid w:val="00342D4D"/>
    <w:rsid w:val="0034320C"/>
    <w:rsid w:val="003432E3"/>
    <w:rsid w:val="00344E28"/>
    <w:rsid w:val="003453E1"/>
    <w:rsid w:val="00345560"/>
    <w:rsid w:val="003469B1"/>
    <w:rsid w:val="0034791C"/>
    <w:rsid w:val="00347FDB"/>
    <w:rsid w:val="00350178"/>
    <w:rsid w:val="00350FF6"/>
    <w:rsid w:val="00351E66"/>
    <w:rsid w:val="003526F9"/>
    <w:rsid w:val="00352A29"/>
    <w:rsid w:val="0035347F"/>
    <w:rsid w:val="0035356C"/>
    <w:rsid w:val="00354F2A"/>
    <w:rsid w:val="00355141"/>
    <w:rsid w:val="00355582"/>
    <w:rsid w:val="00355EFE"/>
    <w:rsid w:val="00357FD0"/>
    <w:rsid w:val="003605D4"/>
    <w:rsid w:val="00360677"/>
    <w:rsid w:val="003612EA"/>
    <w:rsid w:val="00361ABA"/>
    <w:rsid w:val="00362009"/>
    <w:rsid w:val="00362B62"/>
    <w:rsid w:val="00366E60"/>
    <w:rsid w:val="00367124"/>
    <w:rsid w:val="0037021E"/>
    <w:rsid w:val="00371D07"/>
    <w:rsid w:val="003746C2"/>
    <w:rsid w:val="00374973"/>
    <w:rsid w:val="00374D58"/>
    <w:rsid w:val="00374EFC"/>
    <w:rsid w:val="0037617D"/>
    <w:rsid w:val="00376533"/>
    <w:rsid w:val="00376669"/>
    <w:rsid w:val="003766E6"/>
    <w:rsid w:val="00376DD1"/>
    <w:rsid w:val="0038004E"/>
    <w:rsid w:val="003808FD"/>
    <w:rsid w:val="00381C02"/>
    <w:rsid w:val="003821CC"/>
    <w:rsid w:val="00383BE5"/>
    <w:rsid w:val="003843A1"/>
    <w:rsid w:val="00384E09"/>
    <w:rsid w:val="0038525D"/>
    <w:rsid w:val="00385C7A"/>
    <w:rsid w:val="00386864"/>
    <w:rsid w:val="0038735C"/>
    <w:rsid w:val="00390A6D"/>
    <w:rsid w:val="00390F8F"/>
    <w:rsid w:val="003913B4"/>
    <w:rsid w:val="003917A6"/>
    <w:rsid w:val="003934B3"/>
    <w:rsid w:val="00393998"/>
    <w:rsid w:val="00397521"/>
    <w:rsid w:val="00397B61"/>
    <w:rsid w:val="003A02D6"/>
    <w:rsid w:val="003A0C08"/>
    <w:rsid w:val="003A1544"/>
    <w:rsid w:val="003A17FF"/>
    <w:rsid w:val="003A1E24"/>
    <w:rsid w:val="003B024C"/>
    <w:rsid w:val="003B0852"/>
    <w:rsid w:val="003B0EF7"/>
    <w:rsid w:val="003B2661"/>
    <w:rsid w:val="003B26C6"/>
    <w:rsid w:val="003B34F8"/>
    <w:rsid w:val="003B52E0"/>
    <w:rsid w:val="003B6AAD"/>
    <w:rsid w:val="003B735E"/>
    <w:rsid w:val="003C010A"/>
    <w:rsid w:val="003C0194"/>
    <w:rsid w:val="003C18D1"/>
    <w:rsid w:val="003C3125"/>
    <w:rsid w:val="003C5EA9"/>
    <w:rsid w:val="003C7297"/>
    <w:rsid w:val="003C78BC"/>
    <w:rsid w:val="003D02E8"/>
    <w:rsid w:val="003D0C3F"/>
    <w:rsid w:val="003D0E6F"/>
    <w:rsid w:val="003D1CB6"/>
    <w:rsid w:val="003D3029"/>
    <w:rsid w:val="003D565A"/>
    <w:rsid w:val="003D6631"/>
    <w:rsid w:val="003D786E"/>
    <w:rsid w:val="003D7E98"/>
    <w:rsid w:val="003E07AF"/>
    <w:rsid w:val="003E1270"/>
    <w:rsid w:val="003E1EEA"/>
    <w:rsid w:val="003E1FB7"/>
    <w:rsid w:val="003E252A"/>
    <w:rsid w:val="003E2632"/>
    <w:rsid w:val="003E2E9A"/>
    <w:rsid w:val="003E3D11"/>
    <w:rsid w:val="003E4276"/>
    <w:rsid w:val="003E507F"/>
    <w:rsid w:val="003E6A91"/>
    <w:rsid w:val="003E7187"/>
    <w:rsid w:val="003E7B98"/>
    <w:rsid w:val="003E7BEE"/>
    <w:rsid w:val="003F1222"/>
    <w:rsid w:val="003F1E0B"/>
    <w:rsid w:val="003F2724"/>
    <w:rsid w:val="003F2744"/>
    <w:rsid w:val="003F2A04"/>
    <w:rsid w:val="003F3637"/>
    <w:rsid w:val="003F3D8A"/>
    <w:rsid w:val="003F4295"/>
    <w:rsid w:val="003F4797"/>
    <w:rsid w:val="003F5449"/>
    <w:rsid w:val="003F6964"/>
    <w:rsid w:val="003F6CBA"/>
    <w:rsid w:val="004036BE"/>
    <w:rsid w:val="00404B61"/>
    <w:rsid w:val="004051D2"/>
    <w:rsid w:val="00406125"/>
    <w:rsid w:val="00406C39"/>
    <w:rsid w:val="004072A8"/>
    <w:rsid w:val="00407D6B"/>
    <w:rsid w:val="004139AA"/>
    <w:rsid w:val="00414151"/>
    <w:rsid w:val="00414876"/>
    <w:rsid w:val="00414A77"/>
    <w:rsid w:val="004158C3"/>
    <w:rsid w:val="00415B28"/>
    <w:rsid w:val="0041653F"/>
    <w:rsid w:val="00416CDE"/>
    <w:rsid w:val="00420AF6"/>
    <w:rsid w:val="004215C2"/>
    <w:rsid w:val="00421F5C"/>
    <w:rsid w:val="004243E1"/>
    <w:rsid w:val="00424D32"/>
    <w:rsid w:val="0042549F"/>
    <w:rsid w:val="0042561B"/>
    <w:rsid w:val="0042584F"/>
    <w:rsid w:val="00426140"/>
    <w:rsid w:val="00427B3E"/>
    <w:rsid w:val="004314DD"/>
    <w:rsid w:val="00432371"/>
    <w:rsid w:val="0043322A"/>
    <w:rsid w:val="0043529B"/>
    <w:rsid w:val="00435321"/>
    <w:rsid w:val="00435346"/>
    <w:rsid w:val="0044098D"/>
    <w:rsid w:val="00440999"/>
    <w:rsid w:val="00443BDA"/>
    <w:rsid w:val="00444C50"/>
    <w:rsid w:val="004457A0"/>
    <w:rsid w:val="00445801"/>
    <w:rsid w:val="00446747"/>
    <w:rsid w:val="004471B9"/>
    <w:rsid w:val="00447A44"/>
    <w:rsid w:val="00450482"/>
    <w:rsid w:val="004506DF"/>
    <w:rsid w:val="004508F1"/>
    <w:rsid w:val="004508F9"/>
    <w:rsid w:val="00451C3E"/>
    <w:rsid w:val="00451F34"/>
    <w:rsid w:val="00452D99"/>
    <w:rsid w:val="00453EDB"/>
    <w:rsid w:val="0045422C"/>
    <w:rsid w:val="004543CE"/>
    <w:rsid w:val="00454D1F"/>
    <w:rsid w:val="00454F1D"/>
    <w:rsid w:val="00457193"/>
    <w:rsid w:val="00457D65"/>
    <w:rsid w:val="0046099C"/>
    <w:rsid w:val="00461F7F"/>
    <w:rsid w:val="00462C91"/>
    <w:rsid w:val="00465872"/>
    <w:rsid w:val="00465E66"/>
    <w:rsid w:val="00467E7E"/>
    <w:rsid w:val="0047035E"/>
    <w:rsid w:val="00471D48"/>
    <w:rsid w:val="00471E0D"/>
    <w:rsid w:val="00471F2C"/>
    <w:rsid w:val="00471F39"/>
    <w:rsid w:val="004727BD"/>
    <w:rsid w:val="004734CD"/>
    <w:rsid w:val="004738C6"/>
    <w:rsid w:val="00473966"/>
    <w:rsid w:val="00473B9D"/>
    <w:rsid w:val="00473E86"/>
    <w:rsid w:val="00474983"/>
    <w:rsid w:val="00475031"/>
    <w:rsid w:val="004757D9"/>
    <w:rsid w:val="0047680A"/>
    <w:rsid w:val="00477ABF"/>
    <w:rsid w:val="004807D1"/>
    <w:rsid w:val="00480BDE"/>
    <w:rsid w:val="00481CD3"/>
    <w:rsid w:val="00482743"/>
    <w:rsid w:val="00483E7A"/>
    <w:rsid w:val="00484114"/>
    <w:rsid w:val="004842CC"/>
    <w:rsid w:val="00484FCB"/>
    <w:rsid w:val="00487BE9"/>
    <w:rsid w:val="00490639"/>
    <w:rsid w:val="00490A00"/>
    <w:rsid w:val="00490ACA"/>
    <w:rsid w:val="0049120E"/>
    <w:rsid w:val="004917D3"/>
    <w:rsid w:val="00491C58"/>
    <w:rsid w:val="0049215E"/>
    <w:rsid w:val="0049264F"/>
    <w:rsid w:val="00492A12"/>
    <w:rsid w:val="00492E4A"/>
    <w:rsid w:val="00492EFD"/>
    <w:rsid w:val="0049415B"/>
    <w:rsid w:val="004968B9"/>
    <w:rsid w:val="004A2005"/>
    <w:rsid w:val="004A240C"/>
    <w:rsid w:val="004A4D23"/>
    <w:rsid w:val="004A64D6"/>
    <w:rsid w:val="004A6723"/>
    <w:rsid w:val="004A69DD"/>
    <w:rsid w:val="004A7E8B"/>
    <w:rsid w:val="004B03A8"/>
    <w:rsid w:val="004B11BE"/>
    <w:rsid w:val="004B2227"/>
    <w:rsid w:val="004B3CE1"/>
    <w:rsid w:val="004B45DA"/>
    <w:rsid w:val="004B4E78"/>
    <w:rsid w:val="004B5BD1"/>
    <w:rsid w:val="004B5C2E"/>
    <w:rsid w:val="004B679E"/>
    <w:rsid w:val="004B6A37"/>
    <w:rsid w:val="004B6DD3"/>
    <w:rsid w:val="004B771E"/>
    <w:rsid w:val="004C0268"/>
    <w:rsid w:val="004C2D43"/>
    <w:rsid w:val="004C2F33"/>
    <w:rsid w:val="004C3A47"/>
    <w:rsid w:val="004C3AEF"/>
    <w:rsid w:val="004C4A00"/>
    <w:rsid w:val="004C4EAB"/>
    <w:rsid w:val="004C52AD"/>
    <w:rsid w:val="004C592F"/>
    <w:rsid w:val="004C594F"/>
    <w:rsid w:val="004C66B7"/>
    <w:rsid w:val="004C6EBB"/>
    <w:rsid w:val="004C70F2"/>
    <w:rsid w:val="004D074B"/>
    <w:rsid w:val="004D2584"/>
    <w:rsid w:val="004D541C"/>
    <w:rsid w:val="004D6D83"/>
    <w:rsid w:val="004D7475"/>
    <w:rsid w:val="004D7A3D"/>
    <w:rsid w:val="004E0277"/>
    <w:rsid w:val="004E0D6E"/>
    <w:rsid w:val="004E127C"/>
    <w:rsid w:val="004E55A8"/>
    <w:rsid w:val="004E62A0"/>
    <w:rsid w:val="004F013F"/>
    <w:rsid w:val="004F0F13"/>
    <w:rsid w:val="004F114C"/>
    <w:rsid w:val="004F1D32"/>
    <w:rsid w:val="004F29B2"/>
    <w:rsid w:val="004F33B2"/>
    <w:rsid w:val="004F3415"/>
    <w:rsid w:val="004F444D"/>
    <w:rsid w:val="004F4804"/>
    <w:rsid w:val="004F5171"/>
    <w:rsid w:val="004F51AC"/>
    <w:rsid w:val="004F55A3"/>
    <w:rsid w:val="004F6CF3"/>
    <w:rsid w:val="004F6FE3"/>
    <w:rsid w:val="00500B7A"/>
    <w:rsid w:val="00500DA2"/>
    <w:rsid w:val="0050181A"/>
    <w:rsid w:val="005028CF"/>
    <w:rsid w:val="0050417D"/>
    <w:rsid w:val="00504ADE"/>
    <w:rsid w:val="00504FB2"/>
    <w:rsid w:val="00504FF9"/>
    <w:rsid w:val="00506A6B"/>
    <w:rsid w:val="0050742E"/>
    <w:rsid w:val="0050782B"/>
    <w:rsid w:val="00507F4B"/>
    <w:rsid w:val="00510DD2"/>
    <w:rsid w:val="0051142F"/>
    <w:rsid w:val="00511B31"/>
    <w:rsid w:val="0051351F"/>
    <w:rsid w:val="0051367D"/>
    <w:rsid w:val="00513F14"/>
    <w:rsid w:val="00514E8D"/>
    <w:rsid w:val="0051560A"/>
    <w:rsid w:val="00515EC7"/>
    <w:rsid w:val="00515EEA"/>
    <w:rsid w:val="005162B6"/>
    <w:rsid w:val="00517AD4"/>
    <w:rsid w:val="00520B4A"/>
    <w:rsid w:val="00523BCD"/>
    <w:rsid w:val="00524992"/>
    <w:rsid w:val="00524CF1"/>
    <w:rsid w:val="00524E3A"/>
    <w:rsid w:val="005250BD"/>
    <w:rsid w:val="0052519A"/>
    <w:rsid w:val="005251BA"/>
    <w:rsid w:val="005255CE"/>
    <w:rsid w:val="005266C5"/>
    <w:rsid w:val="005278C3"/>
    <w:rsid w:val="005311C5"/>
    <w:rsid w:val="005315E6"/>
    <w:rsid w:val="00532044"/>
    <w:rsid w:val="00532903"/>
    <w:rsid w:val="00533460"/>
    <w:rsid w:val="0053355B"/>
    <w:rsid w:val="00533ED6"/>
    <w:rsid w:val="00534FFD"/>
    <w:rsid w:val="00535212"/>
    <w:rsid w:val="00535621"/>
    <w:rsid w:val="005358B1"/>
    <w:rsid w:val="00536700"/>
    <w:rsid w:val="00537022"/>
    <w:rsid w:val="00537049"/>
    <w:rsid w:val="005401E4"/>
    <w:rsid w:val="00540DF7"/>
    <w:rsid w:val="0054196B"/>
    <w:rsid w:val="0054213B"/>
    <w:rsid w:val="005429E7"/>
    <w:rsid w:val="00542DDB"/>
    <w:rsid w:val="00543480"/>
    <w:rsid w:val="00544381"/>
    <w:rsid w:val="005443A4"/>
    <w:rsid w:val="00544938"/>
    <w:rsid w:val="005458DE"/>
    <w:rsid w:val="005476CB"/>
    <w:rsid w:val="005504FF"/>
    <w:rsid w:val="00550583"/>
    <w:rsid w:val="005521EF"/>
    <w:rsid w:val="005524F7"/>
    <w:rsid w:val="00552825"/>
    <w:rsid w:val="0055283A"/>
    <w:rsid w:val="00552E8C"/>
    <w:rsid w:val="00553B00"/>
    <w:rsid w:val="0055514C"/>
    <w:rsid w:val="00555251"/>
    <w:rsid w:val="0055525A"/>
    <w:rsid w:val="00555A85"/>
    <w:rsid w:val="00555A9B"/>
    <w:rsid w:val="00555F54"/>
    <w:rsid w:val="00556424"/>
    <w:rsid w:val="005607E1"/>
    <w:rsid w:val="00561D69"/>
    <w:rsid w:val="00561D74"/>
    <w:rsid w:val="00563452"/>
    <w:rsid w:val="00563666"/>
    <w:rsid w:val="0056410E"/>
    <w:rsid w:val="00564D4D"/>
    <w:rsid w:val="005652A9"/>
    <w:rsid w:val="005654CC"/>
    <w:rsid w:val="00566986"/>
    <w:rsid w:val="0057139E"/>
    <w:rsid w:val="005722ED"/>
    <w:rsid w:val="00572B3B"/>
    <w:rsid w:val="00573437"/>
    <w:rsid w:val="00574282"/>
    <w:rsid w:val="00574DCA"/>
    <w:rsid w:val="00574F50"/>
    <w:rsid w:val="00576B5F"/>
    <w:rsid w:val="00581F9B"/>
    <w:rsid w:val="0058263B"/>
    <w:rsid w:val="00582939"/>
    <w:rsid w:val="00584FB4"/>
    <w:rsid w:val="00584FCD"/>
    <w:rsid w:val="00586589"/>
    <w:rsid w:val="005870F4"/>
    <w:rsid w:val="00587770"/>
    <w:rsid w:val="005926A7"/>
    <w:rsid w:val="00593B6E"/>
    <w:rsid w:val="0059657A"/>
    <w:rsid w:val="0059767B"/>
    <w:rsid w:val="005A0098"/>
    <w:rsid w:val="005A20CF"/>
    <w:rsid w:val="005A241F"/>
    <w:rsid w:val="005A266D"/>
    <w:rsid w:val="005A2C12"/>
    <w:rsid w:val="005A3B52"/>
    <w:rsid w:val="005A3B8A"/>
    <w:rsid w:val="005A4792"/>
    <w:rsid w:val="005A5B08"/>
    <w:rsid w:val="005A69AA"/>
    <w:rsid w:val="005A72C8"/>
    <w:rsid w:val="005A7664"/>
    <w:rsid w:val="005A7EB1"/>
    <w:rsid w:val="005B067B"/>
    <w:rsid w:val="005B2C0A"/>
    <w:rsid w:val="005B2F22"/>
    <w:rsid w:val="005B4370"/>
    <w:rsid w:val="005B49A2"/>
    <w:rsid w:val="005B6F91"/>
    <w:rsid w:val="005B756C"/>
    <w:rsid w:val="005C0FDC"/>
    <w:rsid w:val="005C11AF"/>
    <w:rsid w:val="005C19FA"/>
    <w:rsid w:val="005C2E5B"/>
    <w:rsid w:val="005C5384"/>
    <w:rsid w:val="005C5DD2"/>
    <w:rsid w:val="005C767F"/>
    <w:rsid w:val="005C78AE"/>
    <w:rsid w:val="005C7D11"/>
    <w:rsid w:val="005D0697"/>
    <w:rsid w:val="005D31A4"/>
    <w:rsid w:val="005D3B15"/>
    <w:rsid w:val="005D5433"/>
    <w:rsid w:val="005E04D4"/>
    <w:rsid w:val="005E1131"/>
    <w:rsid w:val="005E1FA5"/>
    <w:rsid w:val="005E254C"/>
    <w:rsid w:val="005E3665"/>
    <w:rsid w:val="005E3C60"/>
    <w:rsid w:val="005E3C87"/>
    <w:rsid w:val="005E5E8D"/>
    <w:rsid w:val="005E7780"/>
    <w:rsid w:val="005F089D"/>
    <w:rsid w:val="005F0FE1"/>
    <w:rsid w:val="005F121F"/>
    <w:rsid w:val="005F13BA"/>
    <w:rsid w:val="005F184D"/>
    <w:rsid w:val="005F1EB1"/>
    <w:rsid w:val="005F2844"/>
    <w:rsid w:val="005F309F"/>
    <w:rsid w:val="005F34CE"/>
    <w:rsid w:val="005F3A25"/>
    <w:rsid w:val="005F3B8D"/>
    <w:rsid w:val="005F3ED5"/>
    <w:rsid w:val="005F48D9"/>
    <w:rsid w:val="005F4EBB"/>
    <w:rsid w:val="005F5363"/>
    <w:rsid w:val="005F562E"/>
    <w:rsid w:val="005F5696"/>
    <w:rsid w:val="005F6157"/>
    <w:rsid w:val="005F7386"/>
    <w:rsid w:val="005F7CFB"/>
    <w:rsid w:val="00600AE6"/>
    <w:rsid w:val="006015A9"/>
    <w:rsid w:val="00601BA2"/>
    <w:rsid w:val="00602EC6"/>
    <w:rsid w:val="00602FF7"/>
    <w:rsid w:val="0060394B"/>
    <w:rsid w:val="00603FCC"/>
    <w:rsid w:val="006042E5"/>
    <w:rsid w:val="00604D35"/>
    <w:rsid w:val="00604E6E"/>
    <w:rsid w:val="006051F3"/>
    <w:rsid w:val="00605C02"/>
    <w:rsid w:val="0060650E"/>
    <w:rsid w:val="00606924"/>
    <w:rsid w:val="00607093"/>
    <w:rsid w:val="006115D2"/>
    <w:rsid w:val="006117AA"/>
    <w:rsid w:val="00611AE1"/>
    <w:rsid w:val="00613168"/>
    <w:rsid w:val="0061486F"/>
    <w:rsid w:val="00616053"/>
    <w:rsid w:val="0061674D"/>
    <w:rsid w:val="00617215"/>
    <w:rsid w:val="00617A4E"/>
    <w:rsid w:val="00617D56"/>
    <w:rsid w:val="00622C2B"/>
    <w:rsid w:val="0062353C"/>
    <w:rsid w:val="00623C2D"/>
    <w:rsid w:val="006249C3"/>
    <w:rsid w:val="00626B7E"/>
    <w:rsid w:val="006315C4"/>
    <w:rsid w:val="00631986"/>
    <w:rsid w:val="00634C6C"/>
    <w:rsid w:val="00635EB6"/>
    <w:rsid w:val="00636CE5"/>
    <w:rsid w:val="00640C08"/>
    <w:rsid w:val="00642391"/>
    <w:rsid w:val="0064389E"/>
    <w:rsid w:val="00644091"/>
    <w:rsid w:val="0064723F"/>
    <w:rsid w:val="00650083"/>
    <w:rsid w:val="006508DC"/>
    <w:rsid w:val="00650A95"/>
    <w:rsid w:val="00651342"/>
    <w:rsid w:val="00651A30"/>
    <w:rsid w:val="0065293C"/>
    <w:rsid w:val="00652B2E"/>
    <w:rsid w:val="00653F97"/>
    <w:rsid w:val="00654274"/>
    <w:rsid w:val="00654518"/>
    <w:rsid w:val="00655508"/>
    <w:rsid w:val="00655698"/>
    <w:rsid w:val="00655F09"/>
    <w:rsid w:val="006602C2"/>
    <w:rsid w:val="00661189"/>
    <w:rsid w:val="006628CF"/>
    <w:rsid w:val="00663406"/>
    <w:rsid w:val="00664D04"/>
    <w:rsid w:val="0066533B"/>
    <w:rsid w:val="00665FBE"/>
    <w:rsid w:val="00666CD2"/>
    <w:rsid w:val="00667A2E"/>
    <w:rsid w:val="00667FC2"/>
    <w:rsid w:val="006700FF"/>
    <w:rsid w:val="00670FDB"/>
    <w:rsid w:val="00671C97"/>
    <w:rsid w:val="0067315E"/>
    <w:rsid w:val="006737AA"/>
    <w:rsid w:val="00674574"/>
    <w:rsid w:val="00676345"/>
    <w:rsid w:val="00676699"/>
    <w:rsid w:val="00676752"/>
    <w:rsid w:val="00677F15"/>
    <w:rsid w:val="006835B6"/>
    <w:rsid w:val="006835D6"/>
    <w:rsid w:val="006840CE"/>
    <w:rsid w:val="00684398"/>
    <w:rsid w:val="00684F41"/>
    <w:rsid w:val="006850FC"/>
    <w:rsid w:val="0068579B"/>
    <w:rsid w:val="00686D05"/>
    <w:rsid w:val="00687474"/>
    <w:rsid w:val="0069100F"/>
    <w:rsid w:val="006914AB"/>
    <w:rsid w:val="0069236D"/>
    <w:rsid w:val="006923D1"/>
    <w:rsid w:val="00692AF1"/>
    <w:rsid w:val="00692DF9"/>
    <w:rsid w:val="006934DF"/>
    <w:rsid w:val="006935BC"/>
    <w:rsid w:val="006949B8"/>
    <w:rsid w:val="006961B9"/>
    <w:rsid w:val="006A038C"/>
    <w:rsid w:val="006A0759"/>
    <w:rsid w:val="006A0D9E"/>
    <w:rsid w:val="006A10C4"/>
    <w:rsid w:val="006A2EEC"/>
    <w:rsid w:val="006A359D"/>
    <w:rsid w:val="006A5D46"/>
    <w:rsid w:val="006A6FF1"/>
    <w:rsid w:val="006B2407"/>
    <w:rsid w:val="006B2DDC"/>
    <w:rsid w:val="006B2E43"/>
    <w:rsid w:val="006B602B"/>
    <w:rsid w:val="006B6F5C"/>
    <w:rsid w:val="006C2CD8"/>
    <w:rsid w:val="006C3AFC"/>
    <w:rsid w:val="006C671A"/>
    <w:rsid w:val="006D1513"/>
    <w:rsid w:val="006D1FC5"/>
    <w:rsid w:val="006D2129"/>
    <w:rsid w:val="006D232A"/>
    <w:rsid w:val="006D251A"/>
    <w:rsid w:val="006D4476"/>
    <w:rsid w:val="006D4A59"/>
    <w:rsid w:val="006D4C91"/>
    <w:rsid w:val="006D5893"/>
    <w:rsid w:val="006D6F79"/>
    <w:rsid w:val="006D725D"/>
    <w:rsid w:val="006D7B8A"/>
    <w:rsid w:val="006E0779"/>
    <w:rsid w:val="006E07FA"/>
    <w:rsid w:val="006E0B12"/>
    <w:rsid w:val="006E1534"/>
    <w:rsid w:val="006E191D"/>
    <w:rsid w:val="006E234F"/>
    <w:rsid w:val="006E26B1"/>
    <w:rsid w:val="006E2985"/>
    <w:rsid w:val="006E345B"/>
    <w:rsid w:val="006E34F6"/>
    <w:rsid w:val="006E4743"/>
    <w:rsid w:val="006E59F7"/>
    <w:rsid w:val="006E5A48"/>
    <w:rsid w:val="006E5BA0"/>
    <w:rsid w:val="006E5CAB"/>
    <w:rsid w:val="006E7D4A"/>
    <w:rsid w:val="006F1889"/>
    <w:rsid w:val="006F2296"/>
    <w:rsid w:val="006F29B7"/>
    <w:rsid w:val="006F3375"/>
    <w:rsid w:val="006F39BF"/>
    <w:rsid w:val="006F440F"/>
    <w:rsid w:val="006F4745"/>
    <w:rsid w:val="006F6EB9"/>
    <w:rsid w:val="006F7533"/>
    <w:rsid w:val="0070169D"/>
    <w:rsid w:val="007020D6"/>
    <w:rsid w:val="00702634"/>
    <w:rsid w:val="007030C4"/>
    <w:rsid w:val="00705583"/>
    <w:rsid w:val="00705625"/>
    <w:rsid w:val="007064DA"/>
    <w:rsid w:val="00710DA7"/>
    <w:rsid w:val="007112F1"/>
    <w:rsid w:val="00712283"/>
    <w:rsid w:val="00712B4B"/>
    <w:rsid w:val="00712EDD"/>
    <w:rsid w:val="00713C64"/>
    <w:rsid w:val="00714109"/>
    <w:rsid w:val="007143C6"/>
    <w:rsid w:val="00714760"/>
    <w:rsid w:val="007158B1"/>
    <w:rsid w:val="007159FE"/>
    <w:rsid w:val="007204B7"/>
    <w:rsid w:val="00720682"/>
    <w:rsid w:val="007219B6"/>
    <w:rsid w:val="00721D91"/>
    <w:rsid w:val="00723793"/>
    <w:rsid w:val="007241AF"/>
    <w:rsid w:val="007255C3"/>
    <w:rsid w:val="007264D4"/>
    <w:rsid w:val="007300B8"/>
    <w:rsid w:val="00730EF2"/>
    <w:rsid w:val="007313DC"/>
    <w:rsid w:val="00732C6B"/>
    <w:rsid w:val="0073517D"/>
    <w:rsid w:val="00735F7E"/>
    <w:rsid w:val="00737FBE"/>
    <w:rsid w:val="00740049"/>
    <w:rsid w:val="0074085C"/>
    <w:rsid w:val="00740F11"/>
    <w:rsid w:val="007428A4"/>
    <w:rsid w:val="007428B6"/>
    <w:rsid w:val="00743C74"/>
    <w:rsid w:val="00745382"/>
    <w:rsid w:val="00751306"/>
    <w:rsid w:val="007524F1"/>
    <w:rsid w:val="00753EFC"/>
    <w:rsid w:val="00755470"/>
    <w:rsid w:val="00755B99"/>
    <w:rsid w:val="00756041"/>
    <w:rsid w:val="0075606C"/>
    <w:rsid w:val="00756628"/>
    <w:rsid w:val="00756E53"/>
    <w:rsid w:val="00756EAD"/>
    <w:rsid w:val="007577DB"/>
    <w:rsid w:val="00760731"/>
    <w:rsid w:val="00760B72"/>
    <w:rsid w:val="00761335"/>
    <w:rsid w:val="00761D97"/>
    <w:rsid w:val="007626ED"/>
    <w:rsid w:val="00762CDA"/>
    <w:rsid w:val="00763A3D"/>
    <w:rsid w:val="007648F2"/>
    <w:rsid w:val="007659F3"/>
    <w:rsid w:val="00770368"/>
    <w:rsid w:val="00770444"/>
    <w:rsid w:val="007705A3"/>
    <w:rsid w:val="00770D39"/>
    <w:rsid w:val="00771C62"/>
    <w:rsid w:val="00772024"/>
    <w:rsid w:val="00772DEE"/>
    <w:rsid w:val="00773619"/>
    <w:rsid w:val="00773CF4"/>
    <w:rsid w:val="00774391"/>
    <w:rsid w:val="0077500F"/>
    <w:rsid w:val="007751D7"/>
    <w:rsid w:val="007752AE"/>
    <w:rsid w:val="007754D6"/>
    <w:rsid w:val="007778E7"/>
    <w:rsid w:val="00777AB3"/>
    <w:rsid w:val="00780349"/>
    <w:rsid w:val="00780402"/>
    <w:rsid w:val="007808B5"/>
    <w:rsid w:val="00781161"/>
    <w:rsid w:val="007829AF"/>
    <w:rsid w:val="00782D59"/>
    <w:rsid w:val="00783528"/>
    <w:rsid w:val="0078414E"/>
    <w:rsid w:val="00784C9E"/>
    <w:rsid w:val="0078625B"/>
    <w:rsid w:val="00786B22"/>
    <w:rsid w:val="00786FFD"/>
    <w:rsid w:val="0078786B"/>
    <w:rsid w:val="00787BEC"/>
    <w:rsid w:val="00787DCE"/>
    <w:rsid w:val="0079056D"/>
    <w:rsid w:val="00791898"/>
    <w:rsid w:val="00791A85"/>
    <w:rsid w:val="007924BE"/>
    <w:rsid w:val="00792F73"/>
    <w:rsid w:val="00792F81"/>
    <w:rsid w:val="007938EC"/>
    <w:rsid w:val="007940D9"/>
    <w:rsid w:val="00795172"/>
    <w:rsid w:val="007A040D"/>
    <w:rsid w:val="007A0AC8"/>
    <w:rsid w:val="007A1F01"/>
    <w:rsid w:val="007A2097"/>
    <w:rsid w:val="007A2E7D"/>
    <w:rsid w:val="007A2F94"/>
    <w:rsid w:val="007A4089"/>
    <w:rsid w:val="007A4F43"/>
    <w:rsid w:val="007A669A"/>
    <w:rsid w:val="007A6C5D"/>
    <w:rsid w:val="007A7F08"/>
    <w:rsid w:val="007B22D6"/>
    <w:rsid w:val="007B3397"/>
    <w:rsid w:val="007B3A82"/>
    <w:rsid w:val="007B3B14"/>
    <w:rsid w:val="007B3B97"/>
    <w:rsid w:val="007B3BBE"/>
    <w:rsid w:val="007C048A"/>
    <w:rsid w:val="007C1483"/>
    <w:rsid w:val="007C15BE"/>
    <w:rsid w:val="007C4C65"/>
    <w:rsid w:val="007C5054"/>
    <w:rsid w:val="007C5D43"/>
    <w:rsid w:val="007C5D6F"/>
    <w:rsid w:val="007C6631"/>
    <w:rsid w:val="007C6E37"/>
    <w:rsid w:val="007C7EB7"/>
    <w:rsid w:val="007D045C"/>
    <w:rsid w:val="007D25ED"/>
    <w:rsid w:val="007D4D09"/>
    <w:rsid w:val="007D4F32"/>
    <w:rsid w:val="007D59D3"/>
    <w:rsid w:val="007D5CA8"/>
    <w:rsid w:val="007D65A9"/>
    <w:rsid w:val="007E0660"/>
    <w:rsid w:val="007E2191"/>
    <w:rsid w:val="007E21D3"/>
    <w:rsid w:val="007E2607"/>
    <w:rsid w:val="007E3907"/>
    <w:rsid w:val="007E44F8"/>
    <w:rsid w:val="007E702F"/>
    <w:rsid w:val="007E70C6"/>
    <w:rsid w:val="007E70E8"/>
    <w:rsid w:val="007F02A0"/>
    <w:rsid w:val="007F0EF8"/>
    <w:rsid w:val="007F13E0"/>
    <w:rsid w:val="007F2231"/>
    <w:rsid w:val="007F2667"/>
    <w:rsid w:val="007F3C22"/>
    <w:rsid w:val="007F3FE7"/>
    <w:rsid w:val="007F5235"/>
    <w:rsid w:val="007F5652"/>
    <w:rsid w:val="007F7644"/>
    <w:rsid w:val="008054AE"/>
    <w:rsid w:val="00805967"/>
    <w:rsid w:val="00806287"/>
    <w:rsid w:val="00807940"/>
    <w:rsid w:val="00810637"/>
    <w:rsid w:val="00810C84"/>
    <w:rsid w:val="00811D63"/>
    <w:rsid w:val="00811E52"/>
    <w:rsid w:val="008127D2"/>
    <w:rsid w:val="00813EF9"/>
    <w:rsid w:val="008141FF"/>
    <w:rsid w:val="00814642"/>
    <w:rsid w:val="00815361"/>
    <w:rsid w:val="00816699"/>
    <w:rsid w:val="008169BA"/>
    <w:rsid w:val="0081778B"/>
    <w:rsid w:val="008212D3"/>
    <w:rsid w:val="00821B15"/>
    <w:rsid w:val="00822D53"/>
    <w:rsid w:val="0082313E"/>
    <w:rsid w:val="00823968"/>
    <w:rsid w:val="00823A22"/>
    <w:rsid w:val="0082407A"/>
    <w:rsid w:val="00825A6D"/>
    <w:rsid w:val="00826B6B"/>
    <w:rsid w:val="00830602"/>
    <w:rsid w:val="008313D1"/>
    <w:rsid w:val="008321F8"/>
    <w:rsid w:val="0083291D"/>
    <w:rsid w:val="00833158"/>
    <w:rsid w:val="0083391B"/>
    <w:rsid w:val="008346F8"/>
    <w:rsid w:val="00834815"/>
    <w:rsid w:val="00835545"/>
    <w:rsid w:val="008356D5"/>
    <w:rsid w:val="00835C16"/>
    <w:rsid w:val="00836A93"/>
    <w:rsid w:val="008409C7"/>
    <w:rsid w:val="00841252"/>
    <w:rsid w:val="00842D2C"/>
    <w:rsid w:val="0084408D"/>
    <w:rsid w:val="008449F4"/>
    <w:rsid w:val="008463D8"/>
    <w:rsid w:val="008478BB"/>
    <w:rsid w:val="00850A16"/>
    <w:rsid w:val="00850B94"/>
    <w:rsid w:val="008524DA"/>
    <w:rsid w:val="008531BE"/>
    <w:rsid w:val="00853AD9"/>
    <w:rsid w:val="00853C1F"/>
    <w:rsid w:val="00854D26"/>
    <w:rsid w:val="008554AB"/>
    <w:rsid w:val="00855968"/>
    <w:rsid w:val="00855AEF"/>
    <w:rsid w:val="008568B8"/>
    <w:rsid w:val="0085711F"/>
    <w:rsid w:val="00862380"/>
    <w:rsid w:val="00863AA1"/>
    <w:rsid w:val="00863C1F"/>
    <w:rsid w:val="00863FAF"/>
    <w:rsid w:val="0086533A"/>
    <w:rsid w:val="00867082"/>
    <w:rsid w:val="008700B7"/>
    <w:rsid w:val="00870C0E"/>
    <w:rsid w:val="00872889"/>
    <w:rsid w:val="00872D77"/>
    <w:rsid w:val="0087615E"/>
    <w:rsid w:val="00876795"/>
    <w:rsid w:val="00882820"/>
    <w:rsid w:val="008835EA"/>
    <w:rsid w:val="008836BC"/>
    <w:rsid w:val="00884D66"/>
    <w:rsid w:val="008857B8"/>
    <w:rsid w:val="00886B44"/>
    <w:rsid w:val="008874C1"/>
    <w:rsid w:val="00890F70"/>
    <w:rsid w:val="00892027"/>
    <w:rsid w:val="00892A82"/>
    <w:rsid w:val="00893202"/>
    <w:rsid w:val="008937E3"/>
    <w:rsid w:val="00893DB9"/>
    <w:rsid w:val="008971CA"/>
    <w:rsid w:val="00897BD6"/>
    <w:rsid w:val="008A1061"/>
    <w:rsid w:val="008A1705"/>
    <w:rsid w:val="008A17C0"/>
    <w:rsid w:val="008A3C0F"/>
    <w:rsid w:val="008A3E78"/>
    <w:rsid w:val="008A48C1"/>
    <w:rsid w:val="008A6F69"/>
    <w:rsid w:val="008A6FB9"/>
    <w:rsid w:val="008B0C5E"/>
    <w:rsid w:val="008B13C7"/>
    <w:rsid w:val="008B1C1B"/>
    <w:rsid w:val="008B1E5F"/>
    <w:rsid w:val="008B48D7"/>
    <w:rsid w:val="008B5B8D"/>
    <w:rsid w:val="008B6943"/>
    <w:rsid w:val="008B6B8B"/>
    <w:rsid w:val="008B7AF5"/>
    <w:rsid w:val="008C1D79"/>
    <w:rsid w:val="008C1E9C"/>
    <w:rsid w:val="008C6FA5"/>
    <w:rsid w:val="008C728F"/>
    <w:rsid w:val="008D0242"/>
    <w:rsid w:val="008D38D1"/>
    <w:rsid w:val="008D47D2"/>
    <w:rsid w:val="008D5418"/>
    <w:rsid w:val="008D67E1"/>
    <w:rsid w:val="008D6F21"/>
    <w:rsid w:val="008D7EAB"/>
    <w:rsid w:val="008E1047"/>
    <w:rsid w:val="008E21F7"/>
    <w:rsid w:val="008E2436"/>
    <w:rsid w:val="008E2C21"/>
    <w:rsid w:val="008E3691"/>
    <w:rsid w:val="008E42ED"/>
    <w:rsid w:val="008E434C"/>
    <w:rsid w:val="008E4B4A"/>
    <w:rsid w:val="008E569B"/>
    <w:rsid w:val="008E643A"/>
    <w:rsid w:val="008E7085"/>
    <w:rsid w:val="008F0233"/>
    <w:rsid w:val="008F0375"/>
    <w:rsid w:val="008F0389"/>
    <w:rsid w:val="008F0733"/>
    <w:rsid w:val="008F1120"/>
    <w:rsid w:val="008F15F4"/>
    <w:rsid w:val="008F2013"/>
    <w:rsid w:val="008F400F"/>
    <w:rsid w:val="008F61C6"/>
    <w:rsid w:val="008F6232"/>
    <w:rsid w:val="008F6391"/>
    <w:rsid w:val="008F7951"/>
    <w:rsid w:val="008F7DE6"/>
    <w:rsid w:val="00900070"/>
    <w:rsid w:val="00900A87"/>
    <w:rsid w:val="009015C2"/>
    <w:rsid w:val="009025D7"/>
    <w:rsid w:val="009026BB"/>
    <w:rsid w:val="0090428C"/>
    <w:rsid w:val="00904D6F"/>
    <w:rsid w:val="009052D8"/>
    <w:rsid w:val="00905D9A"/>
    <w:rsid w:val="00906FC8"/>
    <w:rsid w:val="00906FDE"/>
    <w:rsid w:val="00910C63"/>
    <w:rsid w:val="00910D99"/>
    <w:rsid w:val="0091172E"/>
    <w:rsid w:val="00911A5B"/>
    <w:rsid w:val="00912133"/>
    <w:rsid w:val="009134FB"/>
    <w:rsid w:val="00913E98"/>
    <w:rsid w:val="0091422E"/>
    <w:rsid w:val="00914A74"/>
    <w:rsid w:val="0091516C"/>
    <w:rsid w:val="00915BF3"/>
    <w:rsid w:val="009161B5"/>
    <w:rsid w:val="00916821"/>
    <w:rsid w:val="00920097"/>
    <w:rsid w:val="009205B3"/>
    <w:rsid w:val="00921408"/>
    <w:rsid w:val="00921CB3"/>
    <w:rsid w:val="0092245D"/>
    <w:rsid w:val="00922926"/>
    <w:rsid w:val="00922E83"/>
    <w:rsid w:val="00924B37"/>
    <w:rsid w:val="00926127"/>
    <w:rsid w:val="009265E3"/>
    <w:rsid w:val="00926B76"/>
    <w:rsid w:val="0093096C"/>
    <w:rsid w:val="00932F55"/>
    <w:rsid w:val="00933356"/>
    <w:rsid w:val="009352CF"/>
    <w:rsid w:val="009368C3"/>
    <w:rsid w:val="00936B1B"/>
    <w:rsid w:val="00940297"/>
    <w:rsid w:val="009415C3"/>
    <w:rsid w:val="0094324D"/>
    <w:rsid w:val="009455D9"/>
    <w:rsid w:val="00945AC7"/>
    <w:rsid w:val="00947731"/>
    <w:rsid w:val="00947F78"/>
    <w:rsid w:val="00950968"/>
    <w:rsid w:val="00950F91"/>
    <w:rsid w:val="00951955"/>
    <w:rsid w:val="00952E1E"/>
    <w:rsid w:val="00953D04"/>
    <w:rsid w:val="00954141"/>
    <w:rsid w:val="00955198"/>
    <w:rsid w:val="00955249"/>
    <w:rsid w:val="009600AE"/>
    <w:rsid w:val="00960158"/>
    <w:rsid w:val="009605F9"/>
    <w:rsid w:val="00960FDF"/>
    <w:rsid w:val="009630A2"/>
    <w:rsid w:val="00964837"/>
    <w:rsid w:val="00965FEE"/>
    <w:rsid w:val="009709B7"/>
    <w:rsid w:val="009710B5"/>
    <w:rsid w:val="0097125F"/>
    <w:rsid w:val="00971B91"/>
    <w:rsid w:val="00972F0C"/>
    <w:rsid w:val="009730DA"/>
    <w:rsid w:val="009751C3"/>
    <w:rsid w:val="00975632"/>
    <w:rsid w:val="00975992"/>
    <w:rsid w:val="00975D38"/>
    <w:rsid w:val="00975DE9"/>
    <w:rsid w:val="00975EA3"/>
    <w:rsid w:val="00980016"/>
    <w:rsid w:val="00981370"/>
    <w:rsid w:val="00981CF6"/>
    <w:rsid w:val="009831A0"/>
    <w:rsid w:val="00984293"/>
    <w:rsid w:val="009849AF"/>
    <w:rsid w:val="009851FD"/>
    <w:rsid w:val="00985FDE"/>
    <w:rsid w:val="00987008"/>
    <w:rsid w:val="009879CF"/>
    <w:rsid w:val="009907CB"/>
    <w:rsid w:val="009910E5"/>
    <w:rsid w:val="009922F0"/>
    <w:rsid w:val="00992C46"/>
    <w:rsid w:val="00994ED8"/>
    <w:rsid w:val="00994FDC"/>
    <w:rsid w:val="00995676"/>
    <w:rsid w:val="009A048E"/>
    <w:rsid w:val="009A363D"/>
    <w:rsid w:val="009A4473"/>
    <w:rsid w:val="009A46D7"/>
    <w:rsid w:val="009A4B24"/>
    <w:rsid w:val="009A4C6F"/>
    <w:rsid w:val="009A4FDE"/>
    <w:rsid w:val="009A51D0"/>
    <w:rsid w:val="009A59C6"/>
    <w:rsid w:val="009A59D8"/>
    <w:rsid w:val="009A6893"/>
    <w:rsid w:val="009A7A04"/>
    <w:rsid w:val="009A7B86"/>
    <w:rsid w:val="009B0102"/>
    <w:rsid w:val="009B1218"/>
    <w:rsid w:val="009B1919"/>
    <w:rsid w:val="009B27B1"/>
    <w:rsid w:val="009B384B"/>
    <w:rsid w:val="009B3E60"/>
    <w:rsid w:val="009B5524"/>
    <w:rsid w:val="009B5CAB"/>
    <w:rsid w:val="009C0F31"/>
    <w:rsid w:val="009C1204"/>
    <w:rsid w:val="009C1AC4"/>
    <w:rsid w:val="009C2B67"/>
    <w:rsid w:val="009C2CAB"/>
    <w:rsid w:val="009C38E8"/>
    <w:rsid w:val="009C5051"/>
    <w:rsid w:val="009C52B1"/>
    <w:rsid w:val="009C58E2"/>
    <w:rsid w:val="009C61A6"/>
    <w:rsid w:val="009C6229"/>
    <w:rsid w:val="009C6957"/>
    <w:rsid w:val="009D02D6"/>
    <w:rsid w:val="009D187D"/>
    <w:rsid w:val="009D18D8"/>
    <w:rsid w:val="009D1AD6"/>
    <w:rsid w:val="009D2504"/>
    <w:rsid w:val="009D331C"/>
    <w:rsid w:val="009D5382"/>
    <w:rsid w:val="009D6711"/>
    <w:rsid w:val="009D6A5E"/>
    <w:rsid w:val="009D773B"/>
    <w:rsid w:val="009D7B25"/>
    <w:rsid w:val="009D7EF0"/>
    <w:rsid w:val="009E237C"/>
    <w:rsid w:val="009E36F1"/>
    <w:rsid w:val="009E4EB6"/>
    <w:rsid w:val="009E5360"/>
    <w:rsid w:val="009E5B8B"/>
    <w:rsid w:val="009E77BF"/>
    <w:rsid w:val="009F09EC"/>
    <w:rsid w:val="009F0C4C"/>
    <w:rsid w:val="009F0CA5"/>
    <w:rsid w:val="009F1B1E"/>
    <w:rsid w:val="009F1C8C"/>
    <w:rsid w:val="009F2214"/>
    <w:rsid w:val="009F2AC6"/>
    <w:rsid w:val="009F38FB"/>
    <w:rsid w:val="009F3C23"/>
    <w:rsid w:val="009F435C"/>
    <w:rsid w:val="009F4655"/>
    <w:rsid w:val="009F52F9"/>
    <w:rsid w:val="009F6296"/>
    <w:rsid w:val="009F654E"/>
    <w:rsid w:val="009F65C6"/>
    <w:rsid w:val="00A005CC"/>
    <w:rsid w:val="00A007CF"/>
    <w:rsid w:val="00A00AF6"/>
    <w:rsid w:val="00A00CDD"/>
    <w:rsid w:val="00A02A58"/>
    <w:rsid w:val="00A02F21"/>
    <w:rsid w:val="00A02FF1"/>
    <w:rsid w:val="00A0541E"/>
    <w:rsid w:val="00A107E7"/>
    <w:rsid w:val="00A1150E"/>
    <w:rsid w:val="00A118D8"/>
    <w:rsid w:val="00A11C77"/>
    <w:rsid w:val="00A13A71"/>
    <w:rsid w:val="00A14D13"/>
    <w:rsid w:val="00A156CE"/>
    <w:rsid w:val="00A1595F"/>
    <w:rsid w:val="00A15971"/>
    <w:rsid w:val="00A16183"/>
    <w:rsid w:val="00A161D6"/>
    <w:rsid w:val="00A177C7"/>
    <w:rsid w:val="00A204CC"/>
    <w:rsid w:val="00A207C1"/>
    <w:rsid w:val="00A20FD6"/>
    <w:rsid w:val="00A2108E"/>
    <w:rsid w:val="00A22920"/>
    <w:rsid w:val="00A22A3F"/>
    <w:rsid w:val="00A22B78"/>
    <w:rsid w:val="00A2451E"/>
    <w:rsid w:val="00A25437"/>
    <w:rsid w:val="00A2593F"/>
    <w:rsid w:val="00A26402"/>
    <w:rsid w:val="00A2670B"/>
    <w:rsid w:val="00A27C03"/>
    <w:rsid w:val="00A30AE8"/>
    <w:rsid w:val="00A316A9"/>
    <w:rsid w:val="00A31748"/>
    <w:rsid w:val="00A32406"/>
    <w:rsid w:val="00A32BF1"/>
    <w:rsid w:val="00A33437"/>
    <w:rsid w:val="00A33453"/>
    <w:rsid w:val="00A363D5"/>
    <w:rsid w:val="00A40190"/>
    <w:rsid w:val="00A401C4"/>
    <w:rsid w:val="00A4086F"/>
    <w:rsid w:val="00A408E7"/>
    <w:rsid w:val="00A40E5D"/>
    <w:rsid w:val="00A41DDC"/>
    <w:rsid w:val="00A41F7D"/>
    <w:rsid w:val="00A42397"/>
    <w:rsid w:val="00A43D31"/>
    <w:rsid w:val="00A44DAB"/>
    <w:rsid w:val="00A45F89"/>
    <w:rsid w:val="00A46AD1"/>
    <w:rsid w:val="00A476E3"/>
    <w:rsid w:val="00A51921"/>
    <w:rsid w:val="00A5198A"/>
    <w:rsid w:val="00A51BC6"/>
    <w:rsid w:val="00A525A0"/>
    <w:rsid w:val="00A529C4"/>
    <w:rsid w:val="00A53003"/>
    <w:rsid w:val="00A532C8"/>
    <w:rsid w:val="00A538A3"/>
    <w:rsid w:val="00A53B42"/>
    <w:rsid w:val="00A54EC5"/>
    <w:rsid w:val="00A550A3"/>
    <w:rsid w:val="00A55385"/>
    <w:rsid w:val="00A603B9"/>
    <w:rsid w:val="00A6048D"/>
    <w:rsid w:val="00A607C9"/>
    <w:rsid w:val="00A609F1"/>
    <w:rsid w:val="00A6161D"/>
    <w:rsid w:val="00A61EDC"/>
    <w:rsid w:val="00A640C6"/>
    <w:rsid w:val="00A643CF"/>
    <w:rsid w:val="00A65071"/>
    <w:rsid w:val="00A651A9"/>
    <w:rsid w:val="00A66633"/>
    <w:rsid w:val="00A7059A"/>
    <w:rsid w:val="00A7165A"/>
    <w:rsid w:val="00A738F0"/>
    <w:rsid w:val="00A73FCD"/>
    <w:rsid w:val="00A76360"/>
    <w:rsid w:val="00A77512"/>
    <w:rsid w:val="00A77CF0"/>
    <w:rsid w:val="00A80877"/>
    <w:rsid w:val="00A814BB"/>
    <w:rsid w:val="00A82617"/>
    <w:rsid w:val="00A83475"/>
    <w:rsid w:val="00A851EA"/>
    <w:rsid w:val="00A8548C"/>
    <w:rsid w:val="00A8563F"/>
    <w:rsid w:val="00A856B5"/>
    <w:rsid w:val="00A858C5"/>
    <w:rsid w:val="00A86974"/>
    <w:rsid w:val="00A8707F"/>
    <w:rsid w:val="00A9019E"/>
    <w:rsid w:val="00A90791"/>
    <w:rsid w:val="00A90ADC"/>
    <w:rsid w:val="00A9192B"/>
    <w:rsid w:val="00A91B81"/>
    <w:rsid w:val="00A91E26"/>
    <w:rsid w:val="00A92384"/>
    <w:rsid w:val="00A923BA"/>
    <w:rsid w:val="00A925E2"/>
    <w:rsid w:val="00A92F87"/>
    <w:rsid w:val="00A93215"/>
    <w:rsid w:val="00A932B0"/>
    <w:rsid w:val="00A93509"/>
    <w:rsid w:val="00A937DF"/>
    <w:rsid w:val="00A94369"/>
    <w:rsid w:val="00A950D5"/>
    <w:rsid w:val="00A9522B"/>
    <w:rsid w:val="00A957BC"/>
    <w:rsid w:val="00A975C5"/>
    <w:rsid w:val="00A97840"/>
    <w:rsid w:val="00A9796C"/>
    <w:rsid w:val="00A97A1D"/>
    <w:rsid w:val="00AA00A4"/>
    <w:rsid w:val="00AA0DF4"/>
    <w:rsid w:val="00AA1A78"/>
    <w:rsid w:val="00AA1AF4"/>
    <w:rsid w:val="00AA2A75"/>
    <w:rsid w:val="00AA4EE5"/>
    <w:rsid w:val="00AA5586"/>
    <w:rsid w:val="00AA5DA5"/>
    <w:rsid w:val="00AA6B94"/>
    <w:rsid w:val="00AA6D24"/>
    <w:rsid w:val="00AA6FEC"/>
    <w:rsid w:val="00AA7B75"/>
    <w:rsid w:val="00AB35DF"/>
    <w:rsid w:val="00AB454E"/>
    <w:rsid w:val="00AB67EF"/>
    <w:rsid w:val="00AC0393"/>
    <w:rsid w:val="00AC1695"/>
    <w:rsid w:val="00AC19D9"/>
    <w:rsid w:val="00AC259F"/>
    <w:rsid w:val="00AC2E99"/>
    <w:rsid w:val="00AC2F0F"/>
    <w:rsid w:val="00AC3E3B"/>
    <w:rsid w:val="00AC484C"/>
    <w:rsid w:val="00AC4C2C"/>
    <w:rsid w:val="00AC55E7"/>
    <w:rsid w:val="00AC64FC"/>
    <w:rsid w:val="00AC6D5D"/>
    <w:rsid w:val="00AC77A4"/>
    <w:rsid w:val="00AD047B"/>
    <w:rsid w:val="00AD0C7E"/>
    <w:rsid w:val="00AD2809"/>
    <w:rsid w:val="00AD28D6"/>
    <w:rsid w:val="00AD3ED6"/>
    <w:rsid w:val="00AD5312"/>
    <w:rsid w:val="00AD6662"/>
    <w:rsid w:val="00AE09F1"/>
    <w:rsid w:val="00AE0C44"/>
    <w:rsid w:val="00AE121A"/>
    <w:rsid w:val="00AE1C8B"/>
    <w:rsid w:val="00AE1D3D"/>
    <w:rsid w:val="00AE1D63"/>
    <w:rsid w:val="00AE2217"/>
    <w:rsid w:val="00AE41F9"/>
    <w:rsid w:val="00AE4449"/>
    <w:rsid w:val="00AE4564"/>
    <w:rsid w:val="00AE46FE"/>
    <w:rsid w:val="00AE492E"/>
    <w:rsid w:val="00AE50B0"/>
    <w:rsid w:val="00AE553C"/>
    <w:rsid w:val="00AE62C9"/>
    <w:rsid w:val="00AF1194"/>
    <w:rsid w:val="00AF283E"/>
    <w:rsid w:val="00AF2C80"/>
    <w:rsid w:val="00AF3C6D"/>
    <w:rsid w:val="00AF4655"/>
    <w:rsid w:val="00AF4825"/>
    <w:rsid w:val="00AF4914"/>
    <w:rsid w:val="00AF4B1B"/>
    <w:rsid w:val="00AF509E"/>
    <w:rsid w:val="00AF5275"/>
    <w:rsid w:val="00AF58B2"/>
    <w:rsid w:val="00AF7BE2"/>
    <w:rsid w:val="00AF7D53"/>
    <w:rsid w:val="00B000DD"/>
    <w:rsid w:val="00B0103B"/>
    <w:rsid w:val="00B01359"/>
    <w:rsid w:val="00B0163B"/>
    <w:rsid w:val="00B0218B"/>
    <w:rsid w:val="00B03273"/>
    <w:rsid w:val="00B04D10"/>
    <w:rsid w:val="00B05F68"/>
    <w:rsid w:val="00B07126"/>
    <w:rsid w:val="00B07A32"/>
    <w:rsid w:val="00B07E88"/>
    <w:rsid w:val="00B1002F"/>
    <w:rsid w:val="00B109D3"/>
    <w:rsid w:val="00B124B7"/>
    <w:rsid w:val="00B12E4B"/>
    <w:rsid w:val="00B137A2"/>
    <w:rsid w:val="00B14144"/>
    <w:rsid w:val="00B16F1D"/>
    <w:rsid w:val="00B16F85"/>
    <w:rsid w:val="00B175FD"/>
    <w:rsid w:val="00B200E1"/>
    <w:rsid w:val="00B201BE"/>
    <w:rsid w:val="00B205FD"/>
    <w:rsid w:val="00B21971"/>
    <w:rsid w:val="00B21F89"/>
    <w:rsid w:val="00B22069"/>
    <w:rsid w:val="00B22486"/>
    <w:rsid w:val="00B24D26"/>
    <w:rsid w:val="00B258F0"/>
    <w:rsid w:val="00B25C36"/>
    <w:rsid w:val="00B26D89"/>
    <w:rsid w:val="00B27344"/>
    <w:rsid w:val="00B306F7"/>
    <w:rsid w:val="00B31370"/>
    <w:rsid w:val="00B31A7C"/>
    <w:rsid w:val="00B32167"/>
    <w:rsid w:val="00B35116"/>
    <w:rsid w:val="00B353AD"/>
    <w:rsid w:val="00B35B3C"/>
    <w:rsid w:val="00B36AD8"/>
    <w:rsid w:val="00B36F45"/>
    <w:rsid w:val="00B40A08"/>
    <w:rsid w:val="00B40CA5"/>
    <w:rsid w:val="00B410DA"/>
    <w:rsid w:val="00B41B92"/>
    <w:rsid w:val="00B425C2"/>
    <w:rsid w:val="00B42712"/>
    <w:rsid w:val="00B439B9"/>
    <w:rsid w:val="00B43E6A"/>
    <w:rsid w:val="00B4446A"/>
    <w:rsid w:val="00B444D4"/>
    <w:rsid w:val="00B459D2"/>
    <w:rsid w:val="00B45C15"/>
    <w:rsid w:val="00B474E7"/>
    <w:rsid w:val="00B50A9C"/>
    <w:rsid w:val="00B50C12"/>
    <w:rsid w:val="00B50DBD"/>
    <w:rsid w:val="00B50DC1"/>
    <w:rsid w:val="00B52637"/>
    <w:rsid w:val="00B540DB"/>
    <w:rsid w:val="00B5482C"/>
    <w:rsid w:val="00B55D70"/>
    <w:rsid w:val="00B56AA2"/>
    <w:rsid w:val="00B60882"/>
    <w:rsid w:val="00B618D6"/>
    <w:rsid w:val="00B61F4F"/>
    <w:rsid w:val="00B6253D"/>
    <w:rsid w:val="00B62C7C"/>
    <w:rsid w:val="00B64249"/>
    <w:rsid w:val="00B6470E"/>
    <w:rsid w:val="00B64C3D"/>
    <w:rsid w:val="00B64DA5"/>
    <w:rsid w:val="00B65497"/>
    <w:rsid w:val="00B66357"/>
    <w:rsid w:val="00B669F3"/>
    <w:rsid w:val="00B66F89"/>
    <w:rsid w:val="00B70489"/>
    <w:rsid w:val="00B70A93"/>
    <w:rsid w:val="00B711B7"/>
    <w:rsid w:val="00B72327"/>
    <w:rsid w:val="00B72B1A"/>
    <w:rsid w:val="00B731B6"/>
    <w:rsid w:val="00B738C1"/>
    <w:rsid w:val="00B76245"/>
    <w:rsid w:val="00B7625D"/>
    <w:rsid w:val="00B7783B"/>
    <w:rsid w:val="00B8006D"/>
    <w:rsid w:val="00B81C97"/>
    <w:rsid w:val="00B82B71"/>
    <w:rsid w:val="00B83CC7"/>
    <w:rsid w:val="00B849B0"/>
    <w:rsid w:val="00B850DC"/>
    <w:rsid w:val="00B87498"/>
    <w:rsid w:val="00B90656"/>
    <w:rsid w:val="00B91F4E"/>
    <w:rsid w:val="00B92D32"/>
    <w:rsid w:val="00B931F8"/>
    <w:rsid w:val="00B937F4"/>
    <w:rsid w:val="00B9454B"/>
    <w:rsid w:val="00B9461D"/>
    <w:rsid w:val="00B97B5F"/>
    <w:rsid w:val="00BA2AD3"/>
    <w:rsid w:val="00BA2D46"/>
    <w:rsid w:val="00BA52E9"/>
    <w:rsid w:val="00BA5A03"/>
    <w:rsid w:val="00BA6701"/>
    <w:rsid w:val="00BA6DA2"/>
    <w:rsid w:val="00BA760C"/>
    <w:rsid w:val="00BA79AD"/>
    <w:rsid w:val="00BB0407"/>
    <w:rsid w:val="00BB1A0B"/>
    <w:rsid w:val="00BB224A"/>
    <w:rsid w:val="00BB2C03"/>
    <w:rsid w:val="00BB3F51"/>
    <w:rsid w:val="00BB4010"/>
    <w:rsid w:val="00BB44E3"/>
    <w:rsid w:val="00BB460B"/>
    <w:rsid w:val="00BB469C"/>
    <w:rsid w:val="00BB4CD7"/>
    <w:rsid w:val="00BB4DFD"/>
    <w:rsid w:val="00BB6510"/>
    <w:rsid w:val="00BC0372"/>
    <w:rsid w:val="00BC06AC"/>
    <w:rsid w:val="00BC2840"/>
    <w:rsid w:val="00BC4044"/>
    <w:rsid w:val="00BC4B2B"/>
    <w:rsid w:val="00BC4EBF"/>
    <w:rsid w:val="00BC6989"/>
    <w:rsid w:val="00BC69D1"/>
    <w:rsid w:val="00BC7062"/>
    <w:rsid w:val="00BD0368"/>
    <w:rsid w:val="00BD1624"/>
    <w:rsid w:val="00BD1A7E"/>
    <w:rsid w:val="00BD1D0E"/>
    <w:rsid w:val="00BD27A0"/>
    <w:rsid w:val="00BD2E61"/>
    <w:rsid w:val="00BD3326"/>
    <w:rsid w:val="00BD35B6"/>
    <w:rsid w:val="00BD3C35"/>
    <w:rsid w:val="00BD47F5"/>
    <w:rsid w:val="00BD4A80"/>
    <w:rsid w:val="00BD4E72"/>
    <w:rsid w:val="00BD55FB"/>
    <w:rsid w:val="00BD6947"/>
    <w:rsid w:val="00BD794E"/>
    <w:rsid w:val="00BE044A"/>
    <w:rsid w:val="00BE1BC9"/>
    <w:rsid w:val="00BE615E"/>
    <w:rsid w:val="00BE673F"/>
    <w:rsid w:val="00BE67A7"/>
    <w:rsid w:val="00BE7F80"/>
    <w:rsid w:val="00BF03C5"/>
    <w:rsid w:val="00BF05B4"/>
    <w:rsid w:val="00BF40F4"/>
    <w:rsid w:val="00BF43C1"/>
    <w:rsid w:val="00BF449B"/>
    <w:rsid w:val="00BF56BA"/>
    <w:rsid w:val="00BF5D4D"/>
    <w:rsid w:val="00BF5F66"/>
    <w:rsid w:val="00BF737E"/>
    <w:rsid w:val="00BF7514"/>
    <w:rsid w:val="00C007B4"/>
    <w:rsid w:val="00C011D4"/>
    <w:rsid w:val="00C013E0"/>
    <w:rsid w:val="00C015F7"/>
    <w:rsid w:val="00C024CA"/>
    <w:rsid w:val="00C026B4"/>
    <w:rsid w:val="00C046C6"/>
    <w:rsid w:val="00C04976"/>
    <w:rsid w:val="00C0514A"/>
    <w:rsid w:val="00C05B2D"/>
    <w:rsid w:val="00C05B93"/>
    <w:rsid w:val="00C06024"/>
    <w:rsid w:val="00C068F5"/>
    <w:rsid w:val="00C06A35"/>
    <w:rsid w:val="00C06E28"/>
    <w:rsid w:val="00C06EA7"/>
    <w:rsid w:val="00C06FD5"/>
    <w:rsid w:val="00C07D4E"/>
    <w:rsid w:val="00C10817"/>
    <w:rsid w:val="00C11620"/>
    <w:rsid w:val="00C131E9"/>
    <w:rsid w:val="00C13B63"/>
    <w:rsid w:val="00C15CD7"/>
    <w:rsid w:val="00C1632E"/>
    <w:rsid w:val="00C17119"/>
    <w:rsid w:val="00C20A14"/>
    <w:rsid w:val="00C21D26"/>
    <w:rsid w:val="00C22958"/>
    <w:rsid w:val="00C234F2"/>
    <w:rsid w:val="00C24C3D"/>
    <w:rsid w:val="00C250F3"/>
    <w:rsid w:val="00C266AD"/>
    <w:rsid w:val="00C3241F"/>
    <w:rsid w:val="00C33284"/>
    <w:rsid w:val="00C3331A"/>
    <w:rsid w:val="00C33AAF"/>
    <w:rsid w:val="00C33E04"/>
    <w:rsid w:val="00C34FAE"/>
    <w:rsid w:val="00C36229"/>
    <w:rsid w:val="00C36476"/>
    <w:rsid w:val="00C3691B"/>
    <w:rsid w:val="00C42616"/>
    <w:rsid w:val="00C451C5"/>
    <w:rsid w:val="00C45304"/>
    <w:rsid w:val="00C45639"/>
    <w:rsid w:val="00C47A8A"/>
    <w:rsid w:val="00C47D3F"/>
    <w:rsid w:val="00C50F9A"/>
    <w:rsid w:val="00C511B9"/>
    <w:rsid w:val="00C52439"/>
    <w:rsid w:val="00C544DB"/>
    <w:rsid w:val="00C54F93"/>
    <w:rsid w:val="00C57856"/>
    <w:rsid w:val="00C57E30"/>
    <w:rsid w:val="00C60629"/>
    <w:rsid w:val="00C62FAF"/>
    <w:rsid w:val="00C630BF"/>
    <w:rsid w:val="00C6365E"/>
    <w:rsid w:val="00C63C84"/>
    <w:rsid w:val="00C6422F"/>
    <w:rsid w:val="00C66B9D"/>
    <w:rsid w:val="00C67150"/>
    <w:rsid w:val="00C672EA"/>
    <w:rsid w:val="00C70289"/>
    <w:rsid w:val="00C71644"/>
    <w:rsid w:val="00C716D6"/>
    <w:rsid w:val="00C7271C"/>
    <w:rsid w:val="00C72901"/>
    <w:rsid w:val="00C72EDD"/>
    <w:rsid w:val="00C7339A"/>
    <w:rsid w:val="00C746D2"/>
    <w:rsid w:val="00C75B2E"/>
    <w:rsid w:val="00C76EC8"/>
    <w:rsid w:val="00C779B1"/>
    <w:rsid w:val="00C77C20"/>
    <w:rsid w:val="00C8057E"/>
    <w:rsid w:val="00C80C3E"/>
    <w:rsid w:val="00C833DC"/>
    <w:rsid w:val="00C8425B"/>
    <w:rsid w:val="00C84260"/>
    <w:rsid w:val="00C842F9"/>
    <w:rsid w:val="00C843E4"/>
    <w:rsid w:val="00C90D43"/>
    <w:rsid w:val="00C91BF3"/>
    <w:rsid w:val="00C91E60"/>
    <w:rsid w:val="00C92EDF"/>
    <w:rsid w:val="00C95AD1"/>
    <w:rsid w:val="00C96380"/>
    <w:rsid w:val="00C96A50"/>
    <w:rsid w:val="00C97090"/>
    <w:rsid w:val="00C974A7"/>
    <w:rsid w:val="00C97F02"/>
    <w:rsid w:val="00CA0F9E"/>
    <w:rsid w:val="00CA153D"/>
    <w:rsid w:val="00CA161B"/>
    <w:rsid w:val="00CA1B36"/>
    <w:rsid w:val="00CA35B8"/>
    <w:rsid w:val="00CA443F"/>
    <w:rsid w:val="00CA4A04"/>
    <w:rsid w:val="00CA5C4A"/>
    <w:rsid w:val="00CA644F"/>
    <w:rsid w:val="00CA71C5"/>
    <w:rsid w:val="00CA779A"/>
    <w:rsid w:val="00CA7B6A"/>
    <w:rsid w:val="00CB2213"/>
    <w:rsid w:val="00CB2EB0"/>
    <w:rsid w:val="00CB42E5"/>
    <w:rsid w:val="00CB49E7"/>
    <w:rsid w:val="00CB50BB"/>
    <w:rsid w:val="00CB578C"/>
    <w:rsid w:val="00CB628F"/>
    <w:rsid w:val="00CB67B4"/>
    <w:rsid w:val="00CB78BC"/>
    <w:rsid w:val="00CC0719"/>
    <w:rsid w:val="00CC0CB6"/>
    <w:rsid w:val="00CC10F8"/>
    <w:rsid w:val="00CC12E0"/>
    <w:rsid w:val="00CC133B"/>
    <w:rsid w:val="00CC2338"/>
    <w:rsid w:val="00CC35CE"/>
    <w:rsid w:val="00CC3895"/>
    <w:rsid w:val="00CC4E37"/>
    <w:rsid w:val="00CC4F03"/>
    <w:rsid w:val="00CC5345"/>
    <w:rsid w:val="00CC54F6"/>
    <w:rsid w:val="00CC589E"/>
    <w:rsid w:val="00CC5E4F"/>
    <w:rsid w:val="00CC647A"/>
    <w:rsid w:val="00CC68A1"/>
    <w:rsid w:val="00CC7E2B"/>
    <w:rsid w:val="00CD063D"/>
    <w:rsid w:val="00CD0F32"/>
    <w:rsid w:val="00CD3194"/>
    <w:rsid w:val="00CD368D"/>
    <w:rsid w:val="00CD3A82"/>
    <w:rsid w:val="00CD3DFD"/>
    <w:rsid w:val="00CD41FA"/>
    <w:rsid w:val="00CD5774"/>
    <w:rsid w:val="00CD5F00"/>
    <w:rsid w:val="00CD7356"/>
    <w:rsid w:val="00CD75A7"/>
    <w:rsid w:val="00CE0113"/>
    <w:rsid w:val="00CE1002"/>
    <w:rsid w:val="00CE250C"/>
    <w:rsid w:val="00CE3127"/>
    <w:rsid w:val="00CE37F7"/>
    <w:rsid w:val="00CE501F"/>
    <w:rsid w:val="00CE5186"/>
    <w:rsid w:val="00CE5F1A"/>
    <w:rsid w:val="00CE7352"/>
    <w:rsid w:val="00CE735E"/>
    <w:rsid w:val="00CE74D4"/>
    <w:rsid w:val="00CF0598"/>
    <w:rsid w:val="00CF09CF"/>
    <w:rsid w:val="00CF1CB5"/>
    <w:rsid w:val="00CF1E6D"/>
    <w:rsid w:val="00CF2B9C"/>
    <w:rsid w:val="00CF3744"/>
    <w:rsid w:val="00CF65B2"/>
    <w:rsid w:val="00D00CE5"/>
    <w:rsid w:val="00D01794"/>
    <w:rsid w:val="00D018CD"/>
    <w:rsid w:val="00D024D8"/>
    <w:rsid w:val="00D03410"/>
    <w:rsid w:val="00D03717"/>
    <w:rsid w:val="00D038D0"/>
    <w:rsid w:val="00D04A06"/>
    <w:rsid w:val="00D04A47"/>
    <w:rsid w:val="00D04EC3"/>
    <w:rsid w:val="00D07518"/>
    <w:rsid w:val="00D108B2"/>
    <w:rsid w:val="00D143D5"/>
    <w:rsid w:val="00D1474B"/>
    <w:rsid w:val="00D15B12"/>
    <w:rsid w:val="00D15EE6"/>
    <w:rsid w:val="00D16401"/>
    <w:rsid w:val="00D16CF1"/>
    <w:rsid w:val="00D17A8E"/>
    <w:rsid w:val="00D20E92"/>
    <w:rsid w:val="00D211C5"/>
    <w:rsid w:val="00D21CB5"/>
    <w:rsid w:val="00D252D1"/>
    <w:rsid w:val="00D25C67"/>
    <w:rsid w:val="00D327A1"/>
    <w:rsid w:val="00D3280B"/>
    <w:rsid w:val="00D332B5"/>
    <w:rsid w:val="00D34577"/>
    <w:rsid w:val="00D34B7E"/>
    <w:rsid w:val="00D355CC"/>
    <w:rsid w:val="00D37A2F"/>
    <w:rsid w:val="00D40A42"/>
    <w:rsid w:val="00D41584"/>
    <w:rsid w:val="00D42F0C"/>
    <w:rsid w:val="00D43B91"/>
    <w:rsid w:val="00D43DA1"/>
    <w:rsid w:val="00D45DEE"/>
    <w:rsid w:val="00D465BF"/>
    <w:rsid w:val="00D471AC"/>
    <w:rsid w:val="00D4767D"/>
    <w:rsid w:val="00D477A5"/>
    <w:rsid w:val="00D50784"/>
    <w:rsid w:val="00D51874"/>
    <w:rsid w:val="00D51C77"/>
    <w:rsid w:val="00D51E13"/>
    <w:rsid w:val="00D51E53"/>
    <w:rsid w:val="00D53197"/>
    <w:rsid w:val="00D552C8"/>
    <w:rsid w:val="00D5579C"/>
    <w:rsid w:val="00D55AE4"/>
    <w:rsid w:val="00D578FA"/>
    <w:rsid w:val="00D57CF6"/>
    <w:rsid w:val="00D61938"/>
    <w:rsid w:val="00D64622"/>
    <w:rsid w:val="00D67F7A"/>
    <w:rsid w:val="00D75981"/>
    <w:rsid w:val="00D76401"/>
    <w:rsid w:val="00D7654D"/>
    <w:rsid w:val="00D76584"/>
    <w:rsid w:val="00D825D7"/>
    <w:rsid w:val="00D83BC6"/>
    <w:rsid w:val="00D84127"/>
    <w:rsid w:val="00D8489A"/>
    <w:rsid w:val="00D9256D"/>
    <w:rsid w:val="00D92B76"/>
    <w:rsid w:val="00D92C13"/>
    <w:rsid w:val="00D92C98"/>
    <w:rsid w:val="00D93CC6"/>
    <w:rsid w:val="00D9410D"/>
    <w:rsid w:val="00D947BA"/>
    <w:rsid w:val="00D9789C"/>
    <w:rsid w:val="00D97A27"/>
    <w:rsid w:val="00D97FBC"/>
    <w:rsid w:val="00DA0F0E"/>
    <w:rsid w:val="00DA28BD"/>
    <w:rsid w:val="00DA2AD7"/>
    <w:rsid w:val="00DA2E6A"/>
    <w:rsid w:val="00DA33E8"/>
    <w:rsid w:val="00DA3EA0"/>
    <w:rsid w:val="00DA4AE8"/>
    <w:rsid w:val="00DA4C52"/>
    <w:rsid w:val="00DA524D"/>
    <w:rsid w:val="00DA612D"/>
    <w:rsid w:val="00DB0646"/>
    <w:rsid w:val="00DB29A0"/>
    <w:rsid w:val="00DB3C2B"/>
    <w:rsid w:val="00DB5937"/>
    <w:rsid w:val="00DB62B9"/>
    <w:rsid w:val="00DC09FB"/>
    <w:rsid w:val="00DC1C2B"/>
    <w:rsid w:val="00DC2740"/>
    <w:rsid w:val="00DC30C9"/>
    <w:rsid w:val="00DC3133"/>
    <w:rsid w:val="00DC367F"/>
    <w:rsid w:val="00DC37EF"/>
    <w:rsid w:val="00DC3B16"/>
    <w:rsid w:val="00DC55EB"/>
    <w:rsid w:val="00DC5AE5"/>
    <w:rsid w:val="00DC5B60"/>
    <w:rsid w:val="00DC7786"/>
    <w:rsid w:val="00DD1584"/>
    <w:rsid w:val="00DD1A21"/>
    <w:rsid w:val="00DD26CE"/>
    <w:rsid w:val="00DD4F8B"/>
    <w:rsid w:val="00DD706C"/>
    <w:rsid w:val="00DD7177"/>
    <w:rsid w:val="00DD7835"/>
    <w:rsid w:val="00DE0F61"/>
    <w:rsid w:val="00DE15A4"/>
    <w:rsid w:val="00DE4A8A"/>
    <w:rsid w:val="00DE4DF1"/>
    <w:rsid w:val="00DE51E3"/>
    <w:rsid w:val="00DE5559"/>
    <w:rsid w:val="00DE581C"/>
    <w:rsid w:val="00DE5A1A"/>
    <w:rsid w:val="00DE62BC"/>
    <w:rsid w:val="00DE6481"/>
    <w:rsid w:val="00DE65E9"/>
    <w:rsid w:val="00DE7A3F"/>
    <w:rsid w:val="00DE7F05"/>
    <w:rsid w:val="00DF2D43"/>
    <w:rsid w:val="00DF30BA"/>
    <w:rsid w:val="00DF4995"/>
    <w:rsid w:val="00DF4BAC"/>
    <w:rsid w:val="00DF4D21"/>
    <w:rsid w:val="00DF4EC6"/>
    <w:rsid w:val="00DF5E55"/>
    <w:rsid w:val="00DF7D1D"/>
    <w:rsid w:val="00E01018"/>
    <w:rsid w:val="00E01D89"/>
    <w:rsid w:val="00E03135"/>
    <w:rsid w:val="00E0398F"/>
    <w:rsid w:val="00E048C8"/>
    <w:rsid w:val="00E050FB"/>
    <w:rsid w:val="00E0583E"/>
    <w:rsid w:val="00E05866"/>
    <w:rsid w:val="00E05B09"/>
    <w:rsid w:val="00E05E6D"/>
    <w:rsid w:val="00E0704C"/>
    <w:rsid w:val="00E07DD1"/>
    <w:rsid w:val="00E10804"/>
    <w:rsid w:val="00E11EDB"/>
    <w:rsid w:val="00E128AA"/>
    <w:rsid w:val="00E13090"/>
    <w:rsid w:val="00E13A73"/>
    <w:rsid w:val="00E14990"/>
    <w:rsid w:val="00E169B3"/>
    <w:rsid w:val="00E16D53"/>
    <w:rsid w:val="00E17CD2"/>
    <w:rsid w:val="00E21413"/>
    <w:rsid w:val="00E22AC9"/>
    <w:rsid w:val="00E23056"/>
    <w:rsid w:val="00E24C2E"/>
    <w:rsid w:val="00E24CE3"/>
    <w:rsid w:val="00E2570A"/>
    <w:rsid w:val="00E257CC"/>
    <w:rsid w:val="00E26814"/>
    <w:rsid w:val="00E2684B"/>
    <w:rsid w:val="00E2734F"/>
    <w:rsid w:val="00E30985"/>
    <w:rsid w:val="00E3225B"/>
    <w:rsid w:val="00E3330F"/>
    <w:rsid w:val="00E333C4"/>
    <w:rsid w:val="00E33602"/>
    <w:rsid w:val="00E3378D"/>
    <w:rsid w:val="00E3711A"/>
    <w:rsid w:val="00E371B7"/>
    <w:rsid w:val="00E373A6"/>
    <w:rsid w:val="00E37A83"/>
    <w:rsid w:val="00E40DC2"/>
    <w:rsid w:val="00E42DB4"/>
    <w:rsid w:val="00E444C3"/>
    <w:rsid w:val="00E45EAA"/>
    <w:rsid w:val="00E45EDF"/>
    <w:rsid w:val="00E46004"/>
    <w:rsid w:val="00E465F6"/>
    <w:rsid w:val="00E5009F"/>
    <w:rsid w:val="00E50769"/>
    <w:rsid w:val="00E50A47"/>
    <w:rsid w:val="00E51D17"/>
    <w:rsid w:val="00E52261"/>
    <w:rsid w:val="00E52E7C"/>
    <w:rsid w:val="00E558D9"/>
    <w:rsid w:val="00E56856"/>
    <w:rsid w:val="00E57030"/>
    <w:rsid w:val="00E5710A"/>
    <w:rsid w:val="00E57C43"/>
    <w:rsid w:val="00E57F3A"/>
    <w:rsid w:val="00E6027F"/>
    <w:rsid w:val="00E60AC5"/>
    <w:rsid w:val="00E60DFF"/>
    <w:rsid w:val="00E60EE7"/>
    <w:rsid w:val="00E61875"/>
    <w:rsid w:val="00E62104"/>
    <w:rsid w:val="00E672A6"/>
    <w:rsid w:val="00E6768B"/>
    <w:rsid w:val="00E678BE"/>
    <w:rsid w:val="00E71557"/>
    <w:rsid w:val="00E71E20"/>
    <w:rsid w:val="00E72720"/>
    <w:rsid w:val="00E72942"/>
    <w:rsid w:val="00E73014"/>
    <w:rsid w:val="00E732E8"/>
    <w:rsid w:val="00E7369E"/>
    <w:rsid w:val="00E73F88"/>
    <w:rsid w:val="00E752E2"/>
    <w:rsid w:val="00E75463"/>
    <w:rsid w:val="00E7777C"/>
    <w:rsid w:val="00E77951"/>
    <w:rsid w:val="00E77B4E"/>
    <w:rsid w:val="00E77BE5"/>
    <w:rsid w:val="00E77E4A"/>
    <w:rsid w:val="00E77F89"/>
    <w:rsid w:val="00E80193"/>
    <w:rsid w:val="00E8060D"/>
    <w:rsid w:val="00E80DA0"/>
    <w:rsid w:val="00E80E49"/>
    <w:rsid w:val="00E81F6B"/>
    <w:rsid w:val="00E823D2"/>
    <w:rsid w:val="00E83CBC"/>
    <w:rsid w:val="00E83ED9"/>
    <w:rsid w:val="00E87286"/>
    <w:rsid w:val="00E90753"/>
    <w:rsid w:val="00E91BB6"/>
    <w:rsid w:val="00E91CB6"/>
    <w:rsid w:val="00E922F9"/>
    <w:rsid w:val="00E93706"/>
    <w:rsid w:val="00E95099"/>
    <w:rsid w:val="00E950F0"/>
    <w:rsid w:val="00E97369"/>
    <w:rsid w:val="00E97A30"/>
    <w:rsid w:val="00EA0C38"/>
    <w:rsid w:val="00EA0ECC"/>
    <w:rsid w:val="00EA1BDE"/>
    <w:rsid w:val="00EA1F6C"/>
    <w:rsid w:val="00EA2A8C"/>
    <w:rsid w:val="00EA3A57"/>
    <w:rsid w:val="00EA3F7B"/>
    <w:rsid w:val="00EA4366"/>
    <w:rsid w:val="00EA58D1"/>
    <w:rsid w:val="00EA6AC0"/>
    <w:rsid w:val="00EA7641"/>
    <w:rsid w:val="00EA7762"/>
    <w:rsid w:val="00EB237E"/>
    <w:rsid w:val="00EB2528"/>
    <w:rsid w:val="00EB288F"/>
    <w:rsid w:val="00EB307C"/>
    <w:rsid w:val="00EB4600"/>
    <w:rsid w:val="00EB5EB2"/>
    <w:rsid w:val="00EC3063"/>
    <w:rsid w:val="00EC3E51"/>
    <w:rsid w:val="00EC442C"/>
    <w:rsid w:val="00EC473C"/>
    <w:rsid w:val="00EC70A7"/>
    <w:rsid w:val="00EC77B2"/>
    <w:rsid w:val="00EC7C53"/>
    <w:rsid w:val="00ED0919"/>
    <w:rsid w:val="00ED1406"/>
    <w:rsid w:val="00ED1CE0"/>
    <w:rsid w:val="00ED3DD7"/>
    <w:rsid w:val="00ED5748"/>
    <w:rsid w:val="00ED633C"/>
    <w:rsid w:val="00ED7C78"/>
    <w:rsid w:val="00EE0DDE"/>
    <w:rsid w:val="00EE1584"/>
    <w:rsid w:val="00EE221F"/>
    <w:rsid w:val="00EE4445"/>
    <w:rsid w:val="00EE5DA5"/>
    <w:rsid w:val="00EE79D7"/>
    <w:rsid w:val="00EF13B8"/>
    <w:rsid w:val="00EF34A0"/>
    <w:rsid w:val="00EF37DD"/>
    <w:rsid w:val="00EF4F11"/>
    <w:rsid w:val="00EF54DE"/>
    <w:rsid w:val="00EF5A40"/>
    <w:rsid w:val="00EF5BCF"/>
    <w:rsid w:val="00EF5D61"/>
    <w:rsid w:val="00EF70D5"/>
    <w:rsid w:val="00EF74DE"/>
    <w:rsid w:val="00EF7A8F"/>
    <w:rsid w:val="00F007F3"/>
    <w:rsid w:val="00F00C64"/>
    <w:rsid w:val="00F01EB9"/>
    <w:rsid w:val="00F02E8D"/>
    <w:rsid w:val="00F030B2"/>
    <w:rsid w:val="00F039B2"/>
    <w:rsid w:val="00F03F5D"/>
    <w:rsid w:val="00F0533A"/>
    <w:rsid w:val="00F056C8"/>
    <w:rsid w:val="00F05B4E"/>
    <w:rsid w:val="00F05DB5"/>
    <w:rsid w:val="00F06D54"/>
    <w:rsid w:val="00F07729"/>
    <w:rsid w:val="00F07FD1"/>
    <w:rsid w:val="00F10357"/>
    <w:rsid w:val="00F11470"/>
    <w:rsid w:val="00F11605"/>
    <w:rsid w:val="00F1254B"/>
    <w:rsid w:val="00F12A03"/>
    <w:rsid w:val="00F1328C"/>
    <w:rsid w:val="00F134F1"/>
    <w:rsid w:val="00F13B4D"/>
    <w:rsid w:val="00F14B11"/>
    <w:rsid w:val="00F1541A"/>
    <w:rsid w:val="00F15CC0"/>
    <w:rsid w:val="00F16A9C"/>
    <w:rsid w:val="00F17185"/>
    <w:rsid w:val="00F214E2"/>
    <w:rsid w:val="00F240B5"/>
    <w:rsid w:val="00F24F01"/>
    <w:rsid w:val="00F25027"/>
    <w:rsid w:val="00F2564E"/>
    <w:rsid w:val="00F261C1"/>
    <w:rsid w:val="00F27453"/>
    <w:rsid w:val="00F301F8"/>
    <w:rsid w:val="00F31501"/>
    <w:rsid w:val="00F31AA7"/>
    <w:rsid w:val="00F322CE"/>
    <w:rsid w:val="00F323C1"/>
    <w:rsid w:val="00F40D80"/>
    <w:rsid w:val="00F40FFE"/>
    <w:rsid w:val="00F4182A"/>
    <w:rsid w:val="00F41E26"/>
    <w:rsid w:val="00F44DC6"/>
    <w:rsid w:val="00F4503F"/>
    <w:rsid w:val="00F45B79"/>
    <w:rsid w:val="00F47552"/>
    <w:rsid w:val="00F47CD9"/>
    <w:rsid w:val="00F50697"/>
    <w:rsid w:val="00F5074E"/>
    <w:rsid w:val="00F50A9E"/>
    <w:rsid w:val="00F50DDC"/>
    <w:rsid w:val="00F51A22"/>
    <w:rsid w:val="00F52E7A"/>
    <w:rsid w:val="00F5322E"/>
    <w:rsid w:val="00F53CEA"/>
    <w:rsid w:val="00F53FBA"/>
    <w:rsid w:val="00F540F8"/>
    <w:rsid w:val="00F5694C"/>
    <w:rsid w:val="00F56B73"/>
    <w:rsid w:val="00F571C4"/>
    <w:rsid w:val="00F600B9"/>
    <w:rsid w:val="00F60383"/>
    <w:rsid w:val="00F615FB"/>
    <w:rsid w:val="00F64997"/>
    <w:rsid w:val="00F65D5F"/>
    <w:rsid w:val="00F65E87"/>
    <w:rsid w:val="00F662A3"/>
    <w:rsid w:val="00F66903"/>
    <w:rsid w:val="00F67AA9"/>
    <w:rsid w:val="00F67CA0"/>
    <w:rsid w:val="00F70AEB"/>
    <w:rsid w:val="00F71B57"/>
    <w:rsid w:val="00F72021"/>
    <w:rsid w:val="00F7204B"/>
    <w:rsid w:val="00F72DEB"/>
    <w:rsid w:val="00F7454B"/>
    <w:rsid w:val="00F749D7"/>
    <w:rsid w:val="00F750C4"/>
    <w:rsid w:val="00F759A7"/>
    <w:rsid w:val="00F8009C"/>
    <w:rsid w:val="00F8033E"/>
    <w:rsid w:val="00F80B75"/>
    <w:rsid w:val="00F815FD"/>
    <w:rsid w:val="00F81A67"/>
    <w:rsid w:val="00F81CF0"/>
    <w:rsid w:val="00F82C96"/>
    <w:rsid w:val="00F83776"/>
    <w:rsid w:val="00F84751"/>
    <w:rsid w:val="00F85211"/>
    <w:rsid w:val="00F85612"/>
    <w:rsid w:val="00F862EE"/>
    <w:rsid w:val="00F874C2"/>
    <w:rsid w:val="00F90B7B"/>
    <w:rsid w:val="00F90CE6"/>
    <w:rsid w:val="00F92122"/>
    <w:rsid w:val="00F925FA"/>
    <w:rsid w:val="00F93877"/>
    <w:rsid w:val="00F941C4"/>
    <w:rsid w:val="00F94873"/>
    <w:rsid w:val="00F94D26"/>
    <w:rsid w:val="00F965F7"/>
    <w:rsid w:val="00F96C81"/>
    <w:rsid w:val="00F9798D"/>
    <w:rsid w:val="00F97DC7"/>
    <w:rsid w:val="00FA1E93"/>
    <w:rsid w:val="00FA2081"/>
    <w:rsid w:val="00FA219C"/>
    <w:rsid w:val="00FA4C5C"/>
    <w:rsid w:val="00FA5025"/>
    <w:rsid w:val="00FA60BB"/>
    <w:rsid w:val="00FA6200"/>
    <w:rsid w:val="00FA63CA"/>
    <w:rsid w:val="00FA6511"/>
    <w:rsid w:val="00FA6ABE"/>
    <w:rsid w:val="00FA6D21"/>
    <w:rsid w:val="00FA6FD0"/>
    <w:rsid w:val="00FA7E9D"/>
    <w:rsid w:val="00FB076D"/>
    <w:rsid w:val="00FB0984"/>
    <w:rsid w:val="00FB1638"/>
    <w:rsid w:val="00FB2317"/>
    <w:rsid w:val="00FB2D6C"/>
    <w:rsid w:val="00FB5416"/>
    <w:rsid w:val="00FB6F17"/>
    <w:rsid w:val="00FB78A1"/>
    <w:rsid w:val="00FB7ED0"/>
    <w:rsid w:val="00FC0765"/>
    <w:rsid w:val="00FC0F12"/>
    <w:rsid w:val="00FC17EB"/>
    <w:rsid w:val="00FC2437"/>
    <w:rsid w:val="00FC2CFD"/>
    <w:rsid w:val="00FC2D63"/>
    <w:rsid w:val="00FC4160"/>
    <w:rsid w:val="00FC4576"/>
    <w:rsid w:val="00FC5594"/>
    <w:rsid w:val="00FC6786"/>
    <w:rsid w:val="00FC67BC"/>
    <w:rsid w:val="00FC6C27"/>
    <w:rsid w:val="00FC6F89"/>
    <w:rsid w:val="00FC7811"/>
    <w:rsid w:val="00FC7CFC"/>
    <w:rsid w:val="00FD17D5"/>
    <w:rsid w:val="00FD1E78"/>
    <w:rsid w:val="00FD30E6"/>
    <w:rsid w:val="00FD4DB0"/>
    <w:rsid w:val="00FD5004"/>
    <w:rsid w:val="00FD584D"/>
    <w:rsid w:val="00FD695E"/>
    <w:rsid w:val="00FE09D4"/>
    <w:rsid w:val="00FE0AB2"/>
    <w:rsid w:val="00FE0C4D"/>
    <w:rsid w:val="00FE104B"/>
    <w:rsid w:val="00FE2208"/>
    <w:rsid w:val="00FE2333"/>
    <w:rsid w:val="00FE41DC"/>
    <w:rsid w:val="00FF1B93"/>
    <w:rsid w:val="00FF1E47"/>
    <w:rsid w:val="00FF1F7D"/>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544E4"/>
  <w15:docId w15:val="{200841A1-D77F-4754-B241-DB5FF9536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7808B5"/>
    <w:pPr>
      <w:spacing w:line="180" w:lineRule="exact"/>
    </w:pPr>
    <w:rPr>
      <w:rFonts w:eastAsia="Times New Roman" w:cs="Times New Roman"/>
      <w:szCs w:val="20"/>
    </w:rPr>
  </w:style>
  <w:style w:type="paragraph" w:styleId="Rubrik1">
    <w:name w:val="heading 1"/>
    <w:basedOn w:val="RKbas"/>
    <w:next w:val="Brdtext"/>
    <w:link w:val="Rubrik1Char"/>
    <w:qFormat/>
    <w:rsid w:val="007808B5"/>
    <w:pPr>
      <w:keepNext/>
      <w:numPr>
        <w:numId w:val="25"/>
      </w:numPr>
      <w:spacing w:before="720" w:after="240"/>
      <w:outlineLvl w:val="0"/>
    </w:pPr>
    <w:rPr>
      <w:kern w:val="28"/>
      <w:sz w:val="30"/>
    </w:rPr>
  </w:style>
  <w:style w:type="paragraph" w:styleId="Rubrik2">
    <w:name w:val="heading 2"/>
    <w:basedOn w:val="RKbas"/>
    <w:next w:val="Brdtext"/>
    <w:link w:val="Rubrik2Char"/>
    <w:qFormat/>
    <w:rsid w:val="007808B5"/>
    <w:pPr>
      <w:keepNext/>
      <w:numPr>
        <w:ilvl w:val="1"/>
        <w:numId w:val="25"/>
      </w:numPr>
      <w:spacing w:before="480" w:after="160"/>
      <w:outlineLvl w:val="1"/>
    </w:pPr>
    <w:rPr>
      <w:sz w:val="26"/>
    </w:rPr>
  </w:style>
  <w:style w:type="paragraph" w:styleId="Rubrik3">
    <w:name w:val="heading 3"/>
    <w:basedOn w:val="RKbas"/>
    <w:next w:val="Brdtext"/>
    <w:link w:val="Rubrik3Char"/>
    <w:qFormat/>
    <w:rsid w:val="007808B5"/>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7808B5"/>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808B5"/>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808B5"/>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808B5"/>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808B5"/>
    <w:pPr>
      <w:keepNext/>
      <w:keepLines/>
      <w:numPr>
        <w:ilvl w:val="7"/>
        <w:numId w:val="14"/>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808B5"/>
    <w:pPr>
      <w:keepNext/>
      <w:keepLines/>
      <w:numPr>
        <w:ilvl w:val="8"/>
        <w:numId w:val="14"/>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7808B5"/>
    <w:pPr>
      <w:spacing w:after="0" w:line="240" w:lineRule="auto"/>
    </w:pPr>
    <w:rPr>
      <w:rFonts w:ascii="Times New Roman" w:hAnsi="Times New Roman"/>
      <w:sz w:val="18"/>
    </w:rPr>
  </w:style>
  <w:style w:type="paragraph" w:styleId="Brdtext">
    <w:name w:val="Body Text"/>
    <w:basedOn w:val="RKbas"/>
    <w:next w:val="Brdtextmedindrag"/>
    <w:link w:val="BrdtextChar"/>
    <w:qFormat/>
    <w:rsid w:val="007808B5"/>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7808B5"/>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7808B5"/>
    <w:pPr>
      <w:ind w:firstLine="170"/>
    </w:pPr>
  </w:style>
  <w:style w:type="character" w:customStyle="1" w:styleId="BrdtextmedindragChar">
    <w:name w:val="Brödtext med indrag Char"/>
    <w:basedOn w:val="Standardstycketeckensnitt"/>
    <w:link w:val="Brdtextmedindrag"/>
    <w:rsid w:val="007808B5"/>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7808B5"/>
    <w:rPr>
      <w:rFonts w:ascii="Times New Roman" w:hAnsi="Times New Roman"/>
      <w:kern w:val="28"/>
      <w:sz w:val="30"/>
    </w:rPr>
  </w:style>
  <w:style w:type="character" w:customStyle="1" w:styleId="Rubrik2Char">
    <w:name w:val="Rubrik 2 Char"/>
    <w:basedOn w:val="Standardstycketeckensnitt"/>
    <w:link w:val="Rubrik2"/>
    <w:rsid w:val="007808B5"/>
    <w:rPr>
      <w:rFonts w:ascii="Times New Roman" w:hAnsi="Times New Roman"/>
      <w:sz w:val="26"/>
    </w:rPr>
  </w:style>
  <w:style w:type="character" w:customStyle="1" w:styleId="Rubrik3Char">
    <w:name w:val="Rubrik 3 Char"/>
    <w:basedOn w:val="Standardstycketeckensnitt"/>
    <w:link w:val="Rubrik3"/>
    <w:rsid w:val="007808B5"/>
    <w:rPr>
      <w:rFonts w:ascii="Times New Roman" w:hAnsi="Times New Roman"/>
      <w:b/>
      <w:sz w:val="23"/>
    </w:rPr>
  </w:style>
  <w:style w:type="character" w:customStyle="1" w:styleId="Rubrik4Char">
    <w:name w:val="Rubrik 4 Char"/>
    <w:basedOn w:val="Standardstycketeckensnitt"/>
    <w:link w:val="Rubrik4"/>
    <w:semiHidden/>
    <w:rsid w:val="007808B5"/>
    <w:rPr>
      <w:rFonts w:ascii="Times New Roman" w:eastAsiaTheme="majorEastAsia" w:hAnsi="Times New Roman" w:cstheme="majorBidi"/>
      <w:b/>
      <w:bCs/>
      <w:iCs/>
      <w:sz w:val="20"/>
    </w:rPr>
  </w:style>
  <w:style w:type="character" w:customStyle="1" w:styleId="Rubrik5Char">
    <w:name w:val="Rubrik 5 Char"/>
    <w:basedOn w:val="Standardstycketeckensnitt"/>
    <w:link w:val="Rubrik5"/>
    <w:semiHidden/>
    <w:rsid w:val="007808B5"/>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semiHidden/>
    <w:rsid w:val="007808B5"/>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semiHidden/>
    <w:rsid w:val="007808B5"/>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semiHidden/>
    <w:rsid w:val="007808B5"/>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semiHidden/>
    <w:rsid w:val="007808B5"/>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7808B5"/>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7808B5"/>
    <w:rPr>
      <w:rFonts w:ascii="Times New Roman" w:hAnsi="Times New Roman"/>
      <w:sz w:val="18"/>
    </w:rPr>
  </w:style>
  <w:style w:type="character" w:customStyle="1" w:styleId="Rubrik1utannumreringChar">
    <w:name w:val="Rubrik 1 utan numrering Char"/>
    <w:basedOn w:val="RKbasChar"/>
    <w:link w:val="Rubrik1utannumrering"/>
    <w:uiPriority w:val="14"/>
    <w:rsid w:val="007808B5"/>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7808B5"/>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7808B5"/>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7808B5"/>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7808B5"/>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7808B5"/>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7808B5"/>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7808B5"/>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7808B5"/>
    <w:rPr>
      <w:rFonts w:ascii="Times New Roman" w:hAnsi="Times New Roman"/>
      <w:i/>
      <w:sz w:val="20"/>
    </w:rPr>
  </w:style>
  <w:style w:type="paragraph" w:customStyle="1" w:styleId="FigurRubrik">
    <w:name w:val="Figur Rubrik"/>
    <w:basedOn w:val="RKbas"/>
    <w:next w:val="FigurUnderrubrik"/>
    <w:link w:val="FigurRubrikChar"/>
    <w:rsid w:val="007808B5"/>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7808B5"/>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7808B5"/>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7808B5"/>
    <w:rPr>
      <w:rFonts w:ascii="TradeGothic" w:eastAsia="Times New Roman" w:hAnsi="TradeGothic" w:cs="Times New Roman"/>
      <w:sz w:val="17"/>
      <w:szCs w:val="20"/>
    </w:rPr>
  </w:style>
  <w:style w:type="paragraph" w:styleId="Fotnotstext">
    <w:name w:val="footnote text"/>
    <w:basedOn w:val="RKbas"/>
    <w:link w:val="FotnotstextChar"/>
    <w:uiPriority w:val="4"/>
    <w:rsid w:val="007808B5"/>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7808B5"/>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7808B5"/>
    <w:rPr>
      <w:vertAlign w:val="superscript"/>
    </w:rPr>
  </w:style>
  <w:style w:type="paragraph" w:customStyle="1" w:styleId="Bilagarubrik">
    <w:name w:val="Bilaga rubrik"/>
    <w:basedOn w:val="Proprubrik"/>
    <w:next w:val="Brdtext"/>
    <w:link w:val="BilagarubrikChar"/>
    <w:rsid w:val="007808B5"/>
    <w:pPr>
      <w:spacing w:after="240"/>
    </w:pPr>
  </w:style>
  <w:style w:type="character" w:customStyle="1" w:styleId="BilagarubrikChar">
    <w:name w:val="Bilaga rubrik Char"/>
    <w:basedOn w:val="RKbasChar"/>
    <w:link w:val="Bilagarubrik"/>
    <w:rsid w:val="007808B5"/>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7808B5"/>
    <w:pPr>
      <w:jc w:val="left"/>
      <w:outlineLvl w:val="0"/>
    </w:pPr>
    <w:rPr>
      <w:sz w:val="30"/>
    </w:rPr>
  </w:style>
  <w:style w:type="character" w:customStyle="1" w:styleId="ProprubrikChar">
    <w:name w:val="Prop. rubrik Char"/>
    <w:basedOn w:val="BrdtextChar"/>
    <w:link w:val="Proprubrik"/>
    <w:semiHidden/>
    <w:rsid w:val="007808B5"/>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7808B5"/>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7808B5"/>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7808B5"/>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7808B5"/>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7808B5"/>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7808B5"/>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7808B5"/>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7808B5"/>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7808B5"/>
    <w:pPr>
      <w:keepNext/>
    </w:pPr>
    <w:rPr>
      <w:b/>
    </w:rPr>
  </w:style>
  <w:style w:type="character" w:customStyle="1" w:styleId="TabellSlutsummaChar">
    <w:name w:val="Tabell Slutsumma Char"/>
    <w:basedOn w:val="TabellRaderChar"/>
    <w:link w:val="TabellSlutsumma"/>
    <w:rsid w:val="007808B5"/>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7808B5"/>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7808B5"/>
    <w:rPr>
      <w:rFonts w:ascii="TradeGothic" w:eastAsia="Times New Roman" w:hAnsi="TradeGothic" w:cs="Times New Roman"/>
      <w:b w:val="0"/>
      <w:sz w:val="17"/>
      <w:szCs w:val="20"/>
    </w:rPr>
  </w:style>
  <w:style w:type="paragraph" w:styleId="Sidhuvud">
    <w:name w:val="header"/>
    <w:basedOn w:val="Normal"/>
    <w:link w:val="SidhuvudChar"/>
    <w:semiHidden/>
    <w:rsid w:val="007808B5"/>
    <w:pPr>
      <w:tabs>
        <w:tab w:val="center" w:pos="4536"/>
        <w:tab w:val="right" w:pos="9072"/>
      </w:tabs>
    </w:pPr>
  </w:style>
  <w:style w:type="character" w:customStyle="1" w:styleId="SidhuvudChar">
    <w:name w:val="Sidhuvud Char"/>
    <w:basedOn w:val="Standardstycketeckensnitt"/>
    <w:link w:val="Sidhuvud"/>
    <w:semiHidden/>
    <w:rsid w:val="007808B5"/>
    <w:rPr>
      <w:rFonts w:eastAsia="Times New Roman" w:cs="Times New Roman"/>
      <w:szCs w:val="20"/>
    </w:rPr>
  </w:style>
  <w:style w:type="paragraph" w:styleId="Sidfot">
    <w:name w:val="footer"/>
    <w:basedOn w:val="Normal"/>
    <w:link w:val="SidfotChar"/>
    <w:semiHidden/>
    <w:rsid w:val="007808B5"/>
    <w:pPr>
      <w:tabs>
        <w:tab w:val="center" w:pos="4536"/>
        <w:tab w:val="right" w:pos="9072"/>
      </w:tabs>
    </w:pPr>
  </w:style>
  <w:style w:type="character" w:customStyle="1" w:styleId="SidfotChar">
    <w:name w:val="Sidfot Char"/>
    <w:basedOn w:val="Standardstycketeckensnitt"/>
    <w:link w:val="Sidfot"/>
    <w:semiHidden/>
    <w:rsid w:val="007808B5"/>
    <w:rPr>
      <w:rFonts w:eastAsia="Times New Roman" w:cs="Times New Roman"/>
      <w:szCs w:val="20"/>
    </w:rPr>
  </w:style>
  <w:style w:type="paragraph" w:customStyle="1" w:styleId="Prophuvudrubrik">
    <w:name w:val="Prop. huvudrubrik"/>
    <w:basedOn w:val="RKbas"/>
    <w:link w:val="ProphuvudrubrikChar"/>
    <w:semiHidden/>
    <w:rsid w:val="007808B5"/>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7808B5"/>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7808B5"/>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808B5"/>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7808B5"/>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808B5"/>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7808B5"/>
    <w:pPr>
      <w:spacing w:after="80"/>
    </w:pPr>
  </w:style>
  <w:style w:type="character" w:customStyle="1" w:styleId="ProprdatabladChar">
    <w:name w:val="Prop. rdatablad Char"/>
    <w:basedOn w:val="ProprubrikChar"/>
    <w:link w:val="Proprdatablad"/>
    <w:semiHidden/>
    <w:rsid w:val="007808B5"/>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7808B5"/>
  </w:style>
  <w:style w:type="character" w:customStyle="1" w:styleId="ProputdragChar">
    <w:name w:val="Prop. utdrag Char"/>
    <w:basedOn w:val="BrdtextChar"/>
    <w:link w:val="Proputdrag"/>
    <w:semiHidden/>
    <w:rsid w:val="007808B5"/>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7808B5"/>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rsid w:val="007808B5"/>
    <w:rPr>
      <w:rFonts w:ascii="Times New Roman" w:hAnsi="Times New Roman"/>
      <w:noProof/>
      <w:sz w:val="20"/>
    </w:rPr>
  </w:style>
  <w:style w:type="paragraph" w:styleId="Innehll2">
    <w:name w:val="toc 2"/>
    <w:basedOn w:val="RKbas"/>
    <w:next w:val="Brdtext"/>
    <w:link w:val="Innehll2Char"/>
    <w:uiPriority w:val="39"/>
    <w:rsid w:val="007808B5"/>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rsid w:val="007808B5"/>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7808B5"/>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7808B5"/>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7808B5"/>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7808B5"/>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7808B5"/>
    <w:rPr>
      <w:color w:val="808080"/>
    </w:rPr>
  </w:style>
  <w:style w:type="paragraph" w:styleId="Innehll4">
    <w:name w:val="toc 4"/>
    <w:basedOn w:val="RKbas"/>
    <w:next w:val="Brdtext"/>
    <w:link w:val="Innehll4Char"/>
    <w:uiPriority w:val="39"/>
    <w:rsid w:val="007808B5"/>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rsid w:val="007808B5"/>
    <w:rPr>
      <w:rFonts w:ascii="Times New Roman" w:hAnsi="Times New Roman"/>
      <w:sz w:val="20"/>
    </w:rPr>
  </w:style>
  <w:style w:type="paragraph" w:styleId="Innehll5">
    <w:name w:val="toc 5"/>
    <w:basedOn w:val="RKbas"/>
    <w:next w:val="Brdtext"/>
    <w:link w:val="Innehll5Char"/>
    <w:uiPriority w:val="39"/>
    <w:rsid w:val="007808B5"/>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rsid w:val="007808B5"/>
    <w:rPr>
      <w:rFonts w:ascii="Times New Roman" w:hAnsi="Times New Roman"/>
      <w:sz w:val="20"/>
    </w:rPr>
  </w:style>
  <w:style w:type="paragraph" w:styleId="Innehll6">
    <w:name w:val="toc 6"/>
    <w:basedOn w:val="RKbas"/>
    <w:next w:val="Brdtext"/>
    <w:link w:val="Innehll6Char"/>
    <w:uiPriority w:val="39"/>
    <w:semiHidden/>
    <w:rsid w:val="007808B5"/>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808B5"/>
    <w:rPr>
      <w:rFonts w:ascii="Times New Roman" w:hAnsi="Times New Roman"/>
      <w:sz w:val="20"/>
    </w:rPr>
  </w:style>
  <w:style w:type="paragraph" w:styleId="Ballongtext">
    <w:name w:val="Balloon Text"/>
    <w:basedOn w:val="Normal"/>
    <w:link w:val="BallongtextChar"/>
    <w:uiPriority w:val="99"/>
    <w:semiHidden/>
    <w:unhideWhenUsed/>
    <w:rsid w:val="007808B5"/>
    <w:rPr>
      <w:rFonts w:ascii="Tahoma" w:hAnsi="Tahoma" w:cs="Tahoma"/>
      <w:sz w:val="16"/>
      <w:szCs w:val="16"/>
    </w:rPr>
  </w:style>
  <w:style w:type="character" w:customStyle="1" w:styleId="BallongtextChar">
    <w:name w:val="Ballongtext Char"/>
    <w:basedOn w:val="Standardstycketeckensnitt"/>
    <w:link w:val="Ballongtext"/>
    <w:uiPriority w:val="99"/>
    <w:semiHidden/>
    <w:rsid w:val="007808B5"/>
    <w:rPr>
      <w:rFonts w:ascii="Tahoma" w:eastAsia="Times New Roman" w:hAnsi="Tahoma" w:cs="Tahoma"/>
      <w:sz w:val="16"/>
      <w:szCs w:val="16"/>
    </w:rPr>
  </w:style>
  <w:style w:type="numbering" w:customStyle="1" w:styleId="RKnummerlista">
    <w:name w:val="RK nummerlista"/>
    <w:uiPriority w:val="99"/>
    <w:semiHidden/>
    <w:rsid w:val="007808B5"/>
    <w:pPr>
      <w:numPr>
        <w:numId w:val="2"/>
      </w:numPr>
    </w:pPr>
  </w:style>
  <w:style w:type="numbering" w:customStyle="1" w:styleId="RKpunktlista">
    <w:name w:val="RK punktlista"/>
    <w:uiPriority w:val="99"/>
    <w:semiHidden/>
    <w:rsid w:val="007808B5"/>
    <w:pPr>
      <w:numPr>
        <w:numId w:val="3"/>
      </w:numPr>
    </w:pPr>
  </w:style>
  <w:style w:type="numbering" w:customStyle="1" w:styleId="RKstrecklista">
    <w:name w:val="RK strecklista"/>
    <w:uiPriority w:val="99"/>
    <w:semiHidden/>
    <w:rsid w:val="007808B5"/>
    <w:pPr>
      <w:numPr>
        <w:numId w:val="4"/>
      </w:numPr>
    </w:pPr>
  </w:style>
  <w:style w:type="paragraph" w:styleId="Punktlista">
    <w:name w:val="List Bullet"/>
    <w:basedOn w:val="Brdtext"/>
    <w:link w:val="PunktlistaChar"/>
    <w:uiPriority w:val="11"/>
    <w:qFormat/>
    <w:rsid w:val="007808B5"/>
    <w:pPr>
      <w:numPr>
        <w:ilvl w:val="1"/>
        <w:numId w:val="32"/>
      </w:numPr>
      <w:contextualSpacing/>
    </w:pPr>
  </w:style>
  <w:style w:type="character" w:customStyle="1" w:styleId="PunktlistaChar">
    <w:name w:val="Punktlista Char"/>
    <w:basedOn w:val="BrdtextChar"/>
    <w:link w:val="Punktlista"/>
    <w:uiPriority w:val="11"/>
    <w:rsid w:val="007808B5"/>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7808B5"/>
    <w:pPr>
      <w:numPr>
        <w:numId w:val="41"/>
      </w:numPr>
    </w:pPr>
  </w:style>
  <w:style w:type="character" w:customStyle="1" w:styleId="StrecklistaChar">
    <w:name w:val="Strecklista Char"/>
    <w:basedOn w:val="PunktlistaChar"/>
    <w:link w:val="Strecklista"/>
    <w:uiPriority w:val="17"/>
    <w:rsid w:val="007808B5"/>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7808B5"/>
    <w:pPr>
      <w:numPr>
        <w:ilvl w:val="1"/>
        <w:numId w:val="27"/>
      </w:numPr>
      <w:contextualSpacing/>
    </w:pPr>
  </w:style>
  <w:style w:type="character" w:customStyle="1" w:styleId="NumreradlistaChar">
    <w:name w:val="Numrerad lista Char"/>
    <w:basedOn w:val="BrdtextChar"/>
    <w:link w:val="Numreradlista"/>
    <w:uiPriority w:val="4"/>
    <w:rsid w:val="007808B5"/>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7808B5"/>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7808B5"/>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7808B5"/>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7808B5"/>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7808B5"/>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7808B5"/>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7808B5"/>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7808B5"/>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7808B5"/>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7808B5"/>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7808B5"/>
    <w:pPr>
      <w:spacing w:after="240"/>
    </w:pPr>
    <w:rPr>
      <w:spacing w:val="34"/>
      <w:u w:val="single"/>
    </w:rPr>
  </w:style>
  <w:style w:type="character" w:customStyle="1" w:styleId="SlutstreckChar">
    <w:name w:val="Slutstreck Char"/>
    <w:basedOn w:val="BrdtextChar"/>
    <w:link w:val="Slutstreck"/>
    <w:semiHidden/>
    <w:rsid w:val="007808B5"/>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7808B5"/>
    <w:pPr>
      <w:spacing w:before="120" w:after="240"/>
      <w:ind w:left="454"/>
    </w:pPr>
    <w:rPr>
      <w:iCs/>
      <w:sz w:val="19"/>
    </w:rPr>
  </w:style>
  <w:style w:type="character" w:customStyle="1" w:styleId="CitatChar">
    <w:name w:val="Citat Char"/>
    <w:basedOn w:val="Standardstycketeckensnitt"/>
    <w:link w:val="Citat"/>
    <w:uiPriority w:val="4"/>
    <w:rsid w:val="007808B5"/>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7808B5"/>
    <w:pPr>
      <w:numPr>
        <w:numId w:val="10"/>
      </w:numPr>
    </w:pPr>
  </w:style>
  <w:style w:type="paragraph" w:customStyle="1" w:styleId="FigurFotnot">
    <w:name w:val="Figur Fotnot"/>
    <w:basedOn w:val="Brdtext"/>
    <w:next w:val="Brdtext"/>
    <w:link w:val="FigurFotnotChar"/>
    <w:rsid w:val="007808B5"/>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7808B5"/>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7808B5"/>
    <w:pPr>
      <w:numPr>
        <w:numId w:val="23"/>
      </w:numPr>
    </w:pPr>
  </w:style>
  <w:style w:type="paragraph" w:customStyle="1" w:styleId="Brdtextefternumreradlista">
    <w:name w:val="Brödtext efter numrerad lista"/>
    <w:basedOn w:val="Brdtext"/>
    <w:next w:val="Brdtextmedindrag"/>
    <w:link w:val="BrdtextefternumreradlistaChar"/>
    <w:uiPriority w:val="5"/>
    <w:rsid w:val="007808B5"/>
    <w:pPr>
      <w:numPr>
        <w:numId w:val="27"/>
      </w:numPr>
      <w:spacing w:before="230"/>
    </w:pPr>
  </w:style>
  <w:style w:type="character" w:customStyle="1" w:styleId="BrdtextefternumreradlistaChar">
    <w:name w:val="Brödtext efter numrerad lista Char"/>
    <w:basedOn w:val="BrdtextChar"/>
    <w:link w:val="Brdtextefternumreradlista"/>
    <w:uiPriority w:val="5"/>
    <w:rsid w:val="007808B5"/>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7808B5"/>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7808B5"/>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7808B5"/>
    <w:pPr>
      <w:numPr>
        <w:numId w:val="29"/>
      </w:numPr>
      <w:spacing w:before="90"/>
    </w:pPr>
  </w:style>
  <w:style w:type="character" w:customStyle="1" w:styleId="Brdtextefternr-listaramChar">
    <w:name w:val="Brödtext efter nr-lista ram Char"/>
    <w:basedOn w:val="BrdtextChar"/>
    <w:link w:val="Brdtextefternr-listaram"/>
    <w:uiPriority w:val="7"/>
    <w:rsid w:val="007808B5"/>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7808B5"/>
    <w:pPr>
      <w:numPr>
        <w:numId w:val="32"/>
      </w:numPr>
    </w:pPr>
  </w:style>
  <w:style w:type="paragraph" w:customStyle="1" w:styleId="Brdtextefterpunktlista">
    <w:name w:val="Brödtext efter punktlista"/>
    <w:basedOn w:val="Brdtext"/>
    <w:next w:val="Brdtextmedindrag"/>
    <w:link w:val="BrdtextefterpunktlistaChar"/>
    <w:uiPriority w:val="12"/>
    <w:rsid w:val="007808B5"/>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7808B5"/>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7808B5"/>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7808B5"/>
    <w:pPr>
      <w:numPr>
        <w:numId w:val="41"/>
      </w:numPr>
      <w:spacing w:before="230"/>
    </w:pPr>
  </w:style>
  <w:style w:type="character" w:customStyle="1" w:styleId="BrdtextefterstrecklistaChar">
    <w:name w:val="Brödtext efter strecklista Char"/>
    <w:basedOn w:val="BrdtextChar"/>
    <w:link w:val="Brdtextefterstrecklista"/>
    <w:uiPriority w:val="18"/>
    <w:rsid w:val="007808B5"/>
    <w:rPr>
      <w:rFonts w:ascii="Times New Roman" w:eastAsia="Times New Roman" w:hAnsi="Times New Roman" w:cs="Times New Roman"/>
      <w:sz w:val="20"/>
      <w:szCs w:val="20"/>
    </w:rPr>
  </w:style>
  <w:style w:type="numbering" w:customStyle="1" w:styleId="RKpunktlistaram">
    <w:name w:val="RK punktlista ram"/>
    <w:uiPriority w:val="99"/>
    <w:semiHidden/>
    <w:rsid w:val="007808B5"/>
    <w:pPr>
      <w:numPr>
        <w:numId w:val="34"/>
      </w:numPr>
    </w:pPr>
  </w:style>
  <w:style w:type="paragraph" w:customStyle="1" w:styleId="Brdtextefterpkt-listaram">
    <w:name w:val="Brödtext efter pkt-lista ram"/>
    <w:basedOn w:val="Brdtext"/>
    <w:next w:val="Brdtextmedindrag"/>
    <w:link w:val="Brdtextefterpkt-listaramChar"/>
    <w:uiPriority w:val="13"/>
    <w:rsid w:val="007808B5"/>
    <w:pPr>
      <w:numPr>
        <w:numId w:val="39"/>
      </w:numPr>
      <w:spacing w:before="90"/>
    </w:pPr>
  </w:style>
  <w:style w:type="character" w:customStyle="1" w:styleId="Brdtextefterpkt-listaramChar">
    <w:name w:val="Brödtext efter pkt-lista ram Char"/>
    <w:basedOn w:val="BrdtextChar"/>
    <w:link w:val="Brdtextefterpkt-listaram"/>
    <w:uiPriority w:val="13"/>
    <w:rsid w:val="007808B5"/>
    <w:rPr>
      <w:rFonts w:ascii="Times New Roman" w:eastAsia="Times New Roman" w:hAnsi="Times New Roman" w:cs="Times New Roman"/>
      <w:sz w:val="20"/>
      <w:szCs w:val="20"/>
    </w:rPr>
  </w:style>
  <w:style w:type="numbering" w:customStyle="1" w:styleId="RKstrecklistaram">
    <w:name w:val="RK strecklista ram"/>
    <w:uiPriority w:val="99"/>
    <w:semiHidden/>
    <w:rsid w:val="007808B5"/>
    <w:pPr>
      <w:numPr>
        <w:numId w:val="38"/>
      </w:numPr>
    </w:pPr>
  </w:style>
  <w:style w:type="paragraph" w:customStyle="1" w:styleId="Brdtextefterstrlistaram">
    <w:name w:val="Brödtext efter str.lista ram"/>
    <w:basedOn w:val="Brdtext"/>
    <w:next w:val="Brdtextmedindrag"/>
    <w:link w:val="BrdtextefterstrlistaramChar"/>
    <w:uiPriority w:val="20"/>
    <w:rsid w:val="007808B5"/>
    <w:pPr>
      <w:numPr>
        <w:numId w:val="42"/>
      </w:numPr>
      <w:spacing w:before="90"/>
    </w:pPr>
  </w:style>
  <w:style w:type="character" w:customStyle="1" w:styleId="BrdtextefterstrlistaramChar">
    <w:name w:val="Brödtext efter str.lista ram Char"/>
    <w:basedOn w:val="BrdtextChar"/>
    <w:link w:val="Brdtextefterstrlistaram"/>
    <w:uiPriority w:val="20"/>
    <w:rsid w:val="007808B5"/>
    <w:rPr>
      <w:rFonts w:ascii="Times New Roman" w:eastAsia="Times New Roman" w:hAnsi="Times New Roman" w:cs="Times New Roman"/>
      <w:sz w:val="20"/>
      <w:szCs w:val="20"/>
    </w:rPr>
  </w:style>
  <w:style w:type="character" w:styleId="Hyperlnk">
    <w:name w:val="Hyperlink"/>
    <w:basedOn w:val="Standardstycketeckensnitt"/>
    <w:uiPriority w:val="99"/>
    <w:rsid w:val="007808B5"/>
    <w:rPr>
      <w:color w:val="0000FF" w:themeColor="hyperlink"/>
      <w:u w:val="single"/>
    </w:rPr>
  </w:style>
  <w:style w:type="paragraph" w:styleId="Rubrik">
    <w:name w:val="Title"/>
    <w:basedOn w:val="Normal"/>
    <w:next w:val="Normal"/>
    <w:link w:val="RubrikChar"/>
    <w:uiPriority w:val="10"/>
    <w:semiHidden/>
    <w:qFormat/>
    <w:rsid w:val="007808B5"/>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7808B5"/>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7808B5"/>
    <w:pPr>
      <w:tabs>
        <w:tab w:val="left" w:pos="2126"/>
      </w:tabs>
      <w:spacing w:after="760"/>
    </w:pPr>
  </w:style>
  <w:style w:type="paragraph" w:customStyle="1" w:styleId="Rubrik4ram">
    <w:name w:val="Rubrik 4 ram"/>
    <w:basedOn w:val="Rubrik4utannumrering"/>
    <w:next w:val="Brdtextram"/>
    <w:uiPriority w:val="15"/>
    <w:rsid w:val="007808B5"/>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7808B5"/>
  </w:style>
  <w:style w:type="paragraph" w:customStyle="1" w:styleId="Rubrik5efterram">
    <w:name w:val="Rubrik 5 efter ram"/>
    <w:basedOn w:val="Rubrik5utannumrering"/>
    <w:next w:val="Brdtext"/>
    <w:uiPriority w:val="16"/>
    <w:rsid w:val="007808B5"/>
  </w:style>
  <w:style w:type="paragraph" w:styleId="Revision">
    <w:name w:val="Revision"/>
    <w:hidden/>
    <w:uiPriority w:val="99"/>
    <w:semiHidden/>
    <w:rsid w:val="00A9019E"/>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A51921"/>
    <w:rPr>
      <w:sz w:val="16"/>
      <w:szCs w:val="16"/>
    </w:rPr>
  </w:style>
  <w:style w:type="paragraph" w:styleId="Kommentarer">
    <w:name w:val="annotation text"/>
    <w:basedOn w:val="Normal"/>
    <w:link w:val="KommentarerChar"/>
    <w:uiPriority w:val="99"/>
    <w:semiHidden/>
    <w:rsid w:val="00A51921"/>
    <w:pPr>
      <w:spacing w:line="240" w:lineRule="auto"/>
    </w:pPr>
    <w:rPr>
      <w:sz w:val="20"/>
    </w:rPr>
  </w:style>
  <w:style w:type="character" w:customStyle="1" w:styleId="KommentarerChar">
    <w:name w:val="Kommentarer Char"/>
    <w:basedOn w:val="Standardstycketeckensnitt"/>
    <w:link w:val="Kommentarer"/>
    <w:uiPriority w:val="99"/>
    <w:semiHidden/>
    <w:rsid w:val="00A51921"/>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A51921"/>
    <w:rPr>
      <w:b/>
      <w:bCs/>
    </w:rPr>
  </w:style>
  <w:style w:type="character" w:customStyle="1" w:styleId="KommentarsmneChar">
    <w:name w:val="Kommentarsämne Char"/>
    <w:basedOn w:val="KommentarerChar"/>
    <w:link w:val="Kommentarsmne"/>
    <w:uiPriority w:val="99"/>
    <w:semiHidden/>
    <w:rsid w:val="00A51921"/>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56304">
      <w:bodyDiv w:val="1"/>
      <w:marLeft w:val="0"/>
      <w:marRight w:val="0"/>
      <w:marTop w:val="0"/>
      <w:marBottom w:val="0"/>
      <w:divBdr>
        <w:top w:val="none" w:sz="0" w:space="0" w:color="auto"/>
        <w:left w:val="none" w:sz="0" w:space="0" w:color="auto"/>
        <w:bottom w:val="none" w:sz="0" w:space="0" w:color="auto"/>
        <w:right w:val="none" w:sz="0" w:space="0" w:color="auto"/>
      </w:divBdr>
    </w:div>
    <w:div w:id="91896016">
      <w:bodyDiv w:val="1"/>
      <w:marLeft w:val="0"/>
      <w:marRight w:val="0"/>
      <w:marTop w:val="0"/>
      <w:marBottom w:val="0"/>
      <w:divBdr>
        <w:top w:val="none" w:sz="0" w:space="0" w:color="auto"/>
        <w:left w:val="none" w:sz="0" w:space="0" w:color="auto"/>
        <w:bottom w:val="none" w:sz="0" w:space="0" w:color="auto"/>
        <w:right w:val="none" w:sz="0" w:space="0" w:color="auto"/>
      </w:divBdr>
    </w:div>
    <w:div w:id="110631829">
      <w:bodyDiv w:val="1"/>
      <w:marLeft w:val="0"/>
      <w:marRight w:val="0"/>
      <w:marTop w:val="0"/>
      <w:marBottom w:val="0"/>
      <w:divBdr>
        <w:top w:val="none" w:sz="0" w:space="0" w:color="auto"/>
        <w:left w:val="none" w:sz="0" w:space="0" w:color="auto"/>
        <w:bottom w:val="none" w:sz="0" w:space="0" w:color="auto"/>
        <w:right w:val="none" w:sz="0" w:space="0" w:color="auto"/>
      </w:divBdr>
    </w:div>
    <w:div w:id="163859322">
      <w:bodyDiv w:val="1"/>
      <w:marLeft w:val="0"/>
      <w:marRight w:val="0"/>
      <w:marTop w:val="0"/>
      <w:marBottom w:val="0"/>
      <w:divBdr>
        <w:top w:val="none" w:sz="0" w:space="0" w:color="auto"/>
        <w:left w:val="none" w:sz="0" w:space="0" w:color="auto"/>
        <w:bottom w:val="none" w:sz="0" w:space="0" w:color="auto"/>
        <w:right w:val="none" w:sz="0" w:space="0" w:color="auto"/>
      </w:divBdr>
    </w:div>
    <w:div w:id="221982898">
      <w:bodyDiv w:val="1"/>
      <w:marLeft w:val="0"/>
      <w:marRight w:val="0"/>
      <w:marTop w:val="0"/>
      <w:marBottom w:val="0"/>
      <w:divBdr>
        <w:top w:val="none" w:sz="0" w:space="0" w:color="auto"/>
        <w:left w:val="none" w:sz="0" w:space="0" w:color="auto"/>
        <w:bottom w:val="none" w:sz="0" w:space="0" w:color="auto"/>
        <w:right w:val="none" w:sz="0" w:space="0" w:color="auto"/>
      </w:divBdr>
    </w:div>
    <w:div w:id="312761539">
      <w:bodyDiv w:val="1"/>
      <w:marLeft w:val="0"/>
      <w:marRight w:val="0"/>
      <w:marTop w:val="0"/>
      <w:marBottom w:val="0"/>
      <w:divBdr>
        <w:top w:val="none" w:sz="0" w:space="0" w:color="auto"/>
        <w:left w:val="none" w:sz="0" w:space="0" w:color="auto"/>
        <w:bottom w:val="none" w:sz="0" w:space="0" w:color="auto"/>
        <w:right w:val="none" w:sz="0" w:space="0" w:color="auto"/>
      </w:divBdr>
    </w:div>
    <w:div w:id="318047174">
      <w:bodyDiv w:val="1"/>
      <w:marLeft w:val="0"/>
      <w:marRight w:val="0"/>
      <w:marTop w:val="0"/>
      <w:marBottom w:val="0"/>
      <w:divBdr>
        <w:top w:val="none" w:sz="0" w:space="0" w:color="auto"/>
        <w:left w:val="none" w:sz="0" w:space="0" w:color="auto"/>
        <w:bottom w:val="none" w:sz="0" w:space="0" w:color="auto"/>
        <w:right w:val="none" w:sz="0" w:space="0" w:color="auto"/>
      </w:divBdr>
    </w:div>
    <w:div w:id="356276906">
      <w:bodyDiv w:val="1"/>
      <w:marLeft w:val="0"/>
      <w:marRight w:val="0"/>
      <w:marTop w:val="0"/>
      <w:marBottom w:val="0"/>
      <w:divBdr>
        <w:top w:val="none" w:sz="0" w:space="0" w:color="auto"/>
        <w:left w:val="none" w:sz="0" w:space="0" w:color="auto"/>
        <w:bottom w:val="none" w:sz="0" w:space="0" w:color="auto"/>
        <w:right w:val="none" w:sz="0" w:space="0" w:color="auto"/>
      </w:divBdr>
    </w:div>
    <w:div w:id="461118486">
      <w:bodyDiv w:val="1"/>
      <w:marLeft w:val="0"/>
      <w:marRight w:val="0"/>
      <w:marTop w:val="0"/>
      <w:marBottom w:val="0"/>
      <w:divBdr>
        <w:top w:val="none" w:sz="0" w:space="0" w:color="auto"/>
        <w:left w:val="none" w:sz="0" w:space="0" w:color="auto"/>
        <w:bottom w:val="none" w:sz="0" w:space="0" w:color="auto"/>
        <w:right w:val="none" w:sz="0" w:space="0" w:color="auto"/>
      </w:divBdr>
    </w:div>
    <w:div w:id="570194493">
      <w:bodyDiv w:val="1"/>
      <w:marLeft w:val="0"/>
      <w:marRight w:val="0"/>
      <w:marTop w:val="0"/>
      <w:marBottom w:val="0"/>
      <w:divBdr>
        <w:top w:val="none" w:sz="0" w:space="0" w:color="auto"/>
        <w:left w:val="none" w:sz="0" w:space="0" w:color="auto"/>
        <w:bottom w:val="none" w:sz="0" w:space="0" w:color="auto"/>
        <w:right w:val="none" w:sz="0" w:space="0" w:color="auto"/>
      </w:divBdr>
    </w:div>
    <w:div w:id="698554766">
      <w:bodyDiv w:val="1"/>
      <w:marLeft w:val="0"/>
      <w:marRight w:val="0"/>
      <w:marTop w:val="0"/>
      <w:marBottom w:val="0"/>
      <w:divBdr>
        <w:top w:val="none" w:sz="0" w:space="0" w:color="auto"/>
        <w:left w:val="none" w:sz="0" w:space="0" w:color="auto"/>
        <w:bottom w:val="none" w:sz="0" w:space="0" w:color="auto"/>
        <w:right w:val="none" w:sz="0" w:space="0" w:color="auto"/>
      </w:divBdr>
    </w:div>
    <w:div w:id="732772112">
      <w:bodyDiv w:val="1"/>
      <w:marLeft w:val="0"/>
      <w:marRight w:val="0"/>
      <w:marTop w:val="0"/>
      <w:marBottom w:val="0"/>
      <w:divBdr>
        <w:top w:val="none" w:sz="0" w:space="0" w:color="auto"/>
        <w:left w:val="none" w:sz="0" w:space="0" w:color="auto"/>
        <w:bottom w:val="none" w:sz="0" w:space="0" w:color="auto"/>
        <w:right w:val="none" w:sz="0" w:space="0" w:color="auto"/>
      </w:divBdr>
    </w:div>
    <w:div w:id="737555211">
      <w:bodyDiv w:val="1"/>
      <w:marLeft w:val="0"/>
      <w:marRight w:val="0"/>
      <w:marTop w:val="0"/>
      <w:marBottom w:val="0"/>
      <w:divBdr>
        <w:top w:val="none" w:sz="0" w:space="0" w:color="auto"/>
        <w:left w:val="none" w:sz="0" w:space="0" w:color="auto"/>
        <w:bottom w:val="none" w:sz="0" w:space="0" w:color="auto"/>
        <w:right w:val="none" w:sz="0" w:space="0" w:color="auto"/>
      </w:divBdr>
    </w:div>
    <w:div w:id="742725945">
      <w:bodyDiv w:val="1"/>
      <w:marLeft w:val="0"/>
      <w:marRight w:val="0"/>
      <w:marTop w:val="0"/>
      <w:marBottom w:val="0"/>
      <w:divBdr>
        <w:top w:val="none" w:sz="0" w:space="0" w:color="auto"/>
        <w:left w:val="none" w:sz="0" w:space="0" w:color="auto"/>
        <w:bottom w:val="none" w:sz="0" w:space="0" w:color="auto"/>
        <w:right w:val="none" w:sz="0" w:space="0" w:color="auto"/>
      </w:divBdr>
    </w:div>
    <w:div w:id="902326997">
      <w:bodyDiv w:val="1"/>
      <w:marLeft w:val="0"/>
      <w:marRight w:val="0"/>
      <w:marTop w:val="0"/>
      <w:marBottom w:val="0"/>
      <w:divBdr>
        <w:top w:val="none" w:sz="0" w:space="0" w:color="auto"/>
        <w:left w:val="none" w:sz="0" w:space="0" w:color="auto"/>
        <w:bottom w:val="none" w:sz="0" w:space="0" w:color="auto"/>
        <w:right w:val="none" w:sz="0" w:space="0" w:color="auto"/>
      </w:divBdr>
    </w:div>
    <w:div w:id="1017316119">
      <w:bodyDiv w:val="1"/>
      <w:marLeft w:val="0"/>
      <w:marRight w:val="0"/>
      <w:marTop w:val="0"/>
      <w:marBottom w:val="0"/>
      <w:divBdr>
        <w:top w:val="none" w:sz="0" w:space="0" w:color="auto"/>
        <w:left w:val="none" w:sz="0" w:space="0" w:color="auto"/>
        <w:bottom w:val="none" w:sz="0" w:space="0" w:color="auto"/>
        <w:right w:val="none" w:sz="0" w:space="0" w:color="auto"/>
      </w:divBdr>
    </w:div>
    <w:div w:id="1121025331">
      <w:bodyDiv w:val="1"/>
      <w:marLeft w:val="0"/>
      <w:marRight w:val="0"/>
      <w:marTop w:val="0"/>
      <w:marBottom w:val="0"/>
      <w:divBdr>
        <w:top w:val="none" w:sz="0" w:space="0" w:color="auto"/>
        <w:left w:val="none" w:sz="0" w:space="0" w:color="auto"/>
        <w:bottom w:val="none" w:sz="0" w:space="0" w:color="auto"/>
        <w:right w:val="none" w:sz="0" w:space="0" w:color="auto"/>
      </w:divBdr>
    </w:div>
    <w:div w:id="1157915948">
      <w:bodyDiv w:val="1"/>
      <w:marLeft w:val="0"/>
      <w:marRight w:val="0"/>
      <w:marTop w:val="0"/>
      <w:marBottom w:val="0"/>
      <w:divBdr>
        <w:top w:val="none" w:sz="0" w:space="0" w:color="auto"/>
        <w:left w:val="none" w:sz="0" w:space="0" w:color="auto"/>
        <w:bottom w:val="none" w:sz="0" w:space="0" w:color="auto"/>
        <w:right w:val="none" w:sz="0" w:space="0" w:color="auto"/>
      </w:divBdr>
    </w:div>
    <w:div w:id="1255093601">
      <w:bodyDiv w:val="1"/>
      <w:marLeft w:val="0"/>
      <w:marRight w:val="0"/>
      <w:marTop w:val="0"/>
      <w:marBottom w:val="0"/>
      <w:divBdr>
        <w:top w:val="none" w:sz="0" w:space="0" w:color="auto"/>
        <w:left w:val="none" w:sz="0" w:space="0" w:color="auto"/>
        <w:bottom w:val="none" w:sz="0" w:space="0" w:color="auto"/>
        <w:right w:val="none" w:sz="0" w:space="0" w:color="auto"/>
      </w:divBdr>
    </w:div>
    <w:div w:id="1446995299">
      <w:bodyDiv w:val="1"/>
      <w:marLeft w:val="0"/>
      <w:marRight w:val="0"/>
      <w:marTop w:val="0"/>
      <w:marBottom w:val="0"/>
      <w:divBdr>
        <w:top w:val="none" w:sz="0" w:space="0" w:color="auto"/>
        <w:left w:val="none" w:sz="0" w:space="0" w:color="auto"/>
        <w:bottom w:val="none" w:sz="0" w:space="0" w:color="auto"/>
        <w:right w:val="none" w:sz="0" w:space="0" w:color="auto"/>
      </w:divBdr>
    </w:div>
    <w:div w:id="1447263648">
      <w:bodyDiv w:val="1"/>
      <w:marLeft w:val="0"/>
      <w:marRight w:val="0"/>
      <w:marTop w:val="0"/>
      <w:marBottom w:val="0"/>
      <w:divBdr>
        <w:top w:val="none" w:sz="0" w:space="0" w:color="auto"/>
        <w:left w:val="none" w:sz="0" w:space="0" w:color="auto"/>
        <w:bottom w:val="none" w:sz="0" w:space="0" w:color="auto"/>
        <w:right w:val="none" w:sz="0" w:space="0" w:color="auto"/>
      </w:divBdr>
    </w:div>
    <w:div w:id="1485581383">
      <w:bodyDiv w:val="1"/>
      <w:marLeft w:val="0"/>
      <w:marRight w:val="0"/>
      <w:marTop w:val="0"/>
      <w:marBottom w:val="0"/>
      <w:divBdr>
        <w:top w:val="none" w:sz="0" w:space="0" w:color="auto"/>
        <w:left w:val="none" w:sz="0" w:space="0" w:color="auto"/>
        <w:bottom w:val="none" w:sz="0" w:space="0" w:color="auto"/>
        <w:right w:val="none" w:sz="0" w:space="0" w:color="auto"/>
      </w:divBdr>
    </w:div>
    <w:div w:id="1485968680">
      <w:bodyDiv w:val="1"/>
      <w:marLeft w:val="0"/>
      <w:marRight w:val="0"/>
      <w:marTop w:val="0"/>
      <w:marBottom w:val="0"/>
      <w:divBdr>
        <w:top w:val="none" w:sz="0" w:space="0" w:color="auto"/>
        <w:left w:val="none" w:sz="0" w:space="0" w:color="auto"/>
        <w:bottom w:val="none" w:sz="0" w:space="0" w:color="auto"/>
        <w:right w:val="none" w:sz="0" w:space="0" w:color="auto"/>
      </w:divBdr>
    </w:div>
    <w:div w:id="1525442938">
      <w:bodyDiv w:val="1"/>
      <w:marLeft w:val="0"/>
      <w:marRight w:val="0"/>
      <w:marTop w:val="0"/>
      <w:marBottom w:val="0"/>
      <w:divBdr>
        <w:top w:val="none" w:sz="0" w:space="0" w:color="auto"/>
        <w:left w:val="none" w:sz="0" w:space="0" w:color="auto"/>
        <w:bottom w:val="none" w:sz="0" w:space="0" w:color="auto"/>
        <w:right w:val="none" w:sz="0" w:space="0" w:color="auto"/>
      </w:divBdr>
    </w:div>
    <w:div w:id="1933051249">
      <w:bodyDiv w:val="1"/>
      <w:marLeft w:val="0"/>
      <w:marRight w:val="0"/>
      <w:marTop w:val="0"/>
      <w:marBottom w:val="0"/>
      <w:divBdr>
        <w:top w:val="none" w:sz="0" w:space="0" w:color="auto"/>
        <w:left w:val="none" w:sz="0" w:space="0" w:color="auto"/>
        <w:bottom w:val="none" w:sz="0" w:space="0" w:color="auto"/>
        <w:right w:val="none" w:sz="0" w:space="0" w:color="auto"/>
      </w:divBdr>
    </w:div>
    <w:div w:id="1973630385">
      <w:bodyDiv w:val="1"/>
      <w:marLeft w:val="0"/>
      <w:marRight w:val="0"/>
      <w:marTop w:val="0"/>
      <w:marBottom w:val="0"/>
      <w:divBdr>
        <w:top w:val="none" w:sz="0" w:space="0" w:color="auto"/>
        <w:left w:val="none" w:sz="0" w:space="0" w:color="auto"/>
        <w:bottom w:val="none" w:sz="0" w:space="0" w:color="auto"/>
        <w:right w:val="none" w:sz="0" w:space="0" w:color="auto"/>
      </w:divBdr>
    </w:div>
    <w:div w:id="21123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chart" Target="charts/chart4.xml"/><Relationship Id="rId26" Type="http://schemas.openxmlformats.org/officeDocument/2006/relationships/chart" Target="charts/chart12.xm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chart" Target="charts/chart7.xml"/><Relationship Id="rId34" Type="http://schemas.openxmlformats.org/officeDocument/2006/relationships/header" Target="header1.xml"/><Relationship Id="rId42" Type="http://schemas.openxmlformats.org/officeDocument/2006/relationships/footer" Target="footer4.xml"/><Relationship Id="rId47" Type="http://schemas.openxmlformats.org/officeDocument/2006/relationships/header" Target="header8.xml"/><Relationship Id="rId50" Type="http://schemas.openxmlformats.org/officeDocument/2006/relationships/header" Target="header9.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header" Target="header3.xm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chart" Target="charts/chart15.xml"/><Relationship Id="rId41" Type="http://schemas.openxmlformats.org/officeDocument/2006/relationships/header" Target="header5.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footer" Target="footer2.xml"/><Relationship Id="rId40" Type="http://schemas.openxmlformats.org/officeDocument/2006/relationships/header" Target="header4.xml"/><Relationship Id="rId45" Type="http://schemas.openxmlformats.org/officeDocument/2006/relationships/footer" Target="footer6.xml"/><Relationship Id="rId53"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footer" Target="footer1.xml"/><Relationship Id="rId49" Type="http://schemas.openxmlformats.org/officeDocument/2006/relationships/footer" Target="footer8.xml"/><Relationship Id="rId10" Type="http://schemas.openxmlformats.org/officeDocument/2006/relationships/settings" Target="settings.xml"/><Relationship Id="rId19" Type="http://schemas.openxmlformats.org/officeDocument/2006/relationships/chart" Target="charts/chart5.xml"/><Relationship Id="rId31" Type="http://schemas.openxmlformats.org/officeDocument/2006/relationships/chart" Target="charts/chart17.xml"/><Relationship Id="rId44" Type="http://schemas.openxmlformats.org/officeDocument/2006/relationships/header" Target="header6.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header" Target="header2.xml"/><Relationship Id="rId43" Type="http://schemas.openxmlformats.org/officeDocument/2006/relationships/footer" Target="footer5.xml"/><Relationship Id="rId48" Type="http://schemas.openxmlformats.org/officeDocument/2006/relationships/footer" Target="footer7.xml"/><Relationship Id="rId8" Type="http://schemas.openxmlformats.org/officeDocument/2006/relationships/numbering" Target="numbering.xml"/><Relationship Id="rId51" Type="http://schemas.openxmlformats.org/officeDocument/2006/relationships/footer" Target="footer9.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fma/FPM/Lagstiftning/Forms/Skr-samling/Skr-samling.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s://dhs.sp.regeringskansliet.se/yta/fi-fma/FPM/Lagstiftning/Regeringens%20skrivelser%20om%20utv&#228;rdering%20av%20statsskuldsf&#246;raltningen/2021-2025/Diagram%20och%20tabeller/Figur%202.1%20Statens%20l&#229;nebehov.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https://dhs.sp.regeringskansliet.se/yta/fi-fma/FPM/Lagstiftning/Regeringens%20skrivelser%20om%20utv&#228;rdering%20av%20statsskuldsf&#246;raltningen/2021-2025/Diagram%20och%20tabeller/Figur%202.2%20Statsskuldens%20utveckling.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oleObject" Target="https://dhs.sp.regeringskansliet.se/yta/fi-fma/fpm/lagstiftning/regeringens%20skrivelser%20om%20utv&#228;rdering%20av%20statsskuldsf&#246;raltningen/2021-2025/Diagram%20och%20tabeller/Figur%202.3%20J&#228;mf&#246;relse%20skuld%20EU.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https://dhs.sp.regeringskansliet.se/yta/fi-fma/FPM/Lagstiftning/Regeringens%20skrivelser%20om%20utv&#228;rdering%20av%20statsskuldsf&#246;raltningen/2021-2025/Diagram%20och%20tabeller/Figur%202.4%20Riksbankens%20innehav.xlsx" TargetMode="External"/><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oleObject" Target="https://dhs.sp.regeringskansliet.se/yta/fi-fma/FPM/Lagstiftning/Regeringens%20skrivelser%20om%20utv&#228;rdering%20av%20statsskuldsf&#246;raltningen/2021-2025/Diagram%20och%20tabeller/Figur%202.5%20Utvecklingen%20av%20svenska%20statsr&#228;ntor.xlsx" TargetMode="External"/><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1" Type="http://schemas.openxmlformats.org/officeDocument/2006/relationships/oleObject" Target="https://dhs.sp.regeringskansliet.se/yta/fi-fma/FPM/Lagstiftning/Regeringens%20skrivelser%20om%20utv&#228;rdering%20av%20statsskuldsf&#246;raltningen/2021-2025/Diagram%20och%20tabeller/Figur%202.6%20Avkastningskurva%20f&#246;r%20svenska%20statspapper.xlsx" TargetMode="External"/></Relationships>
</file>

<file path=word/charts/_rels/chart7.xml.rels><?xml version="1.0" encoding="UTF-8" standalone="yes"?>
<Relationships xmlns="http://schemas.openxmlformats.org/package/2006/relationships"><Relationship Id="rId2" Type="http://schemas.openxmlformats.org/officeDocument/2006/relationships/oleObject" Target="https://dhs.sp.regeringskansliet.se/yta/fi-fma/FPM/Lagstiftning/Regeringens%20skrivelser%20om%20utv&#228;rdering%20av%20statsskuldsf&#246;raltningen/2021-2025/Diagram%20och%20tabeller/Figur%202.7%20Inflationstakten%20enligt%20KPI.xlsx" TargetMode="External"/><Relationship Id="rId1" Type="http://schemas.openxmlformats.org/officeDocument/2006/relationships/themeOverride" Target="../theme/themeOverride4.xml"/></Relationships>
</file>

<file path=word/charts/_rels/chart8.xml.rels><?xml version="1.0" encoding="UTF-8" standalone="yes"?>
<Relationships xmlns="http://schemas.openxmlformats.org/package/2006/relationships"><Relationship Id="rId1" Type="http://schemas.openxmlformats.org/officeDocument/2006/relationships/oleObject" Target="https://dhs.sp.regeringskansliet.se/yta/fi-fma/FPM/Lagstiftning/Regeringens%20skrivelser%20om%20utv&#228;rdering%20av%20statsskuldsf&#246;raltningen/2021-2025/Diagram%20och%20tabeller/Figur%202.8%20Kronans%20valutakurs.xlsx" TargetMode="External"/></Relationships>
</file>

<file path=word/charts/_rels/chart9.xml.rels><?xml version="1.0" encoding="UTF-8" standalone="yes"?>
<Relationships xmlns="http://schemas.openxmlformats.org/package/2006/relationships"><Relationship Id="rId2" Type="http://schemas.openxmlformats.org/officeDocument/2006/relationships/oleObject" Target="https://dhs.sp.regeringskansliet.se/yta/fi-fma/FPM/Lagstiftning/Regeringens%20skrivelser%20om%20utv&#228;rdering%20av%20statsskuldsf&#246;raltningen/2021-2025/Diagram%20och%20tabeller/Figur%204.1%20Andel%20realskuld.xlsx" TargetMode="External"/><Relationship Id="rId1" Type="http://schemas.openxmlformats.org/officeDocument/2006/relationships/themeOverride" Target="../theme/themeOverride5.xml"/></Relationships>
</file>

<file path=word/charts/_rels/chart10.xml.rels><?xml version="1.0" encoding="UTF-8" standalone="yes"?>
<Relationships xmlns="http://schemas.openxmlformats.org/package/2006/relationships"><Relationship Id="rId2" Type="http://schemas.openxmlformats.org/officeDocument/2006/relationships/oleObject" Target="https://dhs.sp.regeringskansliet.se/yta/fi-fma/FPM/Lagstiftning/Regeringens%20skrivelser%20om%20utv&#228;rdering%20av%20statsskuldsf&#246;raltningen/2021-2025/Diagram%20och%20tabeller/Figur%204.2%20Valutaexponeringen.xlsx" TargetMode="External"/><Relationship Id="rId1" Type="http://schemas.openxmlformats.org/officeDocument/2006/relationships/themeOverride" Target="../theme/themeOverride6.xml"/></Relationships>
</file>

<file path=word/charts/_rels/chart11.xml.rels><?xml version="1.0" encoding="UTF-8" standalone="yes"?>
<Relationships xmlns="http://schemas.openxmlformats.org/package/2006/relationships"><Relationship Id="rId1" Type="http://schemas.openxmlformats.org/officeDocument/2006/relationships/oleObject" Target="https://dhs.sp.regeringskansliet.se/yta/fi-fma/FPM/Lagstiftning/Regeringens%20skrivelser%20om%20utv&#228;rdering%20av%20statsskuldsf&#246;raltningen/2021-2025/Diagram%20och%20tabeller/Statsskuldens%20l&#246;ptid%20per%20instrument.xlsx" TargetMode="External"/></Relationships>
</file>

<file path=word/charts/_rels/chart12.xml.rels><?xml version="1.0" encoding="UTF-8" standalone="yes"?>
<Relationships xmlns="http://schemas.openxmlformats.org/package/2006/relationships"><Relationship Id="rId2" Type="http://schemas.openxmlformats.org/officeDocument/2006/relationships/oleObject" Target="https://dhs.sp.regeringskansliet.se/yta/fi-fma/FPM/Lagstiftning/Regeringens%20skrivelser%20om%20utv&#228;rdering%20av%20statsskuldsf&#246;raltningen/2021-2025/Diagram%20och%20tabeller/Teckningskvot.xlsx" TargetMode="External"/><Relationship Id="rId1" Type="http://schemas.openxmlformats.org/officeDocument/2006/relationships/themeOverride" Target="../theme/themeOverride7.xml"/></Relationships>
</file>

<file path=word/charts/_rels/chart13.xml.rels><?xml version="1.0" encoding="UTF-8" standalone="yes"?>
<Relationships xmlns="http://schemas.openxmlformats.org/package/2006/relationships"><Relationship Id="rId2" Type="http://schemas.openxmlformats.org/officeDocument/2006/relationships/oleObject" Target="https://dhs.sp.regeringskansliet.se/yta/fi-fma/FPM/Lagstiftning/Regeringens%20skrivelser%20om%20utv&#228;rdering%20av%20statsskuldsf&#246;raltningen/2021-2025/Diagram%20och%20tabeller/Innehav%20per%20investerarkategori.xlsx" TargetMode="External"/><Relationship Id="rId1" Type="http://schemas.openxmlformats.org/officeDocument/2006/relationships/themeOverride" Target="../theme/themeOverride8.xml"/></Relationships>
</file>

<file path=word/charts/_rels/chart14.xml.rels><?xml version="1.0" encoding="UTF-8" standalone="yes"?>
<Relationships xmlns="http://schemas.openxmlformats.org/package/2006/relationships"><Relationship Id="rId2" Type="http://schemas.openxmlformats.org/officeDocument/2006/relationships/oleObject" Target="https://dhs.sp.regeringskansliet.se/yta/fi-fma/FPM/Lagstiftning/Regeringens%20skrivelser%20om%20utv&#228;rdering%20av%20statsskuldsf&#246;raltningen/2021-2025/Diagram%20och%20tabeller/F&#246;rfalloprofil.xlsx" TargetMode="External"/><Relationship Id="rId1" Type="http://schemas.openxmlformats.org/officeDocument/2006/relationships/themeOverride" Target="../theme/themeOverride9.xml"/></Relationships>
</file>

<file path=word/charts/_rels/chart15.xml.rels><?xml version="1.0" encoding="UTF-8" standalone="yes"?>
<Relationships xmlns="http://schemas.openxmlformats.org/package/2006/relationships"><Relationship Id="rId1" Type="http://schemas.openxmlformats.org/officeDocument/2006/relationships/oleObject" Target="https://dhs.sp.regeringskansliet.se/yta/fi-fma/FPM/Lagstiftning/Regeringens%20skrivelser%20om%20utv&#228;rdering%20av%20statsskuldsf&#246;raltningen/2021-2025/Diagram%20och%20tabeller/Figur%204.4%20F&#246;rtroende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https://dhs.sp.regeringskansliet.se/yta/fi-fma/FPM/Lagstiftning/Regeringens%20skrivelser%20om%20utv&#228;rdering%20av%20statsskuldsf&#246;raltningen/2021-2025/Diagram%20och%20tabeller/Figur%204.5%20marknadsv&#229;rdande%20repor.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https://dhs.sp.regeringskansliet.se/yta/fi-fma/FPM/Lagstiftning/Regeringens%20skrivelser%20om%20utv&#228;rdering%20av%20statsskuldsf&#246;raltningen/2021-2025/Diagram%20och%20tabeller/Figur%205.1%20R&#228;ntekostnad.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https://dhs.sp.regeringskansliet.se/yta/fi-fma/FPM/Lagstiftning/Regeringens%20skrivelser%20om%20utv&#228;rdering%20av%20statsskuldsf&#246;raltningen/2021-2025/Diagram%20och%20tabeller/Figur%205.2%20Altscenario%20valuta.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https://dhs.sp.regeringskansliet.se/yta/fi-fma/FPM/Lagstiftning/Regeringens%20skrivelser%20om%20utv&#228;rdering%20av%20statsskuldsf&#246;raltningen/2021-2025/Diagram%20och%20tabeller/Likviditetsindex.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0"/>
          <c:order val="0"/>
          <c:tx>
            <c:strRef>
              <c:f>Statsformat!$B$8</c:f>
              <c:strCache>
                <c:ptCount val="1"/>
                <c:pt idx="0">
                  <c:v>Räntebetalningar</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0-89BD-4EC6-94D9-BB83A7283F77}"/>
              </c:ext>
            </c:extLst>
          </c:dPt>
          <c:dPt>
            <c:idx val="1"/>
            <c:bubble3D val="0"/>
            <c:extLst>
              <c:ext xmlns:c16="http://schemas.microsoft.com/office/drawing/2014/chart" uri="{C3380CC4-5D6E-409C-BE32-E72D297353CC}">
                <c16:uniqueId val="{00000001-89BD-4EC6-94D9-BB83A7283F77}"/>
              </c:ext>
            </c:extLst>
          </c:dPt>
          <c:cat>
            <c:numRef>
              <c:f>Statsformat!$A$18:$A$22</c:f>
              <c:numCache>
                <c:formatCode>General</c:formatCode>
                <c:ptCount val="5"/>
                <c:pt idx="0">
                  <c:v>2021</c:v>
                </c:pt>
                <c:pt idx="1">
                  <c:v>2022</c:v>
                </c:pt>
                <c:pt idx="2">
                  <c:v>2023</c:v>
                </c:pt>
                <c:pt idx="3">
                  <c:v>2024</c:v>
                </c:pt>
                <c:pt idx="4">
                  <c:v>2025</c:v>
                </c:pt>
              </c:numCache>
              <c:extLst/>
            </c:numRef>
          </c:cat>
          <c:val>
            <c:numRef>
              <c:f>Statsformat!$B$18:$B$22</c:f>
              <c:numCache>
                <c:formatCode>0</c:formatCode>
                <c:ptCount val="5"/>
                <c:pt idx="0">
                  <c:v>-1475</c:v>
                </c:pt>
                <c:pt idx="1">
                  <c:v>26993</c:v>
                </c:pt>
                <c:pt idx="2">
                  <c:v>31771</c:v>
                </c:pt>
                <c:pt idx="3">
                  <c:v>20912</c:v>
                </c:pt>
                <c:pt idx="4">
                  <c:v>31088</c:v>
                </c:pt>
              </c:numCache>
              <c:extLst/>
            </c:numRef>
          </c:val>
          <c:smooth val="0"/>
          <c:extLst>
            <c:ext xmlns:c16="http://schemas.microsoft.com/office/drawing/2014/chart" uri="{C3380CC4-5D6E-409C-BE32-E72D297353CC}">
              <c16:uniqueId val="{00000002-89BD-4EC6-94D9-BB83A7283F77}"/>
            </c:ext>
          </c:extLst>
        </c:ser>
        <c:ser>
          <c:idx val="1"/>
          <c:order val="1"/>
          <c:tx>
            <c:strRef>
              <c:f>Statsformat!$C$8</c:f>
              <c:strCache>
                <c:ptCount val="1"/>
                <c:pt idx="0">
                  <c:v>Primärt nettolånebehov</c:v>
                </c:pt>
              </c:strCache>
            </c:strRef>
          </c:tx>
          <c:spPr>
            <a:ln w="25400">
              <a:solidFill>
                <a:srgbClr val="000000"/>
              </a:solidFill>
              <a:prstDash val="solid"/>
            </a:ln>
          </c:spPr>
          <c:marker>
            <c:symbol val="none"/>
          </c:marker>
          <c:cat>
            <c:numRef>
              <c:f>Statsformat!$A$18:$A$22</c:f>
              <c:numCache>
                <c:formatCode>General</c:formatCode>
                <c:ptCount val="5"/>
                <c:pt idx="0">
                  <c:v>2021</c:v>
                </c:pt>
                <c:pt idx="1">
                  <c:v>2022</c:v>
                </c:pt>
                <c:pt idx="2">
                  <c:v>2023</c:v>
                </c:pt>
                <c:pt idx="3">
                  <c:v>2024</c:v>
                </c:pt>
                <c:pt idx="4">
                  <c:v>2025</c:v>
                </c:pt>
              </c:numCache>
              <c:extLst/>
            </c:numRef>
          </c:cat>
          <c:val>
            <c:numRef>
              <c:f>Statsformat!$C$18:$C$22</c:f>
              <c:numCache>
                <c:formatCode>0</c:formatCode>
                <c:ptCount val="5"/>
                <c:pt idx="0">
                  <c:v>-76375</c:v>
                </c:pt>
                <c:pt idx="1">
                  <c:v>-190623</c:v>
                </c:pt>
                <c:pt idx="2">
                  <c:v>-50835</c:v>
                </c:pt>
                <c:pt idx="3">
                  <c:v>83361</c:v>
                </c:pt>
                <c:pt idx="4">
                  <c:v>70859</c:v>
                </c:pt>
              </c:numCache>
              <c:extLst/>
            </c:numRef>
          </c:val>
          <c:smooth val="0"/>
          <c:extLst>
            <c:ext xmlns:c16="http://schemas.microsoft.com/office/drawing/2014/chart" uri="{C3380CC4-5D6E-409C-BE32-E72D297353CC}">
              <c16:uniqueId val="{00000003-89BD-4EC6-94D9-BB83A7283F77}"/>
            </c:ext>
          </c:extLst>
        </c:ser>
        <c:ser>
          <c:idx val="2"/>
          <c:order val="2"/>
          <c:tx>
            <c:strRef>
              <c:f>Statsformat!$D$8</c:f>
              <c:strCache>
                <c:ptCount val="1"/>
                <c:pt idx="0">
                  <c:v>Nettolånebehov</c:v>
                </c:pt>
              </c:strCache>
            </c:strRef>
          </c:tx>
          <c:spPr>
            <a:ln w="12700">
              <a:solidFill>
                <a:srgbClr val="000000"/>
              </a:solidFill>
              <a:prstDash val="sysDash"/>
            </a:ln>
          </c:spPr>
          <c:marker>
            <c:symbol val="none"/>
          </c:marker>
          <c:cat>
            <c:numRef>
              <c:f>Statsformat!$A$18:$A$22</c:f>
              <c:numCache>
                <c:formatCode>General</c:formatCode>
                <c:ptCount val="5"/>
                <c:pt idx="0">
                  <c:v>2021</c:v>
                </c:pt>
                <c:pt idx="1">
                  <c:v>2022</c:v>
                </c:pt>
                <c:pt idx="2">
                  <c:v>2023</c:v>
                </c:pt>
                <c:pt idx="3">
                  <c:v>2024</c:v>
                </c:pt>
                <c:pt idx="4">
                  <c:v>2025</c:v>
                </c:pt>
              </c:numCache>
              <c:extLst/>
            </c:numRef>
          </c:cat>
          <c:val>
            <c:numRef>
              <c:f>Statsformat!$D$18:$D$22</c:f>
              <c:numCache>
                <c:formatCode>0</c:formatCode>
                <c:ptCount val="5"/>
                <c:pt idx="0">
                  <c:v>-77850</c:v>
                </c:pt>
                <c:pt idx="1">
                  <c:v>-163630</c:v>
                </c:pt>
                <c:pt idx="2">
                  <c:v>-19064</c:v>
                </c:pt>
                <c:pt idx="3">
                  <c:v>104272</c:v>
                </c:pt>
                <c:pt idx="4">
                  <c:v>101946</c:v>
                </c:pt>
              </c:numCache>
              <c:extLst/>
            </c:numRef>
          </c:val>
          <c:smooth val="0"/>
          <c:extLst>
            <c:ext xmlns:c16="http://schemas.microsoft.com/office/drawing/2014/chart" uri="{C3380CC4-5D6E-409C-BE32-E72D297353CC}">
              <c16:uniqueId val="{00000004-89BD-4EC6-94D9-BB83A7283F77}"/>
            </c:ext>
          </c:extLst>
        </c:ser>
        <c:dLbls>
          <c:showLegendKey val="0"/>
          <c:showVal val="0"/>
          <c:showCatName val="0"/>
          <c:showSerName val="0"/>
          <c:showPercent val="0"/>
          <c:showBubbleSize val="0"/>
        </c:dLbls>
        <c:smooth val="0"/>
        <c:axId val="81240832"/>
        <c:axId val="81242368"/>
      </c:lineChart>
      <c:catAx>
        <c:axId val="81240832"/>
        <c:scaling>
          <c:orientation val="minMax"/>
        </c:scaling>
        <c:delete val="0"/>
        <c:axPos val="b"/>
        <c:numFmt formatCode="General"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1"/>
        <c:lblAlgn val="ctr"/>
        <c:lblOffset val="100"/>
        <c:noMultiLvlLbl val="1"/>
      </c:catAx>
      <c:valAx>
        <c:axId val="81242368"/>
        <c:scaling>
          <c:orientation val="minMax"/>
        </c:scaling>
        <c:delete val="0"/>
        <c:axPos val="l"/>
        <c:numFmt formatCode="#,##0" sourceLinked="0"/>
        <c:majorTickMark val="in"/>
        <c:minorTickMark val="none"/>
        <c:tickLblPos val="nextTo"/>
        <c:spPr>
          <a:ln w="3175" cmpd="sng">
            <a:solidFill>
              <a:sysClr val="windowText" lastClr="000000">
                <a:lumMod val="100000"/>
              </a:sysClr>
            </a:solidFill>
          </a:ln>
        </c:spPr>
        <c:txPr>
          <a:bodyPr rot="0" vert="horz"/>
          <a:lstStyle/>
          <a:p>
            <a:pPr algn="just">
              <a:defRPr/>
            </a:pPr>
            <a:endParaRPr lang="sv-SE"/>
          </a:p>
        </c:txPr>
        <c:crossAx val="81240832"/>
        <c:crossesAt val="1"/>
        <c:crossBetween val="between"/>
      </c:valAx>
      <c:spPr>
        <a:noFill/>
        <a:ln w="3175">
          <a:solidFill>
            <a:srgbClr val="000000"/>
          </a:solidFill>
          <a:prstDash val="solid"/>
        </a:ln>
      </c:spPr>
    </c:plotArea>
    <c:legend>
      <c:legendPos val="b"/>
      <c:layout>
        <c:manualLayout>
          <c:xMode val="edge"/>
          <c:yMode val="edge"/>
          <c:x val="0.15389161706349205"/>
          <c:y val="0.90815821256038642"/>
          <c:w val="0.79314723926380371"/>
          <c:h val="2.9397493927520248E-2"/>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8268398268398272"/>
          <c:h val="0.97891460055096424"/>
        </c:manualLayout>
      </c:layout>
      <c:barChart>
        <c:barDir val="col"/>
        <c:grouping val="clustered"/>
        <c:varyColors val="0"/>
        <c:ser>
          <c:idx val="0"/>
          <c:order val="0"/>
          <c:tx>
            <c:strRef>
              <c:f>Statsformat!$B$8</c:f>
              <c:strCache>
                <c:ptCount val="1"/>
                <c:pt idx="0">
                  <c:v>Statsskuld</c:v>
                </c:pt>
              </c:strCache>
            </c:strRef>
          </c:tx>
          <c:spPr>
            <a:solidFill>
              <a:srgbClr val="B4B4B4"/>
            </a:solidFill>
            <a:ln w="3175">
              <a:solidFill>
                <a:sysClr val="windowText" lastClr="000000"/>
              </a:solidFill>
            </a:ln>
          </c:spPr>
          <c:invertIfNegative val="0"/>
          <c:cat>
            <c:numRef>
              <c:f>Statsformat!$A$55:$A$59</c:f>
              <c:numCache>
                <c:formatCode>General</c:formatCode>
                <c:ptCount val="5"/>
                <c:pt idx="0">
                  <c:v>2021</c:v>
                </c:pt>
                <c:pt idx="1">
                  <c:v>2022</c:v>
                </c:pt>
                <c:pt idx="2">
                  <c:v>2023</c:v>
                </c:pt>
                <c:pt idx="3">
                  <c:v>2024</c:v>
                </c:pt>
                <c:pt idx="4">
                  <c:v>2025</c:v>
                </c:pt>
              </c:numCache>
              <c:extLst/>
            </c:numRef>
          </c:cat>
          <c:val>
            <c:numRef>
              <c:f>Statsformat!$B$55:$B$59</c:f>
              <c:numCache>
                <c:formatCode>0</c:formatCode>
                <c:ptCount val="5"/>
                <c:pt idx="0">
                  <c:v>1204.2646243088491</c:v>
                </c:pt>
                <c:pt idx="1">
                  <c:v>1092.6646448622919</c:v>
                </c:pt>
                <c:pt idx="2">
                  <c:v>1027.5596905260861</c:v>
                </c:pt>
                <c:pt idx="3">
                  <c:v>1151.3183769820409</c:v>
                </c:pt>
                <c:pt idx="4">
                  <c:v>1243.8780304872619</c:v>
                </c:pt>
              </c:numCache>
              <c:extLst/>
            </c:numRef>
          </c:val>
          <c:extLst>
            <c:ext xmlns:c16="http://schemas.microsoft.com/office/drawing/2014/chart" uri="{C3380CC4-5D6E-409C-BE32-E72D297353CC}">
              <c16:uniqueId val="{00000000-8CD5-42A8-BCB5-0A74BAB31F7E}"/>
            </c:ext>
          </c:extLst>
        </c:ser>
        <c:dLbls>
          <c:showLegendKey val="0"/>
          <c:showVal val="0"/>
          <c:showCatName val="0"/>
          <c:showSerName val="0"/>
          <c:showPercent val="0"/>
          <c:showBubbleSize val="0"/>
        </c:dLbls>
        <c:gapWidth val="50"/>
        <c:axId val="81486208"/>
        <c:axId val="81488128"/>
      </c:barChart>
      <c:lineChart>
        <c:grouping val="standard"/>
        <c:varyColors val="0"/>
        <c:ser>
          <c:idx val="1"/>
          <c:order val="1"/>
          <c:tx>
            <c:strRef>
              <c:f>Statsformat!$C$8</c:f>
              <c:strCache>
                <c:ptCount val="1"/>
                <c:pt idx="0">
                  <c:v>Andel av BNP</c:v>
                </c:pt>
              </c:strCache>
            </c:strRef>
          </c:tx>
          <c:spPr>
            <a:ln w="12700">
              <a:solidFill>
                <a:sysClr val="windowText" lastClr="000000"/>
              </a:solidFill>
            </a:ln>
          </c:spPr>
          <c:marker>
            <c:symbol val="diamond"/>
            <c:size val="5"/>
            <c:spPr>
              <a:solidFill>
                <a:srgbClr val="000000"/>
              </a:solidFill>
              <a:ln w="6350">
                <a:solidFill>
                  <a:srgbClr val="000000"/>
                </a:solidFill>
              </a:ln>
            </c:spPr>
          </c:marker>
          <c:cat>
            <mc:AlternateContent xmlns:mc="http://schemas.openxmlformats.org/markup-compatibility/2006">
              <mc:Choice xmlns:c16ac="http://schemas.microsoft.com/office/drawing/2014/chart/ac" Requires="c16ac">
                <c16ac:multiLvlStrLit>
                  <c:ptCount val="0"/>
                </c16ac:multiLvlStrLit>
              </mc:Choice>
              <mc:Fallback>
                <c:strLit/>
              </mc:Fallback>
            </mc:AlternateContent>
          </c:cat>
          <c:val>
            <c:numRef>
              <c:f>Statsformat!$C$55:$C$59</c:f>
              <c:numCache>
                <c:formatCode>0.00%</c:formatCode>
                <c:ptCount val="5"/>
                <c:pt idx="0">
                  <c:v>0.222280910248673</c:v>
                </c:pt>
                <c:pt idx="1">
                  <c:v>0.18785878326465599</c:v>
                </c:pt>
                <c:pt idx="2">
                  <c:v>0.16726817701074201</c:v>
                </c:pt>
                <c:pt idx="3">
                  <c:v>0.18025888680007801</c:v>
                </c:pt>
                <c:pt idx="4">
                  <c:v>0.189859962357076</c:v>
                </c:pt>
              </c:numCache>
              <c:extLst/>
            </c:numRef>
          </c:val>
          <c:smooth val="0"/>
          <c:extLst>
            <c:ext xmlns:c16="http://schemas.microsoft.com/office/drawing/2014/chart" uri="{C3380CC4-5D6E-409C-BE32-E72D297353CC}">
              <c16:uniqueId val="{00000001-8CD5-42A8-BCB5-0A74BAB31F7E}"/>
            </c:ext>
          </c:extLst>
        </c:ser>
        <c:dLbls>
          <c:showLegendKey val="0"/>
          <c:showVal val="0"/>
          <c:showCatName val="0"/>
          <c:showSerName val="0"/>
          <c:showPercent val="0"/>
          <c:showBubbleSize val="0"/>
        </c:dLbls>
        <c:marker val="1"/>
        <c:smooth val="0"/>
        <c:axId val="546586696"/>
        <c:axId val="546585976"/>
      </c:lineChart>
      <c:catAx>
        <c:axId val="81486208"/>
        <c:scaling>
          <c:orientation val="minMax"/>
        </c:scaling>
        <c:delete val="0"/>
        <c:axPos val="b"/>
        <c:numFmt formatCode="General" sourceLinked="0"/>
        <c:majorTickMark val="cross"/>
        <c:minorTickMark val="none"/>
        <c:tickLblPos val="nextTo"/>
        <c:spPr>
          <a:ln w="3175" cmpd="sng">
            <a:solidFill>
              <a:sysClr val="windowText" lastClr="000000">
                <a:lumMod val="100000"/>
              </a:sysClr>
            </a:solidFill>
          </a:ln>
        </c:spPr>
        <c:txPr>
          <a:bodyPr rot="0" vert="horz"/>
          <a:lstStyle/>
          <a:p>
            <a:pPr>
              <a:defRPr sz="700" b="0" i="0">
                <a:latin typeface="TradeGothic CondEighteen"/>
                <a:ea typeface="TradeGothic CondEighteen"/>
                <a:cs typeface="TradeGothic CondEighteen"/>
              </a:defRPr>
            </a:pPr>
            <a:endParaRPr lang="sv-SE"/>
          </a:p>
        </c:txPr>
        <c:crossAx val="81488128"/>
        <c:crosses val="autoZero"/>
        <c:auto val="1"/>
        <c:lblAlgn val="ctr"/>
        <c:lblOffset val="100"/>
        <c:noMultiLvlLbl val="1"/>
      </c:catAx>
      <c:valAx>
        <c:axId val="81488128"/>
        <c:scaling>
          <c:orientation val="minMax"/>
        </c:scaling>
        <c:delete val="0"/>
        <c:axPos val="l"/>
        <c:numFmt formatCode="0" sourceLinked="0"/>
        <c:majorTickMark val="in"/>
        <c:minorTickMark val="none"/>
        <c:tickLblPos val="nextTo"/>
        <c:spPr>
          <a:ln w="3175" cmpd="sng">
            <a:solidFill>
              <a:sysClr val="windowText" lastClr="000000">
                <a:lumMod val="100000"/>
              </a:sysClr>
            </a:solidFill>
          </a:ln>
        </c:spPr>
        <c:txPr>
          <a:bodyPr rot="0" vert="horz"/>
          <a:lstStyle/>
          <a:p>
            <a:pPr>
              <a:defRPr sz="700" b="0" i="0">
                <a:latin typeface="TradeGothic CondEighteen"/>
                <a:ea typeface="TradeGothic CondEighteen"/>
                <a:cs typeface="TradeGothic CondEighteen"/>
              </a:defRPr>
            </a:pPr>
            <a:endParaRPr lang="sv-SE"/>
          </a:p>
        </c:txPr>
        <c:crossAx val="81486208"/>
        <c:crosses val="autoZero"/>
        <c:crossBetween val="between"/>
      </c:valAx>
      <c:valAx>
        <c:axId val="546585976"/>
        <c:scaling>
          <c:orientation val="minMax"/>
        </c:scaling>
        <c:delete val="0"/>
        <c:axPos val="r"/>
        <c:numFmt formatCode="0%" sourceLinked="0"/>
        <c:majorTickMark val="out"/>
        <c:minorTickMark val="none"/>
        <c:tickLblPos val="nextTo"/>
        <c:crossAx val="546586696"/>
        <c:crosses val="max"/>
        <c:crossBetween val="between"/>
      </c:valAx>
      <c:catAx>
        <c:axId val="546586696"/>
        <c:scaling>
          <c:orientation val="minMax"/>
        </c:scaling>
        <c:delete val="1"/>
        <c:axPos val="b"/>
        <c:numFmt formatCode="General" sourceLinked="1"/>
        <c:majorTickMark val="out"/>
        <c:minorTickMark val="none"/>
        <c:tickLblPos val="nextTo"/>
        <c:crossAx val="546585976"/>
        <c:crosses val="autoZero"/>
        <c:auto val="1"/>
        <c:lblAlgn val="ctr"/>
        <c:lblOffset val="100"/>
        <c:noMultiLvlLbl val="0"/>
      </c:catAx>
      <c:spPr>
        <a:noFill/>
        <a:ln w="3175">
          <a:solidFill>
            <a:srgbClr val="000000"/>
          </a:solidFill>
          <a:prstDash val="solid"/>
        </a:ln>
      </c:spPr>
    </c:plotArea>
    <c:legend>
      <c:legendPos val="b"/>
      <c:layout>
        <c:manualLayout>
          <c:xMode val="edge"/>
          <c:yMode val="edge"/>
          <c:x val="0.14718609406952965"/>
          <c:y val="7.3673300165837466E-2"/>
          <c:w val="0.7490391956373551"/>
          <c:h val="2.9893881021981941E-2"/>
        </c:manualLayout>
      </c:layout>
      <c:overlay val="0"/>
      <c:spPr>
        <a:noFill/>
        <a:ln w="25400">
          <a:noFill/>
        </a:ln>
        <a:effectLst/>
      </c:spPr>
      <c:txPr>
        <a:bodyPr/>
        <a:lstStyle/>
        <a:p>
          <a:pPr>
            <a:defRPr sz="700" b="0">
              <a:latin typeface="TradeGothic CondEighteen"/>
              <a:ea typeface="TradeGothic CondEighteen"/>
              <a:cs typeface="TradeGothic CondEighteen"/>
            </a:defRPr>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2.2264826175869119E-2"/>
          <c:y val="2.0108356290174472E-2"/>
          <c:w val="0.96878902522154053"/>
          <c:h val="0.97891460055096424"/>
        </c:manualLayout>
      </c:layout>
      <c:barChart>
        <c:barDir val="bar"/>
        <c:grouping val="clustered"/>
        <c:varyColors val="0"/>
        <c:ser>
          <c:idx val="0"/>
          <c:order val="0"/>
          <c:tx>
            <c:strRef>
              <c:f>Statsformat!$A$7</c:f>
              <c:strCache>
                <c:ptCount val="1"/>
                <c:pt idx="0">
                  <c:v>Dataområde</c:v>
                </c:pt>
              </c:strCache>
            </c:strRef>
          </c:tx>
          <c:spPr>
            <a:solidFill>
              <a:sysClr val="window" lastClr="FFFFFF">
                <a:lumMod val="65000"/>
              </a:sysClr>
            </a:solidFill>
            <a:ln w="3175">
              <a:solidFill>
                <a:sysClr val="windowText" lastClr="000000"/>
              </a:solidFill>
            </a:ln>
          </c:spPr>
          <c:invertIfNegative val="0"/>
          <c:dPt>
            <c:idx val="0"/>
            <c:invertIfNegative val="0"/>
            <c:bubble3D val="0"/>
            <c:extLst>
              <c:ext xmlns:c16="http://schemas.microsoft.com/office/drawing/2014/chart" uri="{C3380CC4-5D6E-409C-BE32-E72D297353CC}">
                <c16:uniqueId val="{00000000-66BF-4CA1-A5A2-204A4D177FBC}"/>
              </c:ext>
            </c:extLst>
          </c:dPt>
          <c:dPt>
            <c:idx val="1"/>
            <c:invertIfNegative val="0"/>
            <c:bubble3D val="0"/>
            <c:extLst>
              <c:ext xmlns:c16="http://schemas.microsoft.com/office/drawing/2014/chart" uri="{C3380CC4-5D6E-409C-BE32-E72D297353CC}">
                <c16:uniqueId val="{00000001-66BF-4CA1-A5A2-204A4D177FBC}"/>
              </c:ext>
            </c:extLst>
          </c:dPt>
          <c:dPt>
            <c:idx val="2"/>
            <c:invertIfNegative val="0"/>
            <c:bubble3D val="0"/>
            <c:spPr>
              <a:solidFill>
                <a:srgbClr val="000000"/>
              </a:solidFill>
              <a:ln w="3175">
                <a:solidFill>
                  <a:sysClr val="windowText" lastClr="000000"/>
                </a:solidFill>
              </a:ln>
            </c:spPr>
            <c:extLst>
              <c:ext xmlns:c16="http://schemas.microsoft.com/office/drawing/2014/chart" uri="{C3380CC4-5D6E-409C-BE32-E72D297353CC}">
                <c16:uniqueId val="{00000003-66BF-4CA1-A5A2-204A4D177FBC}"/>
              </c:ext>
            </c:extLst>
          </c:dPt>
          <c:dPt>
            <c:idx val="3"/>
            <c:invertIfNegative val="0"/>
            <c:bubble3D val="0"/>
            <c:extLst>
              <c:ext xmlns:c16="http://schemas.microsoft.com/office/drawing/2014/chart" uri="{C3380CC4-5D6E-409C-BE32-E72D297353CC}">
                <c16:uniqueId val="{00000004-66BF-4CA1-A5A2-204A4D177FBC}"/>
              </c:ext>
            </c:extLst>
          </c:dPt>
          <c:dPt>
            <c:idx val="4"/>
            <c:invertIfNegative val="0"/>
            <c:bubble3D val="0"/>
            <c:spPr>
              <a:solidFill>
                <a:srgbClr val="000000"/>
              </a:solidFill>
              <a:ln w="3175">
                <a:solidFill>
                  <a:sysClr val="windowText" lastClr="000000"/>
                </a:solidFill>
              </a:ln>
            </c:spPr>
            <c:extLst>
              <c:ext xmlns:c16="http://schemas.microsoft.com/office/drawing/2014/chart" uri="{C3380CC4-5D6E-409C-BE32-E72D297353CC}">
                <c16:uniqueId val="{00000006-66BF-4CA1-A5A2-204A4D177FBC}"/>
              </c:ext>
            </c:extLst>
          </c:dPt>
          <c:dPt>
            <c:idx val="5"/>
            <c:invertIfNegative val="0"/>
            <c:bubble3D val="0"/>
            <c:extLst>
              <c:ext xmlns:c16="http://schemas.microsoft.com/office/drawing/2014/chart" uri="{C3380CC4-5D6E-409C-BE32-E72D297353CC}">
                <c16:uniqueId val="{00000007-66BF-4CA1-A5A2-204A4D177FBC}"/>
              </c:ext>
            </c:extLst>
          </c:dPt>
          <c:dPt>
            <c:idx val="6"/>
            <c:invertIfNegative val="0"/>
            <c:bubble3D val="0"/>
            <c:extLst>
              <c:ext xmlns:c16="http://schemas.microsoft.com/office/drawing/2014/chart" uri="{C3380CC4-5D6E-409C-BE32-E72D297353CC}">
                <c16:uniqueId val="{00000008-66BF-4CA1-A5A2-204A4D177FBC}"/>
              </c:ext>
            </c:extLst>
          </c:dPt>
          <c:dPt>
            <c:idx val="7"/>
            <c:invertIfNegative val="0"/>
            <c:bubble3D val="0"/>
            <c:extLst>
              <c:ext xmlns:c16="http://schemas.microsoft.com/office/drawing/2014/chart" uri="{C3380CC4-5D6E-409C-BE32-E72D297353CC}">
                <c16:uniqueId val="{00000009-66BF-4CA1-A5A2-204A4D177FBC}"/>
              </c:ext>
            </c:extLst>
          </c:dPt>
          <c:dPt>
            <c:idx val="8"/>
            <c:invertIfNegative val="0"/>
            <c:bubble3D val="0"/>
            <c:extLst>
              <c:ext xmlns:c16="http://schemas.microsoft.com/office/drawing/2014/chart" uri="{C3380CC4-5D6E-409C-BE32-E72D297353CC}">
                <c16:uniqueId val="{0000000A-66BF-4CA1-A5A2-204A4D177FBC}"/>
              </c:ext>
            </c:extLst>
          </c:dPt>
          <c:dPt>
            <c:idx val="9"/>
            <c:invertIfNegative val="0"/>
            <c:bubble3D val="0"/>
            <c:extLst>
              <c:ext xmlns:c16="http://schemas.microsoft.com/office/drawing/2014/chart" uri="{C3380CC4-5D6E-409C-BE32-E72D297353CC}">
                <c16:uniqueId val="{0000000B-66BF-4CA1-A5A2-204A4D177FBC}"/>
              </c:ext>
            </c:extLst>
          </c:dPt>
          <c:dPt>
            <c:idx val="10"/>
            <c:invertIfNegative val="0"/>
            <c:bubble3D val="0"/>
            <c:extLst>
              <c:ext xmlns:c16="http://schemas.microsoft.com/office/drawing/2014/chart" uri="{C3380CC4-5D6E-409C-BE32-E72D297353CC}">
                <c16:uniqueId val="{0000000C-66BF-4CA1-A5A2-204A4D177FBC}"/>
              </c:ext>
            </c:extLst>
          </c:dPt>
          <c:cat>
            <c:strRef>
              <c:f>Statsformat!$A$9:$A$21</c:f>
              <c:strCache>
                <c:ptCount val="13"/>
                <c:pt idx="0">
                  <c:v>Danmark</c:v>
                </c:pt>
                <c:pt idx="1">
                  <c:v>Irland</c:v>
                </c:pt>
                <c:pt idx="2">
                  <c:v>Sverige</c:v>
                </c:pt>
                <c:pt idx="3">
                  <c:v>Tyskland</c:v>
                </c:pt>
                <c:pt idx="4">
                  <c:v>EU (27)</c:v>
                </c:pt>
                <c:pt idx="5">
                  <c:v>Finland</c:v>
                </c:pt>
                <c:pt idx="6">
                  <c:v>Euroområdet (20)</c:v>
                </c:pt>
                <c:pt idx="7">
                  <c:v>Portugal</c:v>
                </c:pt>
                <c:pt idx="8">
                  <c:v>Spanien</c:v>
                </c:pt>
                <c:pt idx="9">
                  <c:v>Belgien</c:v>
                </c:pt>
                <c:pt idx="10">
                  <c:v>Frankrike</c:v>
                </c:pt>
                <c:pt idx="11">
                  <c:v>Italien</c:v>
                </c:pt>
                <c:pt idx="12">
                  <c:v>Grekland</c:v>
                </c:pt>
              </c:strCache>
            </c:strRef>
          </c:cat>
          <c:val>
            <c:numRef>
              <c:f>Statsformat!$C$9:$C$21</c:f>
              <c:numCache>
                <c:formatCode>0.0%</c:formatCode>
                <c:ptCount val="13"/>
                <c:pt idx="0">
                  <c:v>0.29699999999999999</c:v>
                </c:pt>
                <c:pt idx="1">
                  <c:v>0.32799999999999996</c:v>
                </c:pt>
                <c:pt idx="2">
                  <c:v>0.33299999999999996</c:v>
                </c:pt>
                <c:pt idx="3">
                  <c:v>0.63</c:v>
                </c:pt>
                <c:pt idx="4">
                  <c:v>0.82099999999999995</c:v>
                </c:pt>
                <c:pt idx="5">
                  <c:v>0.86799999999999999</c:v>
                </c:pt>
                <c:pt idx="6">
                  <c:v>0.88500000000000001</c:v>
                </c:pt>
                <c:pt idx="7">
                  <c:v>0.97599999999999998</c:v>
                </c:pt>
                <c:pt idx="8">
                  <c:v>1.032</c:v>
                </c:pt>
                <c:pt idx="9">
                  <c:v>1.071</c:v>
                </c:pt>
                <c:pt idx="10">
                  <c:v>1.177</c:v>
                </c:pt>
                <c:pt idx="11">
                  <c:v>1.3780000000000001</c:v>
                </c:pt>
                <c:pt idx="12">
                  <c:v>1.4969999999999999</c:v>
                </c:pt>
              </c:numCache>
            </c:numRef>
          </c:val>
          <c:extLst>
            <c:ext xmlns:c16="http://schemas.microsoft.com/office/drawing/2014/chart" uri="{C3380CC4-5D6E-409C-BE32-E72D297353CC}">
              <c16:uniqueId val="{0000000D-66BF-4CA1-A5A2-204A4D177FBC}"/>
            </c:ext>
          </c:extLst>
        </c:ser>
        <c:dLbls>
          <c:showLegendKey val="0"/>
          <c:showVal val="0"/>
          <c:showCatName val="0"/>
          <c:showSerName val="0"/>
          <c:showPercent val="0"/>
          <c:showBubbleSize val="0"/>
        </c:dLbls>
        <c:gapWidth val="50"/>
        <c:axId val="81201024"/>
        <c:axId val="81202560"/>
        <c:extLst>
          <c:ext xmlns:c15="http://schemas.microsoft.com/office/drawing/2012/chart" uri="{02D57815-91ED-43cb-92C2-25804820EDAC}">
            <c15:filteredBarSeries>
              <c15:ser>
                <c:idx val="1"/>
                <c:order val="1"/>
                <c:tx>
                  <c:strRef>
                    <c:extLst>
                      <c:ext uri="{02D57815-91ED-43cb-92C2-25804820EDAC}">
                        <c15:formulaRef>
                          <c15:sqref>Statsformat!$C$8</c15:sqref>
                        </c15:formulaRef>
                      </c:ext>
                    </c:extLst>
                    <c:strCache>
                      <c:ptCount val="1"/>
                      <c:pt idx="0">
                        <c:v>Exempel2</c:v>
                      </c:pt>
                    </c:strCache>
                  </c:strRef>
                </c:tx>
                <c:spPr>
                  <a:solidFill>
                    <a:srgbClr val="B4B4B4"/>
                  </a:solidFill>
                  <a:ln w="3175">
                    <a:solidFill>
                      <a:sysClr val="windowText" lastClr="000000"/>
                    </a:solidFill>
                  </a:ln>
                </c:spPr>
                <c:invertIfNegative val="0"/>
                <c:cat>
                  <c:strRef>
                    <c:extLst>
                      <c:ext uri="{02D57815-91ED-43cb-92C2-25804820EDAC}">
                        <c15:formulaRef>
                          <c15:sqref>Statsformat!$A$9:$A$21</c15:sqref>
                        </c15:formulaRef>
                      </c:ext>
                    </c:extLst>
                    <c:strCache>
                      <c:ptCount val="13"/>
                      <c:pt idx="0">
                        <c:v>Danmark</c:v>
                      </c:pt>
                      <c:pt idx="1">
                        <c:v>Irland</c:v>
                      </c:pt>
                      <c:pt idx="2">
                        <c:v>Sverige</c:v>
                      </c:pt>
                      <c:pt idx="3">
                        <c:v>Tyskland</c:v>
                      </c:pt>
                      <c:pt idx="4">
                        <c:v>EU (27)</c:v>
                      </c:pt>
                      <c:pt idx="5">
                        <c:v>Finland</c:v>
                      </c:pt>
                      <c:pt idx="6">
                        <c:v>Euroområdet (20)</c:v>
                      </c:pt>
                      <c:pt idx="7">
                        <c:v>Portugal</c:v>
                      </c:pt>
                      <c:pt idx="8">
                        <c:v>Spanien</c:v>
                      </c:pt>
                      <c:pt idx="9">
                        <c:v>Belgien</c:v>
                      </c:pt>
                      <c:pt idx="10">
                        <c:v>Frankrike</c:v>
                      </c:pt>
                      <c:pt idx="11">
                        <c:v>Italien</c:v>
                      </c:pt>
                      <c:pt idx="12">
                        <c:v>Grekland</c:v>
                      </c:pt>
                    </c:strCache>
                  </c:strRef>
                </c:cat>
                <c:val>
                  <c:numRef>
                    <c:extLst>
                      <c:ext uri="{02D57815-91ED-43cb-92C2-25804820EDAC}">
                        <c15:formulaRef>
                          <c15:sqref>Statsformat!$B$11:$B$21</c15:sqref>
                        </c15:formulaRef>
                      </c:ext>
                    </c:extLst>
                    <c:numCache>
                      <c:formatCode>#\ ##0.0</c:formatCode>
                      <c:ptCount val="11"/>
                      <c:pt idx="0" formatCode="#\ ##0.##########">
                        <c:v>33.299999999999997</c:v>
                      </c:pt>
                      <c:pt idx="1">
                        <c:v>63</c:v>
                      </c:pt>
                      <c:pt idx="2" formatCode="#\ ##0.##########">
                        <c:v>82.1</c:v>
                      </c:pt>
                      <c:pt idx="3" formatCode="#\ ##0.##########">
                        <c:v>86.8</c:v>
                      </c:pt>
                      <c:pt idx="4" formatCode="#\ ##0.##########">
                        <c:v>88.5</c:v>
                      </c:pt>
                      <c:pt idx="5" formatCode="#\ ##0.##########">
                        <c:v>97.6</c:v>
                      </c:pt>
                      <c:pt idx="6" formatCode="#\ ##0.##########">
                        <c:v>103.2</c:v>
                      </c:pt>
                      <c:pt idx="7" formatCode="#\ ##0.##########">
                        <c:v>107.1</c:v>
                      </c:pt>
                      <c:pt idx="8" formatCode="#\ ##0.##########">
                        <c:v>117.7</c:v>
                      </c:pt>
                      <c:pt idx="9" formatCode="#\ ##0.##########">
                        <c:v>137.80000000000001</c:v>
                      </c:pt>
                      <c:pt idx="10" formatCode="#\ ##0.##########">
                        <c:v>149.69999999999999</c:v>
                      </c:pt>
                    </c:numCache>
                  </c:numRef>
                </c:val>
                <c:extLst>
                  <c:ext xmlns:c16="http://schemas.microsoft.com/office/drawing/2014/chart" uri="{C3380CC4-5D6E-409C-BE32-E72D297353CC}">
                    <c16:uniqueId val="{0000000E-66BF-4CA1-A5A2-204A4D177FB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Statsformat!$D$8</c15:sqref>
                        </c15:formulaRef>
                      </c:ext>
                    </c:extLst>
                    <c:strCache>
                      <c:ptCount val="1"/>
                    </c:strCache>
                  </c:strRef>
                </c:tx>
                <c:spPr>
                  <a:solidFill>
                    <a:srgbClr val="5A5A5A"/>
                  </a:solidFill>
                  <a:ln w="3175">
                    <a:solidFill>
                      <a:sysClr val="windowText" lastClr="000000"/>
                    </a:solidFill>
                  </a:ln>
                </c:spPr>
                <c:invertIfNegative val="0"/>
                <c:cat>
                  <c:strRef>
                    <c:extLst xmlns:c15="http://schemas.microsoft.com/office/drawing/2012/chart">
                      <c:ext xmlns:c15="http://schemas.microsoft.com/office/drawing/2012/chart" uri="{02D57815-91ED-43cb-92C2-25804820EDAC}">
                        <c15:formulaRef>
                          <c15:sqref>Statsformat!$A$9:$A$21</c15:sqref>
                        </c15:formulaRef>
                      </c:ext>
                    </c:extLst>
                    <c:strCache>
                      <c:ptCount val="13"/>
                      <c:pt idx="0">
                        <c:v>Danmark</c:v>
                      </c:pt>
                      <c:pt idx="1">
                        <c:v>Irland</c:v>
                      </c:pt>
                      <c:pt idx="2">
                        <c:v>Sverige</c:v>
                      </c:pt>
                      <c:pt idx="3">
                        <c:v>Tyskland</c:v>
                      </c:pt>
                      <c:pt idx="4">
                        <c:v>EU (27)</c:v>
                      </c:pt>
                      <c:pt idx="5">
                        <c:v>Finland</c:v>
                      </c:pt>
                      <c:pt idx="6">
                        <c:v>Euroområdet (20)</c:v>
                      </c:pt>
                      <c:pt idx="7">
                        <c:v>Portugal</c:v>
                      </c:pt>
                      <c:pt idx="8">
                        <c:v>Spanien</c:v>
                      </c:pt>
                      <c:pt idx="9">
                        <c:v>Belgien</c:v>
                      </c:pt>
                      <c:pt idx="10">
                        <c:v>Frankrike</c:v>
                      </c:pt>
                      <c:pt idx="11">
                        <c:v>Italien</c:v>
                      </c:pt>
                      <c:pt idx="12">
                        <c:v>Grekland</c:v>
                      </c:pt>
                    </c:strCache>
                  </c:strRef>
                </c:cat>
                <c:val>
                  <c:numRef>
                    <c:extLst xmlns:c15="http://schemas.microsoft.com/office/drawing/2012/chart">
                      <c:ext xmlns:c15="http://schemas.microsoft.com/office/drawing/2012/chart" uri="{02D57815-91ED-43cb-92C2-25804820EDAC}">
                        <c15:formulaRef>
                          <c15:sqref>Statsformat!$C$11:$C$21</c15:sqref>
                        </c15:formulaRef>
                      </c:ext>
                    </c:extLst>
                    <c:numCache>
                      <c:formatCode>0.0%</c:formatCode>
                      <c:ptCount val="11"/>
                      <c:pt idx="0">
                        <c:v>0.33299999999999996</c:v>
                      </c:pt>
                      <c:pt idx="1">
                        <c:v>0.63</c:v>
                      </c:pt>
                      <c:pt idx="2">
                        <c:v>0.82099999999999995</c:v>
                      </c:pt>
                      <c:pt idx="3">
                        <c:v>0.86799999999999999</c:v>
                      </c:pt>
                      <c:pt idx="4">
                        <c:v>0.88500000000000001</c:v>
                      </c:pt>
                      <c:pt idx="5">
                        <c:v>0.97599999999999998</c:v>
                      </c:pt>
                      <c:pt idx="6">
                        <c:v>1.032</c:v>
                      </c:pt>
                      <c:pt idx="7">
                        <c:v>1.071</c:v>
                      </c:pt>
                      <c:pt idx="8">
                        <c:v>1.177</c:v>
                      </c:pt>
                      <c:pt idx="9">
                        <c:v>1.3780000000000001</c:v>
                      </c:pt>
                      <c:pt idx="10">
                        <c:v>1.4969999999999999</c:v>
                      </c:pt>
                    </c:numCache>
                  </c:numRef>
                </c:val>
                <c:extLst xmlns:c15="http://schemas.microsoft.com/office/drawing/2012/chart">
                  <c:ext xmlns:c16="http://schemas.microsoft.com/office/drawing/2014/chart" uri="{C3380CC4-5D6E-409C-BE32-E72D297353CC}">
                    <c16:uniqueId val="{0000000F-66BF-4CA1-A5A2-204A4D177FBC}"/>
                  </c:ext>
                </c:extLst>
              </c15:ser>
            </c15:filteredBarSeries>
          </c:ext>
        </c:extLst>
      </c:barChart>
      <c:catAx>
        <c:axId val="81201024"/>
        <c:scaling>
          <c:orientation val="minMax"/>
        </c:scaling>
        <c:delete val="0"/>
        <c:axPos val="l"/>
        <c:numFmt formatCode="General"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02560"/>
        <c:crosses val="autoZero"/>
        <c:auto val="1"/>
        <c:lblAlgn val="ctr"/>
        <c:lblOffset val="100"/>
        <c:noMultiLvlLbl val="1"/>
      </c:catAx>
      <c:valAx>
        <c:axId val="81202560"/>
        <c:scaling>
          <c:orientation val="minMax"/>
        </c:scaling>
        <c:delete val="0"/>
        <c:axPos val="b"/>
        <c:numFmt formatCode="0%" sourceLinked="0"/>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01024"/>
        <c:crossesAt val="1"/>
        <c:crossBetween val="between"/>
      </c:valAx>
      <c:spPr>
        <a:noFill/>
        <a:ln w="3175">
          <a:solidFill>
            <a:srgbClr val="000000"/>
          </a:solidFill>
          <a:prstDash val="solid"/>
        </a:ln>
      </c:spPr>
    </c:plotArea>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0"/>
          <c:order val="0"/>
          <c:tx>
            <c:strRef>
              <c:f>Statsformat!$B$8</c:f>
              <c:strCache>
                <c:ptCount val="1"/>
                <c:pt idx="0">
                  <c:v>Utestående</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0-4DFC-4914-A850-8177428A6F91}"/>
              </c:ext>
            </c:extLst>
          </c:dPt>
          <c:dPt>
            <c:idx val="1"/>
            <c:bubble3D val="0"/>
            <c:extLst>
              <c:ext xmlns:c16="http://schemas.microsoft.com/office/drawing/2014/chart" uri="{C3380CC4-5D6E-409C-BE32-E72D297353CC}">
                <c16:uniqueId val="{00000001-4DFC-4914-A850-8177428A6F91}"/>
              </c:ext>
            </c:extLst>
          </c:dPt>
          <c:dPt>
            <c:idx val="2"/>
            <c:bubble3D val="0"/>
            <c:extLst>
              <c:ext xmlns:c16="http://schemas.microsoft.com/office/drawing/2014/chart" uri="{C3380CC4-5D6E-409C-BE32-E72D297353CC}">
                <c16:uniqueId val="{00000002-4DFC-4914-A850-8177428A6F91}"/>
              </c:ext>
            </c:extLst>
          </c:dPt>
          <c:dPt>
            <c:idx val="3"/>
            <c:bubble3D val="0"/>
            <c:extLst>
              <c:ext xmlns:c16="http://schemas.microsoft.com/office/drawing/2014/chart" uri="{C3380CC4-5D6E-409C-BE32-E72D297353CC}">
                <c16:uniqueId val="{00000003-4DFC-4914-A850-8177428A6F91}"/>
              </c:ext>
            </c:extLst>
          </c:dPt>
          <c:dPt>
            <c:idx val="4"/>
            <c:bubble3D val="0"/>
            <c:extLst>
              <c:ext xmlns:c16="http://schemas.microsoft.com/office/drawing/2014/chart" uri="{C3380CC4-5D6E-409C-BE32-E72D297353CC}">
                <c16:uniqueId val="{00000004-4DFC-4914-A850-8177428A6F91}"/>
              </c:ext>
            </c:extLst>
          </c:dPt>
          <c:dPt>
            <c:idx val="5"/>
            <c:bubble3D val="0"/>
            <c:extLst>
              <c:ext xmlns:c16="http://schemas.microsoft.com/office/drawing/2014/chart" uri="{C3380CC4-5D6E-409C-BE32-E72D297353CC}">
                <c16:uniqueId val="{00000005-4DFC-4914-A850-8177428A6F91}"/>
              </c:ext>
            </c:extLst>
          </c:dPt>
          <c:dPt>
            <c:idx val="6"/>
            <c:bubble3D val="0"/>
            <c:extLst>
              <c:ext xmlns:c16="http://schemas.microsoft.com/office/drawing/2014/chart" uri="{C3380CC4-5D6E-409C-BE32-E72D297353CC}">
                <c16:uniqueId val="{00000006-4DFC-4914-A850-8177428A6F91}"/>
              </c:ext>
            </c:extLst>
          </c:dPt>
          <c:dPt>
            <c:idx val="7"/>
            <c:bubble3D val="0"/>
            <c:extLst>
              <c:ext xmlns:c16="http://schemas.microsoft.com/office/drawing/2014/chart" uri="{C3380CC4-5D6E-409C-BE32-E72D297353CC}">
                <c16:uniqueId val="{00000007-4DFC-4914-A850-8177428A6F91}"/>
              </c:ext>
            </c:extLst>
          </c:dPt>
          <c:dPt>
            <c:idx val="8"/>
            <c:bubble3D val="0"/>
            <c:extLst>
              <c:ext xmlns:c16="http://schemas.microsoft.com/office/drawing/2014/chart" uri="{C3380CC4-5D6E-409C-BE32-E72D297353CC}">
                <c16:uniqueId val="{00000008-4DFC-4914-A850-8177428A6F91}"/>
              </c:ext>
            </c:extLst>
          </c:dPt>
          <c:dPt>
            <c:idx val="9"/>
            <c:bubble3D val="0"/>
            <c:extLst>
              <c:ext xmlns:c16="http://schemas.microsoft.com/office/drawing/2014/chart" uri="{C3380CC4-5D6E-409C-BE32-E72D297353CC}">
                <c16:uniqueId val="{00000009-4DFC-4914-A850-8177428A6F91}"/>
              </c:ext>
            </c:extLst>
          </c:dPt>
          <c:dPt>
            <c:idx val="10"/>
            <c:bubble3D val="0"/>
            <c:extLst>
              <c:ext xmlns:c16="http://schemas.microsoft.com/office/drawing/2014/chart" uri="{C3380CC4-5D6E-409C-BE32-E72D297353CC}">
                <c16:uniqueId val="{0000000A-4DFC-4914-A850-8177428A6F91}"/>
              </c:ext>
            </c:extLst>
          </c:dPt>
          <c:cat>
            <c:numRef>
              <c:f>Statsformat!$A$9:$A$68</c:f>
              <c:numCache>
                <c:formatCode>m/d/yyyy</c:formatCode>
                <c:ptCount val="60"/>
                <c:pt idx="0">
                  <c:v>44227</c:v>
                </c:pt>
                <c:pt idx="1">
                  <c:v>44255</c:v>
                </c:pt>
                <c:pt idx="2">
                  <c:v>44286</c:v>
                </c:pt>
                <c:pt idx="3">
                  <c:v>44316</c:v>
                </c:pt>
                <c:pt idx="4">
                  <c:v>44345</c:v>
                </c:pt>
                <c:pt idx="5">
                  <c:v>44377</c:v>
                </c:pt>
                <c:pt idx="6">
                  <c:v>44408</c:v>
                </c:pt>
                <c:pt idx="7">
                  <c:v>44439</c:v>
                </c:pt>
                <c:pt idx="8">
                  <c:v>44469</c:v>
                </c:pt>
                <c:pt idx="9">
                  <c:v>44499</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45321</c:v>
                </c:pt>
                <c:pt idx="37">
                  <c:v>45350</c:v>
                </c:pt>
                <c:pt idx="38">
                  <c:v>45382</c:v>
                </c:pt>
                <c:pt idx="39">
                  <c:v>45412</c:v>
                </c:pt>
                <c:pt idx="40">
                  <c:v>45443</c:v>
                </c:pt>
                <c:pt idx="41">
                  <c:v>45473</c:v>
                </c:pt>
                <c:pt idx="42">
                  <c:v>45504</c:v>
                </c:pt>
                <c:pt idx="43">
                  <c:v>45535</c:v>
                </c:pt>
                <c:pt idx="44">
                  <c:v>45565</c:v>
                </c:pt>
                <c:pt idx="45">
                  <c:v>45596</c:v>
                </c:pt>
                <c:pt idx="46">
                  <c:v>45626</c:v>
                </c:pt>
                <c:pt idx="47">
                  <c:v>45657</c:v>
                </c:pt>
                <c:pt idx="48">
                  <c:v>45688</c:v>
                </c:pt>
                <c:pt idx="49">
                  <c:v>45716</c:v>
                </c:pt>
                <c:pt idx="50">
                  <c:v>45747</c:v>
                </c:pt>
                <c:pt idx="51">
                  <c:v>45777</c:v>
                </c:pt>
                <c:pt idx="52">
                  <c:v>45808</c:v>
                </c:pt>
                <c:pt idx="53">
                  <c:v>45838</c:v>
                </c:pt>
                <c:pt idx="54">
                  <c:v>45869</c:v>
                </c:pt>
                <c:pt idx="55">
                  <c:v>45900</c:v>
                </c:pt>
                <c:pt idx="56">
                  <c:v>45930</c:v>
                </c:pt>
                <c:pt idx="57">
                  <c:v>45961</c:v>
                </c:pt>
                <c:pt idx="58">
                  <c:v>45991</c:v>
                </c:pt>
                <c:pt idx="59">
                  <c:v>46022</c:v>
                </c:pt>
              </c:numCache>
            </c:numRef>
          </c:cat>
          <c:val>
            <c:numRef>
              <c:f>Statsformat!$B$9:$B$68</c:f>
              <c:numCache>
                <c:formatCode>_-* #\ ##0_-;\-* #\ ##0_-;_-* "-"??_-;_-@_-</c:formatCode>
                <c:ptCount val="60"/>
                <c:pt idx="0">
                  <c:v>583482.94999999995</c:v>
                </c:pt>
                <c:pt idx="1">
                  <c:v>593482.94999999995</c:v>
                </c:pt>
                <c:pt idx="2">
                  <c:v>603482.94999999995</c:v>
                </c:pt>
                <c:pt idx="3">
                  <c:v>608482.94999999995</c:v>
                </c:pt>
                <c:pt idx="4">
                  <c:v>618482.94999999995</c:v>
                </c:pt>
                <c:pt idx="5">
                  <c:v>633482.94999999995</c:v>
                </c:pt>
                <c:pt idx="6">
                  <c:v>633482.94999999995</c:v>
                </c:pt>
                <c:pt idx="7">
                  <c:v>636982.94999999995</c:v>
                </c:pt>
                <c:pt idx="8">
                  <c:v>643982.94999999995</c:v>
                </c:pt>
                <c:pt idx="9">
                  <c:v>650982.94999999995</c:v>
                </c:pt>
                <c:pt idx="10">
                  <c:v>653482.94999999995</c:v>
                </c:pt>
                <c:pt idx="11">
                  <c:v>655982.94999999995</c:v>
                </c:pt>
                <c:pt idx="12">
                  <c:v>658482.94999999995</c:v>
                </c:pt>
                <c:pt idx="13">
                  <c:v>663482.94999999995</c:v>
                </c:pt>
                <c:pt idx="14">
                  <c:v>668482.94999999995</c:v>
                </c:pt>
                <c:pt idx="15">
                  <c:v>673482.95</c:v>
                </c:pt>
                <c:pt idx="16">
                  <c:v>572852.44999999995</c:v>
                </c:pt>
                <c:pt idx="17">
                  <c:v>577666.44999999995</c:v>
                </c:pt>
                <c:pt idx="18">
                  <c:v>577666.44999999995</c:v>
                </c:pt>
                <c:pt idx="19">
                  <c:v>579666.44999999995</c:v>
                </c:pt>
                <c:pt idx="20">
                  <c:v>583666.44999999995</c:v>
                </c:pt>
                <c:pt idx="21">
                  <c:v>587666.44999999995</c:v>
                </c:pt>
                <c:pt idx="22">
                  <c:v>591666.44999999995</c:v>
                </c:pt>
                <c:pt idx="23">
                  <c:v>593666.44999999995</c:v>
                </c:pt>
                <c:pt idx="24">
                  <c:v>595666.44999999995</c:v>
                </c:pt>
                <c:pt idx="25">
                  <c:v>599666.44999999995</c:v>
                </c:pt>
                <c:pt idx="26">
                  <c:v>603666.44999999995</c:v>
                </c:pt>
                <c:pt idx="27">
                  <c:v>607666.44999999995</c:v>
                </c:pt>
                <c:pt idx="28">
                  <c:v>611666.44999999995</c:v>
                </c:pt>
                <c:pt idx="29">
                  <c:v>615666.44999999995</c:v>
                </c:pt>
                <c:pt idx="30">
                  <c:v>615666.44999999995</c:v>
                </c:pt>
                <c:pt idx="31">
                  <c:v>620666.44999999995</c:v>
                </c:pt>
                <c:pt idx="32">
                  <c:v>625666.44999999995</c:v>
                </c:pt>
                <c:pt idx="33">
                  <c:v>630666.44999999995</c:v>
                </c:pt>
                <c:pt idx="34">
                  <c:v>532531.44999999995</c:v>
                </c:pt>
                <c:pt idx="35">
                  <c:v>535031.44999999995</c:v>
                </c:pt>
                <c:pt idx="36">
                  <c:v>538031.44999999995</c:v>
                </c:pt>
                <c:pt idx="37">
                  <c:v>545550.44999999995</c:v>
                </c:pt>
                <c:pt idx="38">
                  <c:v>552550.44999999995</c:v>
                </c:pt>
                <c:pt idx="39">
                  <c:v>559550.44999999995</c:v>
                </c:pt>
                <c:pt idx="40">
                  <c:v>563050.44999999995</c:v>
                </c:pt>
                <c:pt idx="41">
                  <c:v>565650.44999999995</c:v>
                </c:pt>
                <c:pt idx="42">
                  <c:v>565650.44999999995</c:v>
                </c:pt>
                <c:pt idx="43">
                  <c:v>573650.44999999995</c:v>
                </c:pt>
                <c:pt idx="44">
                  <c:v>581650.44999999995</c:v>
                </c:pt>
                <c:pt idx="45">
                  <c:v>589650.44999999995</c:v>
                </c:pt>
                <c:pt idx="46">
                  <c:v>597650.44999999995</c:v>
                </c:pt>
                <c:pt idx="47">
                  <c:v>605650.44999999995</c:v>
                </c:pt>
                <c:pt idx="48">
                  <c:v>615650.44999999995</c:v>
                </c:pt>
                <c:pt idx="49">
                  <c:v>620650.44999999995</c:v>
                </c:pt>
                <c:pt idx="50">
                  <c:v>630650.44999999995</c:v>
                </c:pt>
                <c:pt idx="51">
                  <c:v>635650.44999999995</c:v>
                </c:pt>
                <c:pt idx="52">
                  <c:v>562524.44999999995</c:v>
                </c:pt>
                <c:pt idx="53">
                  <c:v>578951.44999999995</c:v>
                </c:pt>
                <c:pt idx="54">
                  <c:v>578951.44999999995</c:v>
                </c:pt>
                <c:pt idx="55">
                  <c:v>590951.44999999995</c:v>
                </c:pt>
                <c:pt idx="56">
                  <c:v>602951.44999999995</c:v>
                </c:pt>
                <c:pt idx="57">
                  <c:v>614951.44999999995</c:v>
                </c:pt>
                <c:pt idx="58">
                  <c:v>626951.44999999995</c:v>
                </c:pt>
                <c:pt idx="59">
                  <c:v>638951.44999999995</c:v>
                </c:pt>
              </c:numCache>
            </c:numRef>
          </c:val>
          <c:smooth val="0"/>
          <c:extLst>
            <c:ext xmlns:c16="http://schemas.microsoft.com/office/drawing/2014/chart" uri="{C3380CC4-5D6E-409C-BE32-E72D297353CC}">
              <c16:uniqueId val="{0000000B-4DFC-4914-A850-8177428A6F91}"/>
            </c:ext>
          </c:extLst>
        </c:ser>
        <c:ser>
          <c:idx val="3"/>
          <c:order val="3"/>
          <c:tx>
            <c:strRef>
              <c:f>Statsformat!$E$8</c:f>
              <c:strCache>
                <c:ptCount val="1"/>
                <c:pt idx="0">
                  <c:v>Utestående minus Riksbankens innehav</c:v>
                </c:pt>
              </c:strCache>
            </c:strRef>
          </c:tx>
          <c:marker>
            <c:symbol val="none"/>
          </c:marker>
          <c:cat>
            <c:numRef>
              <c:f>Statsformat!$A$9:$A$68</c:f>
              <c:numCache>
                <c:formatCode>m/d/yyyy</c:formatCode>
                <c:ptCount val="60"/>
                <c:pt idx="0">
                  <c:v>44227</c:v>
                </c:pt>
                <c:pt idx="1">
                  <c:v>44255</c:v>
                </c:pt>
                <c:pt idx="2">
                  <c:v>44286</c:v>
                </c:pt>
                <c:pt idx="3">
                  <c:v>44316</c:v>
                </c:pt>
                <c:pt idx="4">
                  <c:v>44345</c:v>
                </c:pt>
                <c:pt idx="5">
                  <c:v>44377</c:v>
                </c:pt>
                <c:pt idx="6">
                  <c:v>44408</c:v>
                </c:pt>
                <c:pt idx="7">
                  <c:v>44439</c:v>
                </c:pt>
                <c:pt idx="8">
                  <c:v>44469</c:v>
                </c:pt>
                <c:pt idx="9">
                  <c:v>44499</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45321</c:v>
                </c:pt>
                <c:pt idx="37">
                  <c:v>45350</c:v>
                </c:pt>
                <c:pt idx="38">
                  <c:v>45382</c:v>
                </c:pt>
                <c:pt idx="39">
                  <c:v>45412</c:v>
                </c:pt>
                <c:pt idx="40">
                  <c:v>45443</c:v>
                </c:pt>
                <c:pt idx="41">
                  <c:v>45473</c:v>
                </c:pt>
                <c:pt idx="42">
                  <c:v>45504</c:v>
                </c:pt>
                <c:pt idx="43">
                  <c:v>45535</c:v>
                </c:pt>
                <c:pt idx="44">
                  <c:v>45565</c:v>
                </c:pt>
                <c:pt idx="45">
                  <c:v>45596</c:v>
                </c:pt>
                <c:pt idx="46">
                  <c:v>45626</c:v>
                </c:pt>
                <c:pt idx="47">
                  <c:v>45657</c:v>
                </c:pt>
                <c:pt idx="48">
                  <c:v>45688</c:v>
                </c:pt>
                <c:pt idx="49">
                  <c:v>45716</c:v>
                </c:pt>
                <c:pt idx="50">
                  <c:v>45747</c:v>
                </c:pt>
                <c:pt idx="51">
                  <c:v>45777</c:v>
                </c:pt>
                <c:pt idx="52">
                  <c:v>45808</c:v>
                </c:pt>
                <c:pt idx="53">
                  <c:v>45838</c:v>
                </c:pt>
                <c:pt idx="54">
                  <c:v>45869</c:v>
                </c:pt>
                <c:pt idx="55">
                  <c:v>45900</c:v>
                </c:pt>
                <c:pt idx="56">
                  <c:v>45930</c:v>
                </c:pt>
                <c:pt idx="57">
                  <c:v>45961</c:v>
                </c:pt>
                <c:pt idx="58">
                  <c:v>45991</c:v>
                </c:pt>
                <c:pt idx="59">
                  <c:v>46022</c:v>
                </c:pt>
              </c:numCache>
            </c:numRef>
          </c:cat>
          <c:val>
            <c:numRef>
              <c:f>Statsformat!$E$9:$E$68</c:f>
              <c:numCache>
                <c:formatCode>_-* #\ ##0_-;\-* #\ ##0_-;_-* "-"??_-;_-@_-</c:formatCode>
                <c:ptCount val="60"/>
                <c:pt idx="0">
                  <c:v>278110.94999999995</c:v>
                </c:pt>
                <c:pt idx="1">
                  <c:v>283568.94999999995</c:v>
                </c:pt>
                <c:pt idx="2">
                  <c:v>290518.95</c:v>
                </c:pt>
                <c:pt idx="3">
                  <c:v>293018.94999999995</c:v>
                </c:pt>
                <c:pt idx="4">
                  <c:v>299018.95</c:v>
                </c:pt>
                <c:pt idx="5">
                  <c:v>311768.94999999995</c:v>
                </c:pt>
                <c:pt idx="6">
                  <c:v>309768.95</c:v>
                </c:pt>
                <c:pt idx="7">
                  <c:v>312268.95</c:v>
                </c:pt>
                <c:pt idx="8">
                  <c:v>315768.95</c:v>
                </c:pt>
                <c:pt idx="9">
                  <c:v>319018.94999999995</c:v>
                </c:pt>
                <c:pt idx="10">
                  <c:v>319768.95</c:v>
                </c:pt>
                <c:pt idx="11">
                  <c:v>321268.95</c:v>
                </c:pt>
                <c:pt idx="12">
                  <c:v>320768.95</c:v>
                </c:pt>
                <c:pt idx="13">
                  <c:v>322268.94999999995</c:v>
                </c:pt>
                <c:pt idx="14">
                  <c:v>324268.95</c:v>
                </c:pt>
                <c:pt idx="15">
                  <c:v>324868.95</c:v>
                </c:pt>
                <c:pt idx="16">
                  <c:v>288373.45</c:v>
                </c:pt>
                <c:pt idx="17">
                  <c:v>291537.44999999995</c:v>
                </c:pt>
                <c:pt idx="18">
                  <c:v>290537.44999999995</c:v>
                </c:pt>
                <c:pt idx="19">
                  <c:v>292037.45</c:v>
                </c:pt>
                <c:pt idx="20">
                  <c:v>295237.44999999995</c:v>
                </c:pt>
                <c:pt idx="21">
                  <c:v>298037.45</c:v>
                </c:pt>
                <c:pt idx="22">
                  <c:v>301287.44999999995</c:v>
                </c:pt>
                <c:pt idx="23">
                  <c:v>303037.45</c:v>
                </c:pt>
                <c:pt idx="24">
                  <c:v>305037.45</c:v>
                </c:pt>
                <c:pt idx="25">
                  <c:v>309037.45</c:v>
                </c:pt>
                <c:pt idx="26">
                  <c:v>313037.45</c:v>
                </c:pt>
                <c:pt idx="27">
                  <c:v>320037.44999999995</c:v>
                </c:pt>
                <c:pt idx="28">
                  <c:v>327037.45</c:v>
                </c:pt>
                <c:pt idx="29">
                  <c:v>334037.45</c:v>
                </c:pt>
                <c:pt idx="30">
                  <c:v>334037.45</c:v>
                </c:pt>
                <c:pt idx="31">
                  <c:v>339037.44999999995</c:v>
                </c:pt>
                <c:pt idx="32">
                  <c:v>348237.45</c:v>
                </c:pt>
                <c:pt idx="33">
                  <c:v>357437.45</c:v>
                </c:pt>
                <c:pt idx="34">
                  <c:v>318911.45</c:v>
                </c:pt>
                <c:pt idx="35">
                  <c:v>325611.45</c:v>
                </c:pt>
                <c:pt idx="36">
                  <c:v>332311.44999999995</c:v>
                </c:pt>
                <c:pt idx="37">
                  <c:v>345530.44999999995</c:v>
                </c:pt>
                <c:pt idx="38">
                  <c:v>356030.44999999995</c:v>
                </c:pt>
                <c:pt idx="39">
                  <c:v>368730.44999999995</c:v>
                </c:pt>
                <c:pt idx="40">
                  <c:v>377930.44999999995</c:v>
                </c:pt>
                <c:pt idx="41">
                  <c:v>386230.44999999995</c:v>
                </c:pt>
                <c:pt idx="42">
                  <c:v>386230.44999999995</c:v>
                </c:pt>
                <c:pt idx="43">
                  <c:v>394230.44999999995</c:v>
                </c:pt>
                <c:pt idx="44">
                  <c:v>407180.44999999995</c:v>
                </c:pt>
                <c:pt idx="45">
                  <c:v>420880.44999999995</c:v>
                </c:pt>
                <c:pt idx="46">
                  <c:v>434580.44999999995</c:v>
                </c:pt>
                <c:pt idx="47">
                  <c:v>448225.44999999995</c:v>
                </c:pt>
                <c:pt idx="48">
                  <c:v>464825.44999999995</c:v>
                </c:pt>
                <c:pt idx="49">
                  <c:v>473635.44999999995</c:v>
                </c:pt>
                <c:pt idx="50">
                  <c:v>490385.44999999995</c:v>
                </c:pt>
                <c:pt idx="51">
                  <c:v>501085.44999999995</c:v>
                </c:pt>
                <c:pt idx="52">
                  <c:v>478475.44999999995</c:v>
                </c:pt>
                <c:pt idx="53">
                  <c:v>500602.44999999995</c:v>
                </c:pt>
                <c:pt idx="54">
                  <c:v>500602.44999999995</c:v>
                </c:pt>
                <c:pt idx="55">
                  <c:v>512602.44999999995</c:v>
                </c:pt>
                <c:pt idx="56">
                  <c:v>529202.44999999995</c:v>
                </c:pt>
                <c:pt idx="57">
                  <c:v>546902.44999999995</c:v>
                </c:pt>
                <c:pt idx="58">
                  <c:v>564602.44999999995</c:v>
                </c:pt>
                <c:pt idx="59">
                  <c:v>580302.44999999995</c:v>
                </c:pt>
              </c:numCache>
            </c:numRef>
          </c:val>
          <c:smooth val="0"/>
          <c:extLst>
            <c:ext xmlns:c16="http://schemas.microsoft.com/office/drawing/2014/chart" uri="{C3380CC4-5D6E-409C-BE32-E72D297353CC}">
              <c16:uniqueId val="{0000000C-4DFC-4914-A850-8177428A6F91}"/>
            </c:ext>
          </c:extLst>
        </c:ser>
        <c:dLbls>
          <c:showLegendKey val="0"/>
          <c:showVal val="0"/>
          <c:showCatName val="0"/>
          <c:showSerName val="0"/>
          <c:showPercent val="0"/>
          <c:showBubbleSize val="0"/>
        </c:dLbls>
        <c:marker val="1"/>
        <c:smooth val="0"/>
        <c:axId val="81240832"/>
        <c:axId val="81242368"/>
        <c:extLst>
          <c:ext xmlns:c15="http://schemas.microsoft.com/office/drawing/2012/chart" uri="{02D57815-91ED-43cb-92C2-25804820EDAC}">
            <c15:filteredLineSeries>
              <c15:ser>
                <c:idx val="1"/>
                <c:order val="1"/>
                <c:tx>
                  <c:strRef>
                    <c:extLst>
                      <c:ext uri="{02D57815-91ED-43cb-92C2-25804820EDAC}">
                        <c15:formulaRef>
                          <c15:sqref>Statsformat!$C$8</c15:sqref>
                        </c15:formulaRef>
                      </c:ext>
                    </c:extLst>
                    <c:strCache>
                      <c:ptCount val="1"/>
                      <c:pt idx="0">
                        <c:v>Riksbankens innehav</c:v>
                      </c:pt>
                    </c:strCache>
                  </c:strRef>
                </c:tx>
                <c:spPr>
                  <a:ln w="25400">
                    <a:solidFill>
                      <a:srgbClr val="000000"/>
                    </a:solidFill>
                    <a:prstDash val="solid"/>
                  </a:ln>
                </c:spPr>
                <c:marker>
                  <c:symbol val="none"/>
                </c:marker>
                <c:cat>
                  <c:numRef>
                    <c:extLst>
                      <c:ext uri="{02D57815-91ED-43cb-92C2-25804820EDAC}">
                        <c15:formulaRef>
                          <c15:sqref>Statsformat!$A$9:$A$68</c15:sqref>
                        </c15:formulaRef>
                      </c:ext>
                    </c:extLst>
                    <c:numCache>
                      <c:formatCode>m/d/yyyy</c:formatCode>
                      <c:ptCount val="60"/>
                      <c:pt idx="0">
                        <c:v>44227</c:v>
                      </c:pt>
                      <c:pt idx="1">
                        <c:v>44255</c:v>
                      </c:pt>
                      <c:pt idx="2">
                        <c:v>44286</c:v>
                      </c:pt>
                      <c:pt idx="3">
                        <c:v>44316</c:v>
                      </c:pt>
                      <c:pt idx="4">
                        <c:v>44345</c:v>
                      </c:pt>
                      <c:pt idx="5">
                        <c:v>44377</c:v>
                      </c:pt>
                      <c:pt idx="6">
                        <c:v>44408</c:v>
                      </c:pt>
                      <c:pt idx="7">
                        <c:v>44439</c:v>
                      </c:pt>
                      <c:pt idx="8">
                        <c:v>44469</c:v>
                      </c:pt>
                      <c:pt idx="9">
                        <c:v>44499</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45321</c:v>
                      </c:pt>
                      <c:pt idx="37">
                        <c:v>45350</c:v>
                      </c:pt>
                      <c:pt idx="38">
                        <c:v>45382</c:v>
                      </c:pt>
                      <c:pt idx="39">
                        <c:v>45412</c:v>
                      </c:pt>
                      <c:pt idx="40">
                        <c:v>45443</c:v>
                      </c:pt>
                      <c:pt idx="41">
                        <c:v>45473</c:v>
                      </c:pt>
                      <c:pt idx="42">
                        <c:v>45504</c:v>
                      </c:pt>
                      <c:pt idx="43">
                        <c:v>45535</c:v>
                      </c:pt>
                      <c:pt idx="44">
                        <c:v>45565</c:v>
                      </c:pt>
                      <c:pt idx="45">
                        <c:v>45596</c:v>
                      </c:pt>
                      <c:pt idx="46">
                        <c:v>45626</c:v>
                      </c:pt>
                      <c:pt idx="47">
                        <c:v>45657</c:v>
                      </c:pt>
                      <c:pt idx="48">
                        <c:v>45688</c:v>
                      </c:pt>
                      <c:pt idx="49">
                        <c:v>45716</c:v>
                      </c:pt>
                      <c:pt idx="50">
                        <c:v>45747</c:v>
                      </c:pt>
                      <c:pt idx="51">
                        <c:v>45777</c:v>
                      </c:pt>
                      <c:pt idx="52">
                        <c:v>45808</c:v>
                      </c:pt>
                      <c:pt idx="53">
                        <c:v>45838</c:v>
                      </c:pt>
                      <c:pt idx="54">
                        <c:v>45869</c:v>
                      </c:pt>
                      <c:pt idx="55">
                        <c:v>45900</c:v>
                      </c:pt>
                      <c:pt idx="56">
                        <c:v>45930</c:v>
                      </c:pt>
                      <c:pt idx="57">
                        <c:v>45961</c:v>
                      </c:pt>
                      <c:pt idx="58">
                        <c:v>45991</c:v>
                      </c:pt>
                      <c:pt idx="59">
                        <c:v>46022</c:v>
                      </c:pt>
                    </c:numCache>
                  </c:numRef>
                </c:cat>
                <c:val>
                  <c:numRef>
                    <c:extLst>
                      <c:ext uri="{02D57815-91ED-43cb-92C2-25804820EDAC}">
                        <c15:formulaRef>
                          <c15:sqref>Statsformat!$C$9:$C$68</c15:sqref>
                        </c15:formulaRef>
                      </c:ext>
                    </c:extLst>
                    <c:numCache>
                      <c:formatCode>General</c:formatCode>
                      <c:ptCount val="60"/>
                      <c:pt idx="0">
                        <c:v>305372</c:v>
                      </c:pt>
                      <c:pt idx="1">
                        <c:v>309914</c:v>
                      </c:pt>
                      <c:pt idx="2">
                        <c:v>312964</c:v>
                      </c:pt>
                      <c:pt idx="3">
                        <c:v>315464</c:v>
                      </c:pt>
                      <c:pt idx="4">
                        <c:v>319464</c:v>
                      </c:pt>
                      <c:pt idx="5">
                        <c:v>321714</c:v>
                      </c:pt>
                      <c:pt idx="6">
                        <c:v>323714</c:v>
                      </c:pt>
                      <c:pt idx="7">
                        <c:v>324714</c:v>
                      </c:pt>
                      <c:pt idx="8">
                        <c:v>328214</c:v>
                      </c:pt>
                      <c:pt idx="9">
                        <c:v>331964</c:v>
                      </c:pt>
                      <c:pt idx="10">
                        <c:v>333714</c:v>
                      </c:pt>
                      <c:pt idx="11" formatCode="#,##0">
                        <c:v>334714</c:v>
                      </c:pt>
                      <c:pt idx="12">
                        <c:v>337714</c:v>
                      </c:pt>
                      <c:pt idx="13" formatCode="#,##0">
                        <c:v>341214</c:v>
                      </c:pt>
                      <c:pt idx="14" formatCode="#,##0">
                        <c:v>344214</c:v>
                      </c:pt>
                      <c:pt idx="15" formatCode="#,##0">
                        <c:v>348614</c:v>
                      </c:pt>
                      <c:pt idx="16" formatCode="#,##0">
                        <c:v>284479</c:v>
                      </c:pt>
                      <c:pt idx="17" formatCode="#,##0">
                        <c:v>286129</c:v>
                      </c:pt>
                      <c:pt idx="18" formatCode="#,##0">
                        <c:v>287129</c:v>
                      </c:pt>
                      <c:pt idx="19" formatCode="#,##0">
                        <c:v>287629</c:v>
                      </c:pt>
                      <c:pt idx="20" formatCode="#,##0">
                        <c:v>288429</c:v>
                      </c:pt>
                      <c:pt idx="21" formatCode="#,##0">
                        <c:v>289629</c:v>
                      </c:pt>
                      <c:pt idx="22" formatCode="#,##0">
                        <c:v>290379</c:v>
                      </c:pt>
                      <c:pt idx="23" formatCode="#,##0">
                        <c:v>290629</c:v>
                      </c:pt>
                      <c:pt idx="24" formatCode="#,##0">
                        <c:v>290629</c:v>
                      </c:pt>
                      <c:pt idx="25" formatCode="#,##0">
                        <c:v>290629</c:v>
                      </c:pt>
                      <c:pt idx="26" formatCode="#,##0">
                        <c:v>290629</c:v>
                      </c:pt>
                      <c:pt idx="27" formatCode="#,##0">
                        <c:v>287629</c:v>
                      </c:pt>
                      <c:pt idx="28" formatCode="#,##0">
                        <c:v>284629</c:v>
                      </c:pt>
                      <c:pt idx="29" formatCode="#,##0">
                        <c:v>281629</c:v>
                      </c:pt>
                      <c:pt idx="30" formatCode="#,##0">
                        <c:v>281629</c:v>
                      </c:pt>
                      <c:pt idx="31" formatCode="#,##0">
                        <c:v>281629</c:v>
                      </c:pt>
                      <c:pt idx="32" formatCode="#,##0">
                        <c:v>277429</c:v>
                      </c:pt>
                      <c:pt idx="33" formatCode="#,##0">
                        <c:v>273229</c:v>
                      </c:pt>
                      <c:pt idx="34" formatCode="#,##0">
                        <c:v>213620</c:v>
                      </c:pt>
                      <c:pt idx="35" formatCode="#,##0">
                        <c:v>209420</c:v>
                      </c:pt>
                      <c:pt idx="36" formatCode="_-* #\ ##0_-;\-* #\ ##0_-;_-* &quot;-&quot;??_-;_-@_-">
                        <c:v>205720</c:v>
                      </c:pt>
                      <c:pt idx="37" formatCode="_-* #\ ##0_-;\-* #\ ##0_-;_-* &quot;-&quot;??_-;_-@_-">
                        <c:v>200020</c:v>
                      </c:pt>
                      <c:pt idx="38" formatCode="_-* #\ ##0_-;\-* #\ ##0_-;_-* &quot;-&quot;??_-;_-@_-">
                        <c:v>196520</c:v>
                      </c:pt>
                      <c:pt idx="39" formatCode="_-* #\ ##0_-;\-* #\ ##0_-;_-* &quot;-&quot;??_-;_-@_-">
                        <c:v>190820</c:v>
                      </c:pt>
                      <c:pt idx="40" formatCode="_-* #\ ##0_-;\-* #\ ##0_-;_-* &quot;-&quot;??_-;_-@_-">
                        <c:v>185120</c:v>
                      </c:pt>
                      <c:pt idx="41" formatCode="_-* #\ ##0_-;\-* #\ ##0_-;_-* &quot;-&quot;??_-;_-@_-">
                        <c:v>179420</c:v>
                      </c:pt>
                      <c:pt idx="42" formatCode="_-* #\ ##0_-;\-* #\ ##0_-;_-* &quot;-&quot;??_-;_-@_-">
                        <c:v>179420</c:v>
                      </c:pt>
                      <c:pt idx="43" formatCode="_-* #\ ##0_-;\-* #\ ##0_-;_-* &quot;-&quot;??_-;_-@_-">
                        <c:v>179420</c:v>
                      </c:pt>
                      <c:pt idx="44" formatCode="_-* #\ ##0_-;\-* #\ ##0_-;_-* &quot;-&quot;??_-;_-@_-">
                        <c:v>174470</c:v>
                      </c:pt>
                      <c:pt idx="45" formatCode="_-* #\ ##0_-;\-* #\ ##0_-;_-* &quot;-&quot;??_-;_-@_-">
                        <c:v>168770</c:v>
                      </c:pt>
                      <c:pt idx="46" formatCode="_-* #\ ##0_-;\-* #\ ##0_-;_-* &quot;-&quot;??_-;_-@_-">
                        <c:v>163070</c:v>
                      </c:pt>
                      <c:pt idx="47" formatCode="_-* #\ ##0_-;\-* #\ ##0_-;_-* &quot;-&quot;??_-;_-@_-">
                        <c:v>157425</c:v>
                      </c:pt>
                      <c:pt idx="48" formatCode="_-* #\ ##0_-;\-* #\ ##0_-;_-* &quot;-&quot;??_-;_-@_-">
                        <c:v>150825</c:v>
                      </c:pt>
                      <c:pt idx="49" formatCode="_-* #\ ##0_-;\-* #\ ##0_-;_-* &quot;-&quot;??_-;_-@_-">
                        <c:v>147015</c:v>
                      </c:pt>
                      <c:pt idx="50" formatCode="_-* #\ ##0_-;\-* #\ ##0_-;_-* &quot;-&quot;??_-;_-@_-">
                        <c:v>140265</c:v>
                      </c:pt>
                      <c:pt idx="51" formatCode="_-* #\ ##0_-;\-* #\ ##0_-;_-* &quot;-&quot;??_-;_-@_-">
                        <c:v>134565</c:v>
                      </c:pt>
                      <c:pt idx="52" formatCode="_-* #\ ##0_-;\-* #\ ##0_-;_-* &quot;-&quot;??_-;_-@_-">
                        <c:v>84049</c:v>
                      </c:pt>
                      <c:pt idx="53" formatCode="_-* #\ ##0_-;\-* #\ ##0_-;_-* &quot;-&quot;??_-;_-@_-">
                        <c:v>78349</c:v>
                      </c:pt>
                      <c:pt idx="54" formatCode="_-* #\ ##0_-;\-* #\ ##0_-;_-* &quot;-&quot;??_-;_-@_-">
                        <c:v>78349</c:v>
                      </c:pt>
                      <c:pt idx="55" formatCode="_-* #\ ##0_-;\-* #\ ##0_-;_-* &quot;-&quot;??_-;_-@_-">
                        <c:v>78349</c:v>
                      </c:pt>
                      <c:pt idx="56" formatCode="_-* #\ ##0_-;\-* #\ ##0_-;_-* &quot;-&quot;??_-;_-@_-">
                        <c:v>73749</c:v>
                      </c:pt>
                      <c:pt idx="57" formatCode="_-* #\ ##0_-;\-* #\ ##0_-;_-* &quot;-&quot;??_-;_-@_-">
                        <c:v>68049</c:v>
                      </c:pt>
                      <c:pt idx="58" formatCode="_-* #\ ##0_-;\-* #\ ##0_-;_-* &quot;-&quot;??_-;_-@_-">
                        <c:v>62349</c:v>
                      </c:pt>
                      <c:pt idx="59" formatCode="_-* #\ ##0_-;\-* #\ ##0_-;_-* &quot;-&quot;??_-;_-@_-">
                        <c:v>58649</c:v>
                      </c:pt>
                    </c:numCache>
                  </c:numRef>
                </c:val>
                <c:smooth val="0"/>
                <c:extLst>
                  <c:ext xmlns:c16="http://schemas.microsoft.com/office/drawing/2014/chart" uri="{C3380CC4-5D6E-409C-BE32-E72D297353CC}">
                    <c16:uniqueId val="{0000000E-4DFC-4914-A850-8177428A6F91}"/>
                  </c:ext>
                </c:extLst>
              </c15:ser>
            </c15:filteredLineSeries>
          </c:ext>
        </c:extLst>
      </c:lineChart>
      <c:lineChart>
        <c:grouping val="standard"/>
        <c:varyColors val="0"/>
        <c:ser>
          <c:idx val="2"/>
          <c:order val="2"/>
          <c:tx>
            <c:strRef>
              <c:f>Statsformat!$D$8</c:f>
              <c:strCache>
                <c:ptCount val="1"/>
                <c:pt idx="0">
                  <c:v>Riksbankens andel (höger axel)</c:v>
                </c:pt>
              </c:strCache>
            </c:strRef>
          </c:tx>
          <c:spPr>
            <a:ln w="12700">
              <a:solidFill>
                <a:srgbClr val="000000"/>
              </a:solidFill>
              <a:prstDash val="sysDash"/>
            </a:ln>
          </c:spPr>
          <c:marker>
            <c:symbol val="none"/>
          </c:marker>
          <c:cat>
            <c:numRef>
              <c:f>Statsformat!$A$9:$A$68</c:f>
              <c:numCache>
                <c:formatCode>m/d/yyyy</c:formatCode>
                <c:ptCount val="60"/>
                <c:pt idx="0">
                  <c:v>44227</c:v>
                </c:pt>
                <c:pt idx="1">
                  <c:v>44255</c:v>
                </c:pt>
                <c:pt idx="2">
                  <c:v>44286</c:v>
                </c:pt>
                <c:pt idx="3">
                  <c:v>44316</c:v>
                </c:pt>
                <c:pt idx="4">
                  <c:v>44345</c:v>
                </c:pt>
                <c:pt idx="5">
                  <c:v>44377</c:v>
                </c:pt>
                <c:pt idx="6">
                  <c:v>44408</c:v>
                </c:pt>
                <c:pt idx="7">
                  <c:v>44439</c:v>
                </c:pt>
                <c:pt idx="8">
                  <c:v>44469</c:v>
                </c:pt>
                <c:pt idx="9">
                  <c:v>44499</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45321</c:v>
                </c:pt>
                <c:pt idx="37">
                  <c:v>45350</c:v>
                </c:pt>
                <c:pt idx="38">
                  <c:v>45382</c:v>
                </c:pt>
                <c:pt idx="39">
                  <c:v>45412</c:v>
                </c:pt>
                <c:pt idx="40">
                  <c:v>45443</c:v>
                </c:pt>
                <c:pt idx="41">
                  <c:v>45473</c:v>
                </c:pt>
                <c:pt idx="42">
                  <c:v>45504</c:v>
                </c:pt>
                <c:pt idx="43">
                  <c:v>45535</c:v>
                </c:pt>
                <c:pt idx="44">
                  <c:v>45565</c:v>
                </c:pt>
                <c:pt idx="45">
                  <c:v>45596</c:v>
                </c:pt>
                <c:pt idx="46">
                  <c:v>45626</c:v>
                </c:pt>
                <c:pt idx="47">
                  <c:v>45657</c:v>
                </c:pt>
                <c:pt idx="48">
                  <c:v>45688</c:v>
                </c:pt>
                <c:pt idx="49">
                  <c:v>45716</c:v>
                </c:pt>
                <c:pt idx="50">
                  <c:v>45747</c:v>
                </c:pt>
                <c:pt idx="51">
                  <c:v>45777</c:v>
                </c:pt>
                <c:pt idx="52">
                  <c:v>45808</c:v>
                </c:pt>
                <c:pt idx="53">
                  <c:v>45838</c:v>
                </c:pt>
                <c:pt idx="54">
                  <c:v>45869</c:v>
                </c:pt>
                <c:pt idx="55">
                  <c:v>45900</c:v>
                </c:pt>
                <c:pt idx="56">
                  <c:v>45930</c:v>
                </c:pt>
                <c:pt idx="57">
                  <c:v>45961</c:v>
                </c:pt>
                <c:pt idx="58">
                  <c:v>45991</c:v>
                </c:pt>
                <c:pt idx="59">
                  <c:v>46022</c:v>
                </c:pt>
              </c:numCache>
            </c:numRef>
          </c:cat>
          <c:val>
            <c:numRef>
              <c:f>Statsformat!$D$9:$D$68</c:f>
              <c:numCache>
                <c:formatCode>0%</c:formatCode>
                <c:ptCount val="60"/>
                <c:pt idx="0">
                  <c:v>0.52336062261973559</c:v>
                </c:pt>
                <c:pt idx="1">
                  <c:v>0.5221952880027978</c:v>
                </c:pt>
                <c:pt idx="2">
                  <c:v>0.51859625860183789</c:v>
                </c:pt>
                <c:pt idx="3">
                  <c:v>0.51844345022321503</c:v>
                </c:pt>
                <c:pt idx="4">
                  <c:v>0.51652838610991625</c:v>
                </c:pt>
                <c:pt idx="5">
                  <c:v>0.50784950092184811</c:v>
                </c:pt>
                <c:pt idx="6">
                  <c:v>0.5110066498238035</c:v>
                </c:pt>
                <c:pt idx="7">
                  <c:v>0.50976874655750204</c:v>
                </c:pt>
                <c:pt idx="8">
                  <c:v>0.50966256171844304</c:v>
                </c:pt>
                <c:pt idx="9">
                  <c:v>0.50994269511974166</c:v>
                </c:pt>
                <c:pt idx="10">
                  <c:v>0.51066978870680557</c:v>
                </c:pt>
                <c:pt idx="11">
                  <c:v>0.51024801787912322</c:v>
                </c:pt>
                <c:pt idx="12">
                  <c:v>0.51286673405894567</c:v>
                </c:pt>
                <c:pt idx="13">
                  <c:v>0.5142769682325673</c:v>
                </c:pt>
                <c:pt idx="14">
                  <c:v>0.51491814413516457</c:v>
                </c:pt>
                <c:pt idx="15">
                  <c:v>0.5176285457560581</c:v>
                </c:pt>
                <c:pt idx="16">
                  <c:v>0.49660082626861424</c:v>
                </c:pt>
                <c:pt idx="17">
                  <c:v>0.49531870857308752</c:v>
                </c:pt>
                <c:pt idx="18">
                  <c:v>0.49704981135740189</c:v>
                </c:pt>
                <c:pt idx="19">
                  <c:v>0.49619742526068228</c:v>
                </c:pt>
                <c:pt idx="20">
                  <c:v>0.49416751639570861</c:v>
                </c:pt>
                <c:pt idx="21">
                  <c:v>0.49284589923416594</c:v>
                </c:pt>
                <c:pt idx="22">
                  <c:v>0.4907815881735394</c:v>
                </c:pt>
                <c:pt idx="23">
                  <c:v>0.48954930837004518</c:v>
                </c:pt>
                <c:pt idx="24">
                  <c:v>0.48790560556163609</c:v>
                </c:pt>
                <c:pt idx="25">
                  <c:v>0.48465109228638692</c:v>
                </c:pt>
                <c:pt idx="26">
                  <c:v>0.48143970896510818</c:v>
                </c:pt>
                <c:pt idx="27">
                  <c:v>0.4733336849516705</c:v>
                </c:pt>
                <c:pt idx="28">
                  <c:v>0.46533367981846974</c:v>
                </c:pt>
                <c:pt idx="29">
                  <c:v>0.45743762714372371</c:v>
                </c:pt>
                <c:pt idx="30">
                  <c:v>0.45743762714372371</c:v>
                </c:pt>
                <c:pt idx="31">
                  <c:v>0.45375257515530287</c:v>
                </c:pt>
                <c:pt idx="32">
                  <c:v>0.44341357923219316</c:v>
                </c:pt>
                <c:pt idx="33">
                  <c:v>0.43323852093289572</c:v>
                </c:pt>
                <c:pt idx="34">
                  <c:v>0.40114062746904433</c:v>
                </c:pt>
                <c:pt idx="35">
                  <c:v>0.39141624291431842</c:v>
                </c:pt>
                <c:pt idx="36">
                  <c:v>0.38235683062765202</c:v>
                </c:pt>
                <c:pt idx="37">
                  <c:v>0.36663886905418192</c:v>
                </c:pt>
                <c:pt idx="38">
                  <c:v>0.35565983160451686</c:v>
                </c:pt>
                <c:pt idx="39">
                  <c:v>0.34102376291539038</c:v>
                </c:pt>
                <c:pt idx="40">
                  <c:v>0.32878048494588719</c:v>
                </c:pt>
                <c:pt idx="41">
                  <c:v>0.31719235793059125</c:v>
                </c:pt>
                <c:pt idx="42">
                  <c:v>0.31719235793059125</c:v>
                </c:pt>
                <c:pt idx="43">
                  <c:v>0.31276886473287002</c:v>
                </c:pt>
                <c:pt idx="44">
                  <c:v>0.29995678676084581</c:v>
                </c:pt>
                <c:pt idx="45">
                  <c:v>0.28622042092904365</c:v>
                </c:pt>
                <c:pt idx="46">
                  <c:v>0.27285179823758188</c:v>
                </c:pt>
                <c:pt idx="47">
                  <c:v>0.25992715765339564</c:v>
                </c:pt>
                <c:pt idx="48">
                  <c:v>0.24498479616152316</c:v>
                </c:pt>
                <c:pt idx="49">
                  <c:v>0.23687246178585711</c:v>
                </c:pt>
                <c:pt idx="50">
                  <c:v>0.22241322431467386</c:v>
                </c:pt>
                <c:pt idx="51">
                  <c:v>0.21169653856140588</c:v>
                </c:pt>
                <c:pt idx="52">
                  <c:v>0.14941394991808801</c:v>
                </c:pt>
                <c:pt idx="53">
                  <c:v>0.1353291368386762</c:v>
                </c:pt>
                <c:pt idx="54">
                  <c:v>0.1353291368386762</c:v>
                </c:pt>
                <c:pt idx="55">
                  <c:v>0.1325811113586404</c:v>
                </c:pt>
                <c:pt idx="56">
                  <c:v>0.12231333053432412</c:v>
                </c:pt>
                <c:pt idx="57">
                  <c:v>0.11065751613399726</c:v>
                </c:pt>
                <c:pt idx="58">
                  <c:v>9.9447891858293017E-2</c:v>
                </c:pt>
                <c:pt idx="59">
                  <c:v>9.1789446600363769E-2</c:v>
                </c:pt>
              </c:numCache>
            </c:numRef>
          </c:val>
          <c:smooth val="0"/>
          <c:extLst>
            <c:ext xmlns:c16="http://schemas.microsoft.com/office/drawing/2014/chart" uri="{C3380CC4-5D6E-409C-BE32-E72D297353CC}">
              <c16:uniqueId val="{0000000D-4DFC-4914-A850-8177428A6F91}"/>
            </c:ext>
          </c:extLst>
        </c:ser>
        <c:dLbls>
          <c:showLegendKey val="0"/>
          <c:showVal val="0"/>
          <c:showCatName val="0"/>
          <c:showSerName val="0"/>
          <c:showPercent val="0"/>
          <c:showBubbleSize val="0"/>
        </c:dLbls>
        <c:marker val="1"/>
        <c:smooth val="0"/>
        <c:axId val="750941128"/>
        <c:axId val="750942568"/>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1"/>
        <c:lblOffset val="100"/>
        <c:baseTimeUnit val="months"/>
        <c:majorUnit val="1"/>
        <c:majorTimeUnit val="years"/>
        <c:minorUnit val="12"/>
        <c:minorTimeUnit val="months"/>
      </c:dateAx>
      <c:valAx>
        <c:axId val="81242368"/>
        <c:scaling>
          <c:orientation val="minMax"/>
        </c:scaling>
        <c:delete val="0"/>
        <c:axPos val="l"/>
        <c:numFmt formatCode="#,##0" sourceLinked="0"/>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valAx>
        <c:axId val="750942568"/>
        <c:scaling>
          <c:orientation val="minMax"/>
        </c:scaling>
        <c:delete val="0"/>
        <c:axPos val="r"/>
        <c:numFmt formatCode="0%" sourceLinked="1"/>
        <c:majorTickMark val="out"/>
        <c:minorTickMark val="none"/>
        <c:tickLblPos val="nextTo"/>
        <c:crossAx val="750941128"/>
        <c:crosses val="max"/>
        <c:crossBetween val="between"/>
      </c:valAx>
      <c:dateAx>
        <c:axId val="750941128"/>
        <c:scaling>
          <c:orientation val="minMax"/>
        </c:scaling>
        <c:delete val="1"/>
        <c:axPos val="b"/>
        <c:numFmt formatCode="m/d/yyyy" sourceLinked="1"/>
        <c:majorTickMark val="out"/>
        <c:minorTickMark val="none"/>
        <c:tickLblPos val="nextTo"/>
        <c:crossAx val="750942568"/>
        <c:crosses val="autoZero"/>
        <c:auto val="1"/>
        <c:lblOffset val="100"/>
        <c:baseTimeUnit val="months"/>
      </c:dateAx>
      <c:spPr>
        <a:noFill/>
        <a:ln w="3175">
          <a:solidFill>
            <a:srgbClr val="000000"/>
          </a:solidFill>
          <a:prstDash val="solid"/>
        </a:ln>
      </c:spPr>
    </c:plotArea>
    <c:legend>
      <c:legendPos val="t"/>
      <c:layout>
        <c:manualLayout>
          <c:xMode val="edge"/>
          <c:yMode val="edge"/>
          <c:x val="0.26212450396825399"/>
          <c:y val="0.74773550724637672"/>
          <c:w val="0.51354861111111116"/>
          <c:h val="0.12776947463768115"/>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0"/>
          <c:order val="0"/>
          <c:tx>
            <c:strRef>
              <c:f>Statsformat!$B$8</c:f>
              <c:strCache>
                <c:ptCount val="1"/>
                <c:pt idx="0">
                  <c:v>Statsobligation 30 år</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0-2451-445B-BF3E-7C25A3310044}"/>
              </c:ext>
            </c:extLst>
          </c:dPt>
          <c:dPt>
            <c:idx val="1"/>
            <c:bubble3D val="0"/>
            <c:extLst>
              <c:ext xmlns:c16="http://schemas.microsoft.com/office/drawing/2014/chart" uri="{C3380CC4-5D6E-409C-BE32-E72D297353CC}">
                <c16:uniqueId val="{00000001-2451-445B-BF3E-7C25A3310044}"/>
              </c:ext>
            </c:extLst>
          </c:dPt>
          <c:dPt>
            <c:idx val="2"/>
            <c:bubble3D val="0"/>
            <c:extLst>
              <c:ext xmlns:c16="http://schemas.microsoft.com/office/drawing/2014/chart" uri="{C3380CC4-5D6E-409C-BE32-E72D297353CC}">
                <c16:uniqueId val="{00000002-2451-445B-BF3E-7C25A3310044}"/>
              </c:ext>
            </c:extLst>
          </c:dPt>
          <c:dPt>
            <c:idx val="3"/>
            <c:bubble3D val="0"/>
            <c:extLst>
              <c:ext xmlns:c16="http://schemas.microsoft.com/office/drawing/2014/chart" uri="{C3380CC4-5D6E-409C-BE32-E72D297353CC}">
                <c16:uniqueId val="{00000003-2451-445B-BF3E-7C25A3310044}"/>
              </c:ext>
            </c:extLst>
          </c:dPt>
          <c:dPt>
            <c:idx val="4"/>
            <c:bubble3D val="0"/>
            <c:extLst>
              <c:ext xmlns:c16="http://schemas.microsoft.com/office/drawing/2014/chart" uri="{C3380CC4-5D6E-409C-BE32-E72D297353CC}">
                <c16:uniqueId val="{00000004-2451-445B-BF3E-7C25A3310044}"/>
              </c:ext>
            </c:extLst>
          </c:dPt>
          <c:dPt>
            <c:idx val="5"/>
            <c:bubble3D val="0"/>
            <c:extLst>
              <c:ext xmlns:c16="http://schemas.microsoft.com/office/drawing/2014/chart" uri="{C3380CC4-5D6E-409C-BE32-E72D297353CC}">
                <c16:uniqueId val="{00000005-2451-445B-BF3E-7C25A3310044}"/>
              </c:ext>
            </c:extLst>
          </c:dPt>
          <c:dPt>
            <c:idx val="6"/>
            <c:bubble3D val="0"/>
            <c:extLst>
              <c:ext xmlns:c16="http://schemas.microsoft.com/office/drawing/2014/chart" uri="{C3380CC4-5D6E-409C-BE32-E72D297353CC}">
                <c16:uniqueId val="{00000006-2451-445B-BF3E-7C25A3310044}"/>
              </c:ext>
            </c:extLst>
          </c:dPt>
          <c:dPt>
            <c:idx val="7"/>
            <c:bubble3D val="0"/>
            <c:extLst>
              <c:ext xmlns:c16="http://schemas.microsoft.com/office/drawing/2014/chart" uri="{C3380CC4-5D6E-409C-BE32-E72D297353CC}">
                <c16:uniqueId val="{00000007-2451-445B-BF3E-7C25A3310044}"/>
              </c:ext>
            </c:extLst>
          </c:dPt>
          <c:dPt>
            <c:idx val="8"/>
            <c:bubble3D val="0"/>
            <c:extLst>
              <c:ext xmlns:c16="http://schemas.microsoft.com/office/drawing/2014/chart" uri="{C3380CC4-5D6E-409C-BE32-E72D297353CC}">
                <c16:uniqueId val="{00000008-2451-445B-BF3E-7C25A3310044}"/>
              </c:ext>
            </c:extLst>
          </c:dPt>
          <c:dPt>
            <c:idx val="9"/>
            <c:bubble3D val="0"/>
            <c:extLst>
              <c:ext xmlns:c16="http://schemas.microsoft.com/office/drawing/2014/chart" uri="{C3380CC4-5D6E-409C-BE32-E72D297353CC}">
                <c16:uniqueId val="{00000009-2451-445B-BF3E-7C25A3310044}"/>
              </c:ext>
            </c:extLst>
          </c:dPt>
          <c:dPt>
            <c:idx val="10"/>
            <c:bubble3D val="0"/>
            <c:extLst>
              <c:ext xmlns:c16="http://schemas.microsoft.com/office/drawing/2014/chart" uri="{C3380CC4-5D6E-409C-BE32-E72D297353CC}">
                <c16:uniqueId val="{0000000A-2451-445B-BF3E-7C25A3310044}"/>
              </c:ext>
            </c:extLst>
          </c:dPt>
          <c:cat>
            <c:numRef>
              <c:f>Statsformat!$A$2618:$A$3921</c:f>
              <c:numCache>
                <c:formatCode>m/d/yyyy</c:formatCode>
                <c:ptCount val="1304"/>
                <c:pt idx="0">
                  <c:v>44197</c:v>
                </c:pt>
                <c:pt idx="1">
                  <c:v>44200</c:v>
                </c:pt>
                <c:pt idx="2">
                  <c:v>44201</c:v>
                </c:pt>
                <c:pt idx="3">
                  <c:v>44202</c:v>
                </c:pt>
                <c:pt idx="4">
                  <c:v>44203</c:v>
                </c:pt>
                <c:pt idx="5">
                  <c:v>44204</c:v>
                </c:pt>
                <c:pt idx="6">
                  <c:v>44207</c:v>
                </c:pt>
                <c:pt idx="7">
                  <c:v>44208</c:v>
                </c:pt>
                <c:pt idx="8">
                  <c:v>44209</c:v>
                </c:pt>
                <c:pt idx="9">
                  <c:v>44210</c:v>
                </c:pt>
                <c:pt idx="10">
                  <c:v>44211</c:v>
                </c:pt>
                <c:pt idx="11">
                  <c:v>44214</c:v>
                </c:pt>
                <c:pt idx="12">
                  <c:v>44215</c:v>
                </c:pt>
                <c:pt idx="13">
                  <c:v>44216</c:v>
                </c:pt>
                <c:pt idx="14">
                  <c:v>44217</c:v>
                </c:pt>
                <c:pt idx="15">
                  <c:v>44218</c:v>
                </c:pt>
                <c:pt idx="16">
                  <c:v>44221</c:v>
                </c:pt>
                <c:pt idx="17">
                  <c:v>44222</c:v>
                </c:pt>
                <c:pt idx="18">
                  <c:v>44223</c:v>
                </c:pt>
                <c:pt idx="19">
                  <c:v>44224</c:v>
                </c:pt>
                <c:pt idx="20">
                  <c:v>44225</c:v>
                </c:pt>
                <c:pt idx="21">
                  <c:v>44228</c:v>
                </c:pt>
                <c:pt idx="22">
                  <c:v>44229</c:v>
                </c:pt>
                <c:pt idx="23">
                  <c:v>44230</c:v>
                </c:pt>
                <c:pt idx="24">
                  <c:v>44231</c:v>
                </c:pt>
                <c:pt idx="25">
                  <c:v>44232</c:v>
                </c:pt>
                <c:pt idx="26">
                  <c:v>44235</c:v>
                </c:pt>
                <c:pt idx="27">
                  <c:v>44236</c:v>
                </c:pt>
                <c:pt idx="28">
                  <c:v>44237</c:v>
                </c:pt>
                <c:pt idx="29">
                  <c:v>44238</c:v>
                </c:pt>
                <c:pt idx="30">
                  <c:v>44239</c:v>
                </c:pt>
                <c:pt idx="31">
                  <c:v>44242</c:v>
                </c:pt>
                <c:pt idx="32">
                  <c:v>44243</c:v>
                </c:pt>
                <c:pt idx="33">
                  <c:v>44244</c:v>
                </c:pt>
                <c:pt idx="34">
                  <c:v>44245</c:v>
                </c:pt>
                <c:pt idx="35">
                  <c:v>44246</c:v>
                </c:pt>
                <c:pt idx="36">
                  <c:v>44249</c:v>
                </c:pt>
                <c:pt idx="37">
                  <c:v>44250</c:v>
                </c:pt>
                <c:pt idx="38">
                  <c:v>44251</c:v>
                </c:pt>
                <c:pt idx="39">
                  <c:v>44252</c:v>
                </c:pt>
                <c:pt idx="40">
                  <c:v>44253</c:v>
                </c:pt>
                <c:pt idx="41">
                  <c:v>44256</c:v>
                </c:pt>
                <c:pt idx="42">
                  <c:v>44257</c:v>
                </c:pt>
                <c:pt idx="43">
                  <c:v>44258</c:v>
                </c:pt>
                <c:pt idx="44">
                  <c:v>44259</c:v>
                </c:pt>
                <c:pt idx="45">
                  <c:v>44260</c:v>
                </c:pt>
                <c:pt idx="46">
                  <c:v>44263</c:v>
                </c:pt>
                <c:pt idx="47">
                  <c:v>44264</c:v>
                </c:pt>
                <c:pt idx="48">
                  <c:v>44265</c:v>
                </c:pt>
                <c:pt idx="49">
                  <c:v>44266</c:v>
                </c:pt>
                <c:pt idx="50">
                  <c:v>44267</c:v>
                </c:pt>
                <c:pt idx="51">
                  <c:v>44270</c:v>
                </c:pt>
                <c:pt idx="52">
                  <c:v>44271</c:v>
                </c:pt>
                <c:pt idx="53">
                  <c:v>44272</c:v>
                </c:pt>
                <c:pt idx="54">
                  <c:v>44273</c:v>
                </c:pt>
                <c:pt idx="55">
                  <c:v>44274</c:v>
                </c:pt>
                <c:pt idx="56">
                  <c:v>44277</c:v>
                </c:pt>
                <c:pt idx="57">
                  <c:v>44278</c:v>
                </c:pt>
                <c:pt idx="58">
                  <c:v>44279</c:v>
                </c:pt>
                <c:pt idx="59">
                  <c:v>44280</c:v>
                </c:pt>
                <c:pt idx="60">
                  <c:v>44281</c:v>
                </c:pt>
                <c:pt idx="61">
                  <c:v>44284</c:v>
                </c:pt>
                <c:pt idx="62">
                  <c:v>44285</c:v>
                </c:pt>
                <c:pt idx="63">
                  <c:v>44286</c:v>
                </c:pt>
                <c:pt idx="64">
                  <c:v>44287</c:v>
                </c:pt>
                <c:pt idx="65">
                  <c:v>44288</c:v>
                </c:pt>
                <c:pt idx="66">
                  <c:v>44291</c:v>
                </c:pt>
                <c:pt idx="67">
                  <c:v>44292</c:v>
                </c:pt>
                <c:pt idx="68">
                  <c:v>44293</c:v>
                </c:pt>
                <c:pt idx="69">
                  <c:v>44294</c:v>
                </c:pt>
                <c:pt idx="70">
                  <c:v>44295</c:v>
                </c:pt>
                <c:pt idx="71">
                  <c:v>44298</c:v>
                </c:pt>
                <c:pt idx="72">
                  <c:v>44299</c:v>
                </c:pt>
                <c:pt idx="73">
                  <c:v>44300</c:v>
                </c:pt>
                <c:pt idx="74">
                  <c:v>44301</c:v>
                </c:pt>
                <c:pt idx="75">
                  <c:v>44302</c:v>
                </c:pt>
                <c:pt idx="76">
                  <c:v>44305</c:v>
                </c:pt>
                <c:pt idx="77">
                  <c:v>44306</c:v>
                </c:pt>
                <c:pt idx="78">
                  <c:v>44307</c:v>
                </c:pt>
                <c:pt idx="79">
                  <c:v>44308</c:v>
                </c:pt>
                <c:pt idx="80">
                  <c:v>44309</c:v>
                </c:pt>
                <c:pt idx="81">
                  <c:v>44312</c:v>
                </c:pt>
                <c:pt idx="82">
                  <c:v>44313</c:v>
                </c:pt>
                <c:pt idx="83">
                  <c:v>44314</c:v>
                </c:pt>
                <c:pt idx="84">
                  <c:v>44315</c:v>
                </c:pt>
                <c:pt idx="85">
                  <c:v>44316</c:v>
                </c:pt>
                <c:pt idx="86">
                  <c:v>44319</c:v>
                </c:pt>
                <c:pt idx="87">
                  <c:v>44320</c:v>
                </c:pt>
                <c:pt idx="88">
                  <c:v>44321</c:v>
                </c:pt>
                <c:pt idx="89">
                  <c:v>44322</c:v>
                </c:pt>
                <c:pt idx="90">
                  <c:v>44323</c:v>
                </c:pt>
                <c:pt idx="91">
                  <c:v>44326</c:v>
                </c:pt>
                <c:pt idx="92">
                  <c:v>44327</c:v>
                </c:pt>
                <c:pt idx="93">
                  <c:v>44328</c:v>
                </c:pt>
                <c:pt idx="94">
                  <c:v>44329</c:v>
                </c:pt>
                <c:pt idx="95">
                  <c:v>44330</c:v>
                </c:pt>
                <c:pt idx="96">
                  <c:v>44333</c:v>
                </c:pt>
                <c:pt idx="97">
                  <c:v>44334</c:v>
                </c:pt>
                <c:pt idx="98">
                  <c:v>44335</c:v>
                </c:pt>
                <c:pt idx="99">
                  <c:v>44336</c:v>
                </c:pt>
                <c:pt idx="100">
                  <c:v>44337</c:v>
                </c:pt>
                <c:pt idx="101">
                  <c:v>44340</c:v>
                </c:pt>
                <c:pt idx="102">
                  <c:v>44341</c:v>
                </c:pt>
                <c:pt idx="103">
                  <c:v>44342</c:v>
                </c:pt>
                <c:pt idx="104">
                  <c:v>44343</c:v>
                </c:pt>
                <c:pt idx="105">
                  <c:v>44344</c:v>
                </c:pt>
                <c:pt idx="106">
                  <c:v>44347</c:v>
                </c:pt>
                <c:pt idx="107">
                  <c:v>44348</c:v>
                </c:pt>
                <c:pt idx="108">
                  <c:v>44349</c:v>
                </c:pt>
                <c:pt idx="109">
                  <c:v>44350</c:v>
                </c:pt>
                <c:pt idx="110">
                  <c:v>44351</c:v>
                </c:pt>
                <c:pt idx="111">
                  <c:v>44354</c:v>
                </c:pt>
                <c:pt idx="112">
                  <c:v>44355</c:v>
                </c:pt>
                <c:pt idx="113">
                  <c:v>44356</c:v>
                </c:pt>
                <c:pt idx="114">
                  <c:v>44357</c:v>
                </c:pt>
                <c:pt idx="115">
                  <c:v>44358</c:v>
                </c:pt>
                <c:pt idx="116">
                  <c:v>44361</c:v>
                </c:pt>
                <c:pt idx="117">
                  <c:v>44362</c:v>
                </c:pt>
                <c:pt idx="118">
                  <c:v>44363</c:v>
                </c:pt>
                <c:pt idx="119">
                  <c:v>44364</c:v>
                </c:pt>
                <c:pt idx="120">
                  <c:v>44365</c:v>
                </c:pt>
                <c:pt idx="121">
                  <c:v>44368</c:v>
                </c:pt>
                <c:pt idx="122">
                  <c:v>44369</c:v>
                </c:pt>
                <c:pt idx="123">
                  <c:v>44370</c:v>
                </c:pt>
                <c:pt idx="124">
                  <c:v>44371</c:v>
                </c:pt>
                <c:pt idx="125">
                  <c:v>44372</c:v>
                </c:pt>
                <c:pt idx="126">
                  <c:v>44375</c:v>
                </c:pt>
                <c:pt idx="127">
                  <c:v>44376</c:v>
                </c:pt>
                <c:pt idx="128">
                  <c:v>44377</c:v>
                </c:pt>
                <c:pt idx="129">
                  <c:v>44378</c:v>
                </c:pt>
                <c:pt idx="130">
                  <c:v>44379</c:v>
                </c:pt>
                <c:pt idx="131">
                  <c:v>44382</c:v>
                </c:pt>
                <c:pt idx="132">
                  <c:v>44383</c:v>
                </c:pt>
                <c:pt idx="133">
                  <c:v>44384</c:v>
                </c:pt>
                <c:pt idx="134">
                  <c:v>44385</c:v>
                </c:pt>
                <c:pt idx="135">
                  <c:v>44386</c:v>
                </c:pt>
                <c:pt idx="136">
                  <c:v>44389</c:v>
                </c:pt>
                <c:pt idx="137">
                  <c:v>44390</c:v>
                </c:pt>
                <c:pt idx="138">
                  <c:v>44391</c:v>
                </c:pt>
                <c:pt idx="139">
                  <c:v>44392</c:v>
                </c:pt>
                <c:pt idx="140">
                  <c:v>44393</c:v>
                </c:pt>
                <c:pt idx="141">
                  <c:v>44396</c:v>
                </c:pt>
                <c:pt idx="142">
                  <c:v>44397</c:v>
                </c:pt>
                <c:pt idx="143">
                  <c:v>44398</c:v>
                </c:pt>
                <c:pt idx="144">
                  <c:v>44399</c:v>
                </c:pt>
                <c:pt idx="145">
                  <c:v>44400</c:v>
                </c:pt>
                <c:pt idx="146">
                  <c:v>44403</c:v>
                </c:pt>
                <c:pt idx="147">
                  <c:v>44404</c:v>
                </c:pt>
                <c:pt idx="148">
                  <c:v>44405</c:v>
                </c:pt>
                <c:pt idx="149">
                  <c:v>44406</c:v>
                </c:pt>
                <c:pt idx="150">
                  <c:v>44407</c:v>
                </c:pt>
                <c:pt idx="151">
                  <c:v>44410</c:v>
                </c:pt>
                <c:pt idx="152">
                  <c:v>44411</c:v>
                </c:pt>
                <c:pt idx="153">
                  <c:v>44412</c:v>
                </c:pt>
                <c:pt idx="154">
                  <c:v>44413</c:v>
                </c:pt>
                <c:pt idx="155">
                  <c:v>44414</c:v>
                </c:pt>
                <c:pt idx="156">
                  <c:v>44417</c:v>
                </c:pt>
                <c:pt idx="157">
                  <c:v>44418</c:v>
                </c:pt>
                <c:pt idx="158">
                  <c:v>44419</c:v>
                </c:pt>
                <c:pt idx="159">
                  <c:v>44420</c:v>
                </c:pt>
                <c:pt idx="160">
                  <c:v>44421</c:v>
                </c:pt>
                <c:pt idx="161">
                  <c:v>44424</c:v>
                </c:pt>
                <c:pt idx="162">
                  <c:v>44425</c:v>
                </c:pt>
                <c:pt idx="163">
                  <c:v>44426</c:v>
                </c:pt>
                <c:pt idx="164">
                  <c:v>44427</c:v>
                </c:pt>
                <c:pt idx="165">
                  <c:v>44428</c:v>
                </c:pt>
                <c:pt idx="166">
                  <c:v>44431</c:v>
                </c:pt>
                <c:pt idx="167">
                  <c:v>44432</c:v>
                </c:pt>
                <c:pt idx="168">
                  <c:v>44433</c:v>
                </c:pt>
                <c:pt idx="169">
                  <c:v>44434</c:v>
                </c:pt>
                <c:pt idx="170">
                  <c:v>44435</c:v>
                </c:pt>
                <c:pt idx="171">
                  <c:v>44438</c:v>
                </c:pt>
                <c:pt idx="172">
                  <c:v>44439</c:v>
                </c:pt>
                <c:pt idx="173">
                  <c:v>44440</c:v>
                </c:pt>
                <c:pt idx="174">
                  <c:v>44441</c:v>
                </c:pt>
                <c:pt idx="175">
                  <c:v>44442</c:v>
                </c:pt>
                <c:pt idx="176">
                  <c:v>44445</c:v>
                </c:pt>
                <c:pt idx="177">
                  <c:v>44446</c:v>
                </c:pt>
                <c:pt idx="178">
                  <c:v>44447</c:v>
                </c:pt>
                <c:pt idx="179">
                  <c:v>44448</c:v>
                </c:pt>
                <c:pt idx="180">
                  <c:v>44449</c:v>
                </c:pt>
                <c:pt idx="181">
                  <c:v>44452</c:v>
                </c:pt>
                <c:pt idx="182">
                  <c:v>44453</c:v>
                </c:pt>
                <c:pt idx="183">
                  <c:v>44454</c:v>
                </c:pt>
                <c:pt idx="184">
                  <c:v>44455</c:v>
                </c:pt>
                <c:pt idx="185">
                  <c:v>44456</c:v>
                </c:pt>
                <c:pt idx="186">
                  <c:v>44459</c:v>
                </c:pt>
                <c:pt idx="187">
                  <c:v>44460</c:v>
                </c:pt>
                <c:pt idx="188">
                  <c:v>44461</c:v>
                </c:pt>
                <c:pt idx="189">
                  <c:v>44462</c:v>
                </c:pt>
                <c:pt idx="190">
                  <c:v>44463</c:v>
                </c:pt>
                <c:pt idx="191">
                  <c:v>44466</c:v>
                </c:pt>
                <c:pt idx="192">
                  <c:v>44467</c:v>
                </c:pt>
                <c:pt idx="193">
                  <c:v>44468</c:v>
                </c:pt>
                <c:pt idx="194">
                  <c:v>44469</c:v>
                </c:pt>
                <c:pt idx="195">
                  <c:v>44470</c:v>
                </c:pt>
                <c:pt idx="196">
                  <c:v>44473</c:v>
                </c:pt>
                <c:pt idx="197">
                  <c:v>44474</c:v>
                </c:pt>
                <c:pt idx="198">
                  <c:v>44475</c:v>
                </c:pt>
                <c:pt idx="199">
                  <c:v>44476</c:v>
                </c:pt>
                <c:pt idx="200">
                  <c:v>44477</c:v>
                </c:pt>
                <c:pt idx="201">
                  <c:v>44480</c:v>
                </c:pt>
                <c:pt idx="202">
                  <c:v>44481</c:v>
                </c:pt>
                <c:pt idx="203">
                  <c:v>44482</c:v>
                </c:pt>
                <c:pt idx="204">
                  <c:v>44483</c:v>
                </c:pt>
                <c:pt idx="205">
                  <c:v>44484</c:v>
                </c:pt>
                <c:pt idx="206">
                  <c:v>44487</c:v>
                </c:pt>
                <c:pt idx="207">
                  <c:v>44488</c:v>
                </c:pt>
                <c:pt idx="208">
                  <c:v>44489</c:v>
                </c:pt>
                <c:pt idx="209">
                  <c:v>44490</c:v>
                </c:pt>
                <c:pt idx="210">
                  <c:v>44491</c:v>
                </c:pt>
                <c:pt idx="211">
                  <c:v>44494</c:v>
                </c:pt>
                <c:pt idx="212">
                  <c:v>44495</c:v>
                </c:pt>
                <c:pt idx="213">
                  <c:v>44496</c:v>
                </c:pt>
                <c:pt idx="214">
                  <c:v>44497</c:v>
                </c:pt>
                <c:pt idx="215">
                  <c:v>44498</c:v>
                </c:pt>
                <c:pt idx="216">
                  <c:v>44501</c:v>
                </c:pt>
                <c:pt idx="217">
                  <c:v>44502</c:v>
                </c:pt>
                <c:pt idx="218">
                  <c:v>44503</c:v>
                </c:pt>
                <c:pt idx="219">
                  <c:v>44504</c:v>
                </c:pt>
                <c:pt idx="220">
                  <c:v>44505</c:v>
                </c:pt>
                <c:pt idx="221">
                  <c:v>44508</c:v>
                </c:pt>
                <c:pt idx="222">
                  <c:v>44509</c:v>
                </c:pt>
                <c:pt idx="223">
                  <c:v>44510</c:v>
                </c:pt>
                <c:pt idx="224">
                  <c:v>44511</c:v>
                </c:pt>
                <c:pt idx="225">
                  <c:v>44512</c:v>
                </c:pt>
                <c:pt idx="226">
                  <c:v>44515</c:v>
                </c:pt>
                <c:pt idx="227">
                  <c:v>44516</c:v>
                </c:pt>
                <c:pt idx="228">
                  <c:v>44517</c:v>
                </c:pt>
                <c:pt idx="229">
                  <c:v>44518</c:v>
                </c:pt>
                <c:pt idx="230">
                  <c:v>44519</c:v>
                </c:pt>
                <c:pt idx="231">
                  <c:v>44522</c:v>
                </c:pt>
                <c:pt idx="232">
                  <c:v>44523</c:v>
                </c:pt>
                <c:pt idx="233">
                  <c:v>44524</c:v>
                </c:pt>
                <c:pt idx="234">
                  <c:v>44525</c:v>
                </c:pt>
                <c:pt idx="235">
                  <c:v>44526</c:v>
                </c:pt>
                <c:pt idx="236">
                  <c:v>44529</c:v>
                </c:pt>
                <c:pt idx="237">
                  <c:v>44530</c:v>
                </c:pt>
                <c:pt idx="238">
                  <c:v>44531</c:v>
                </c:pt>
                <c:pt idx="239">
                  <c:v>44532</c:v>
                </c:pt>
                <c:pt idx="240">
                  <c:v>44533</c:v>
                </c:pt>
                <c:pt idx="241">
                  <c:v>44536</c:v>
                </c:pt>
                <c:pt idx="242">
                  <c:v>44537</c:v>
                </c:pt>
                <c:pt idx="243">
                  <c:v>44538</c:v>
                </c:pt>
                <c:pt idx="244">
                  <c:v>44539</c:v>
                </c:pt>
                <c:pt idx="245">
                  <c:v>44540</c:v>
                </c:pt>
                <c:pt idx="246">
                  <c:v>44543</c:v>
                </c:pt>
                <c:pt idx="247">
                  <c:v>44544</c:v>
                </c:pt>
                <c:pt idx="248">
                  <c:v>44545</c:v>
                </c:pt>
                <c:pt idx="249">
                  <c:v>44546</c:v>
                </c:pt>
                <c:pt idx="250">
                  <c:v>44547</c:v>
                </c:pt>
                <c:pt idx="251">
                  <c:v>44550</c:v>
                </c:pt>
                <c:pt idx="252">
                  <c:v>44551</c:v>
                </c:pt>
                <c:pt idx="253">
                  <c:v>44552</c:v>
                </c:pt>
                <c:pt idx="254">
                  <c:v>44553</c:v>
                </c:pt>
                <c:pt idx="255">
                  <c:v>44554</c:v>
                </c:pt>
                <c:pt idx="256">
                  <c:v>44557</c:v>
                </c:pt>
                <c:pt idx="257">
                  <c:v>44558</c:v>
                </c:pt>
                <c:pt idx="258">
                  <c:v>44559</c:v>
                </c:pt>
                <c:pt idx="259">
                  <c:v>44560</c:v>
                </c:pt>
                <c:pt idx="260">
                  <c:v>44561</c:v>
                </c:pt>
                <c:pt idx="261">
                  <c:v>44564</c:v>
                </c:pt>
                <c:pt idx="262">
                  <c:v>44565</c:v>
                </c:pt>
                <c:pt idx="263">
                  <c:v>44566</c:v>
                </c:pt>
                <c:pt idx="264">
                  <c:v>44567</c:v>
                </c:pt>
                <c:pt idx="265">
                  <c:v>44568</c:v>
                </c:pt>
                <c:pt idx="266">
                  <c:v>44571</c:v>
                </c:pt>
                <c:pt idx="267">
                  <c:v>44572</c:v>
                </c:pt>
                <c:pt idx="268">
                  <c:v>44573</c:v>
                </c:pt>
                <c:pt idx="269">
                  <c:v>44574</c:v>
                </c:pt>
                <c:pt idx="270">
                  <c:v>44575</c:v>
                </c:pt>
                <c:pt idx="271">
                  <c:v>44578</c:v>
                </c:pt>
                <c:pt idx="272">
                  <c:v>44579</c:v>
                </c:pt>
                <c:pt idx="273">
                  <c:v>44580</c:v>
                </c:pt>
                <c:pt idx="274">
                  <c:v>44581</c:v>
                </c:pt>
                <c:pt idx="275">
                  <c:v>44582</c:v>
                </c:pt>
                <c:pt idx="276">
                  <c:v>44585</c:v>
                </c:pt>
                <c:pt idx="277">
                  <c:v>44586</c:v>
                </c:pt>
                <c:pt idx="278">
                  <c:v>44587</c:v>
                </c:pt>
                <c:pt idx="279">
                  <c:v>44588</c:v>
                </c:pt>
                <c:pt idx="280">
                  <c:v>44589</c:v>
                </c:pt>
                <c:pt idx="281">
                  <c:v>44592</c:v>
                </c:pt>
                <c:pt idx="282">
                  <c:v>44593</c:v>
                </c:pt>
                <c:pt idx="283">
                  <c:v>44594</c:v>
                </c:pt>
                <c:pt idx="284">
                  <c:v>44595</c:v>
                </c:pt>
                <c:pt idx="285">
                  <c:v>44596</c:v>
                </c:pt>
                <c:pt idx="286">
                  <c:v>44599</c:v>
                </c:pt>
                <c:pt idx="287">
                  <c:v>44600</c:v>
                </c:pt>
                <c:pt idx="288">
                  <c:v>44601</c:v>
                </c:pt>
                <c:pt idx="289">
                  <c:v>44602</c:v>
                </c:pt>
                <c:pt idx="290">
                  <c:v>44603</c:v>
                </c:pt>
                <c:pt idx="291">
                  <c:v>44606</c:v>
                </c:pt>
                <c:pt idx="292">
                  <c:v>44607</c:v>
                </c:pt>
                <c:pt idx="293">
                  <c:v>44608</c:v>
                </c:pt>
                <c:pt idx="294">
                  <c:v>44609</c:v>
                </c:pt>
                <c:pt idx="295">
                  <c:v>44610</c:v>
                </c:pt>
                <c:pt idx="296">
                  <c:v>44613</c:v>
                </c:pt>
                <c:pt idx="297">
                  <c:v>44614</c:v>
                </c:pt>
                <c:pt idx="298">
                  <c:v>44615</c:v>
                </c:pt>
                <c:pt idx="299">
                  <c:v>44616</c:v>
                </c:pt>
                <c:pt idx="300">
                  <c:v>44617</c:v>
                </c:pt>
                <c:pt idx="301">
                  <c:v>44620</c:v>
                </c:pt>
                <c:pt idx="302">
                  <c:v>44621</c:v>
                </c:pt>
                <c:pt idx="303">
                  <c:v>44622</c:v>
                </c:pt>
                <c:pt idx="304">
                  <c:v>44623</c:v>
                </c:pt>
                <c:pt idx="305">
                  <c:v>44624</c:v>
                </c:pt>
                <c:pt idx="306">
                  <c:v>44627</c:v>
                </c:pt>
                <c:pt idx="307">
                  <c:v>44628</c:v>
                </c:pt>
                <c:pt idx="308">
                  <c:v>44629</c:v>
                </c:pt>
                <c:pt idx="309">
                  <c:v>44630</c:v>
                </c:pt>
                <c:pt idx="310">
                  <c:v>44631</c:v>
                </c:pt>
                <c:pt idx="311">
                  <c:v>44634</c:v>
                </c:pt>
                <c:pt idx="312">
                  <c:v>44635</c:v>
                </c:pt>
                <c:pt idx="313">
                  <c:v>44636</c:v>
                </c:pt>
                <c:pt idx="314">
                  <c:v>44637</c:v>
                </c:pt>
                <c:pt idx="315">
                  <c:v>44638</c:v>
                </c:pt>
                <c:pt idx="316">
                  <c:v>44641</c:v>
                </c:pt>
                <c:pt idx="317">
                  <c:v>44642</c:v>
                </c:pt>
                <c:pt idx="318">
                  <c:v>44643</c:v>
                </c:pt>
                <c:pt idx="319">
                  <c:v>44644</c:v>
                </c:pt>
                <c:pt idx="320">
                  <c:v>44645</c:v>
                </c:pt>
                <c:pt idx="321">
                  <c:v>44648</c:v>
                </c:pt>
                <c:pt idx="322">
                  <c:v>44649</c:v>
                </c:pt>
                <c:pt idx="323">
                  <c:v>44650</c:v>
                </c:pt>
                <c:pt idx="324">
                  <c:v>44651</c:v>
                </c:pt>
                <c:pt idx="325">
                  <c:v>44652</c:v>
                </c:pt>
                <c:pt idx="326">
                  <c:v>44655</c:v>
                </c:pt>
                <c:pt idx="327">
                  <c:v>44656</c:v>
                </c:pt>
                <c:pt idx="328">
                  <c:v>44657</c:v>
                </c:pt>
                <c:pt idx="329">
                  <c:v>44658</c:v>
                </c:pt>
                <c:pt idx="330">
                  <c:v>44659</c:v>
                </c:pt>
                <c:pt idx="331">
                  <c:v>44662</c:v>
                </c:pt>
                <c:pt idx="332">
                  <c:v>44663</c:v>
                </c:pt>
                <c:pt idx="333">
                  <c:v>44664</c:v>
                </c:pt>
                <c:pt idx="334">
                  <c:v>44665</c:v>
                </c:pt>
                <c:pt idx="335">
                  <c:v>44666</c:v>
                </c:pt>
                <c:pt idx="336">
                  <c:v>44669</c:v>
                </c:pt>
                <c:pt idx="337">
                  <c:v>44670</c:v>
                </c:pt>
                <c:pt idx="338">
                  <c:v>44671</c:v>
                </c:pt>
                <c:pt idx="339">
                  <c:v>44672</c:v>
                </c:pt>
                <c:pt idx="340">
                  <c:v>44673</c:v>
                </c:pt>
                <c:pt idx="341">
                  <c:v>44676</c:v>
                </c:pt>
                <c:pt idx="342">
                  <c:v>44677</c:v>
                </c:pt>
                <c:pt idx="343">
                  <c:v>44678</c:v>
                </c:pt>
                <c:pt idx="344">
                  <c:v>44679</c:v>
                </c:pt>
                <c:pt idx="345">
                  <c:v>44680</c:v>
                </c:pt>
                <c:pt idx="346">
                  <c:v>44683</c:v>
                </c:pt>
                <c:pt idx="347">
                  <c:v>44684</c:v>
                </c:pt>
                <c:pt idx="348">
                  <c:v>44685</c:v>
                </c:pt>
                <c:pt idx="349">
                  <c:v>44686</c:v>
                </c:pt>
                <c:pt idx="350">
                  <c:v>44687</c:v>
                </c:pt>
                <c:pt idx="351">
                  <c:v>44690</c:v>
                </c:pt>
                <c:pt idx="352">
                  <c:v>44691</c:v>
                </c:pt>
                <c:pt idx="353">
                  <c:v>44692</c:v>
                </c:pt>
                <c:pt idx="354">
                  <c:v>44693</c:v>
                </c:pt>
                <c:pt idx="355">
                  <c:v>44694</c:v>
                </c:pt>
                <c:pt idx="356">
                  <c:v>44697</c:v>
                </c:pt>
                <c:pt idx="357">
                  <c:v>44698</c:v>
                </c:pt>
                <c:pt idx="358">
                  <c:v>44699</c:v>
                </c:pt>
                <c:pt idx="359">
                  <c:v>44700</c:v>
                </c:pt>
                <c:pt idx="360">
                  <c:v>44701</c:v>
                </c:pt>
                <c:pt idx="361">
                  <c:v>44704</c:v>
                </c:pt>
                <c:pt idx="362">
                  <c:v>44705</c:v>
                </c:pt>
                <c:pt idx="363">
                  <c:v>44706</c:v>
                </c:pt>
                <c:pt idx="364">
                  <c:v>44707</c:v>
                </c:pt>
                <c:pt idx="365">
                  <c:v>44708</c:v>
                </c:pt>
                <c:pt idx="366">
                  <c:v>44711</c:v>
                </c:pt>
                <c:pt idx="367">
                  <c:v>44712</c:v>
                </c:pt>
                <c:pt idx="368">
                  <c:v>44713</c:v>
                </c:pt>
                <c:pt idx="369">
                  <c:v>44714</c:v>
                </c:pt>
                <c:pt idx="370">
                  <c:v>44715</c:v>
                </c:pt>
                <c:pt idx="371">
                  <c:v>44718</c:v>
                </c:pt>
                <c:pt idx="372">
                  <c:v>44719</c:v>
                </c:pt>
                <c:pt idx="373">
                  <c:v>44720</c:v>
                </c:pt>
                <c:pt idx="374">
                  <c:v>44721</c:v>
                </c:pt>
                <c:pt idx="375">
                  <c:v>44722</c:v>
                </c:pt>
                <c:pt idx="376">
                  <c:v>44725</c:v>
                </c:pt>
                <c:pt idx="377">
                  <c:v>44726</c:v>
                </c:pt>
                <c:pt idx="378">
                  <c:v>44727</c:v>
                </c:pt>
                <c:pt idx="379">
                  <c:v>44728</c:v>
                </c:pt>
                <c:pt idx="380">
                  <c:v>44729</c:v>
                </c:pt>
                <c:pt idx="381">
                  <c:v>44732</c:v>
                </c:pt>
                <c:pt idx="382">
                  <c:v>44733</c:v>
                </c:pt>
                <c:pt idx="383">
                  <c:v>44734</c:v>
                </c:pt>
                <c:pt idx="384">
                  <c:v>44735</c:v>
                </c:pt>
                <c:pt idx="385">
                  <c:v>44736</c:v>
                </c:pt>
                <c:pt idx="386">
                  <c:v>44739</c:v>
                </c:pt>
                <c:pt idx="387">
                  <c:v>44740</c:v>
                </c:pt>
                <c:pt idx="388">
                  <c:v>44741</c:v>
                </c:pt>
                <c:pt idx="389">
                  <c:v>44742</c:v>
                </c:pt>
                <c:pt idx="390">
                  <c:v>44743</c:v>
                </c:pt>
                <c:pt idx="391">
                  <c:v>44746</c:v>
                </c:pt>
                <c:pt idx="392">
                  <c:v>44747</c:v>
                </c:pt>
                <c:pt idx="393">
                  <c:v>44748</c:v>
                </c:pt>
                <c:pt idx="394">
                  <c:v>44749</c:v>
                </c:pt>
                <c:pt idx="395">
                  <c:v>44750</c:v>
                </c:pt>
                <c:pt idx="396">
                  <c:v>44753</c:v>
                </c:pt>
                <c:pt idx="397">
                  <c:v>44754</c:v>
                </c:pt>
                <c:pt idx="398">
                  <c:v>44755</c:v>
                </c:pt>
                <c:pt idx="399">
                  <c:v>44756</c:v>
                </c:pt>
                <c:pt idx="400">
                  <c:v>44757</c:v>
                </c:pt>
                <c:pt idx="401">
                  <c:v>44760</c:v>
                </c:pt>
                <c:pt idx="402">
                  <c:v>44761</c:v>
                </c:pt>
                <c:pt idx="403">
                  <c:v>44762</c:v>
                </c:pt>
                <c:pt idx="404">
                  <c:v>44763</c:v>
                </c:pt>
                <c:pt idx="405">
                  <c:v>44764</c:v>
                </c:pt>
                <c:pt idx="406">
                  <c:v>44767</c:v>
                </c:pt>
                <c:pt idx="407">
                  <c:v>44768</c:v>
                </c:pt>
                <c:pt idx="408">
                  <c:v>44769</c:v>
                </c:pt>
                <c:pt idx="409">
                  <c:v>44770</c:v>
                </c:pt>
                <c:pt idx="410">
                  <c:v>44771</c:v>
                </c:pt>
                <c:pt idx="411">
                  <c:v>44774</c:v>
                </c:pt>
                <c:pt idx="412">
                  <c:v>44775</c:v>
                </c:pt>
                <c:pt idx="413">
                  <c:v>44776</c:v>
                </c:pt>
                <c:pt idx="414">
                  <c:v>44777</c:v>
                </c:pt>
                <c:pt idx="415">
                  <c:v>44778</c:v>
                </c:pt>
                <c:pt idx="416">
                  <c:v>44781</c:v>
                </c:pt>
                <c:pt idx="417">
                  <c:v>44782</c:v>
                </c:pt>
                <c:pt idx="418">
                  <c:v>44783</c:v>
                </c:pt>
                <c:pt idx="419">
                  <c:v>44784</c:v>
                </c:pt>
                <c:pt idx="420">
                  <c:v>44785</c:v>
                </c:pt>
                <c:pt idx="421">
                  <c:v>44788</c:v>
                </c:pt>
                <c:pt idx="422">
                  <c:v>44789</c:v>
                </c:pt>
                <c:pt idx="423">
                  <c:v>44790</c:v>
                </c:pt>
                <c:pt idx="424">
                  <c:v>44791</c:v>
                </c:pt>
                <c:pt idx="425">
                  <c:v>44792</c:v>
                </c:pt>
                <c:pt idx="426">
                  <c:v>44795</c:v>
                </c:pt>
                <c:pt idx="427">
                  <c:v>44796</c:v>
                </c:pt>
                <c:pt idx="428">
                  <c:v>44797</c:v>
                </c:pt>
                <c:pt idx="429">
                  <c:v>44798</c:v>
                </c:pt>
                <c:pt idx="430">
                  <c:v>44799</c:v>
                </c:pt>
                <c:pt idx="431">
                  <c:v>44802</c:v>
                </c:pt>
                <c:pt idx="432">
                  <c:v>44803</c:v>
                </c:pt>
                <c:pt idx="433">
                  <c:v>44804</c:v>
                </c:pt>
                <c:pt idx="434">
                  <c:v>44805</c:v>
                </c:pt>
                <c:pt idx="435">
                  <c:v>44806</c:v>
                </c:pt>
                <c:pt idx="436">
                  <c:v>44809</c:v>
                </c:pt>
                <c:pt idx="437">
                  <c:v>44810</c:v>
                </c:pt>
                <c:pt idx="438">
                  <c:v>44811</c:v>
                </c:pt>
                <c:pt idx="439">
                  <c:v>44812</c:v>
                </c:pt>
                <c:pt idx="440">
                  <c:v>44813</c:v>
                </c:pt>
                <c:pt idx="441">
                  <c:v>44816</c:v>
                </c:pt>
                <c:pt idx="442">
                  <c:v>44817</c:v>
                </c:pt>
                <c:pt idx="443">
                  <c:v>44818</c:v>
                </c:pt>
                <c:pt idx="444">
                  <c:v>44819</c:v>
                </c:pt>
                <c:pt idx="445">
                  <c:v>44820</c:v>
                </c:pt>
                <c:pt idx="446">
                  <c:v>44823</c:v>
                </c:pt>
                <c:pt idx="447">
                  <c:v>44824</c:v>
                </c:pt>
                <c:pt idx="448">
                  <c:v>44825</c:v>
                </c:pt>
                <c:pt idx="449">
                  <c:v>44826</c:v>
                </c:pt>
                <c:pt idx="450">
                  <c:v>44827</c:v>
                </c:pt>
                <c:pt idx="451">
                  <c:v>44830</c:v>
                </c:pt>
                <c:pt idx="452">
                  <c:v>44831</c:v>
                </c:pt>
                <c:pt idx="453">
                  <c:v>44832</c:v>
                </c:pt>
                <c:pt idx="454">
                  <c:v>44833</c:v>
                </c:pt>
                <c:pt idx="455">
                  <c:v>44834</c:v>
                </c:pt>
                <c:pt idx="456">
                  <c:v>44837</c:v>
                </c:pt>
                <c:pt idx="457">
                  <c:v>44838</c:v>
                </c:pt>
                <c:pt idx="458">
                  <c:v>44839</c:v>
                </c:pt>
                <c:pt idx="459">
                  <c:v>44840</c:v>
                </c:pt>
                <c:pt idx="460">
                  <c:v>44841</c:v>
                </c:pt>
                <c:pt idx="461">
                  <c:v>44844</c:v>
                </c:pt>
                <c:pt idx="462">
                  <c:v>44845</c:v>
                </c:pt>
                <c:pt idx="463">
                  <c:v>44846</c:v>
                </c:pt>
                <c:pt idx="464">
                  <c:v>44847</c:v>
                </c:pt>
                <c:pt idx="465">
                  <c:v>44848</c:v>
                </c:pt>
                <c:pt idx="466">
                  <c:v>44851</c:v>
                </c:pt>
                <c:pt idx="467">
                  <c:v>44852</c:v>
                </c:pt>
                <c:pt idx="468">
                  <c:v>44853</c:v>
                </c:pt>
                <c:pt idx="469">
                  <c:v>44854</c:v>
                </c:pt>
                <c:pt idx="470">
                  <c:v>44855</c:v>
                </c:pt>
                <c:pt idx="471">
                  <c:v>44858</c:v>
                </c:pt>
                <c:pt idx="472">
                  <c:v>44859</c:v>
                </c:pt>
                <c:pt idx="473">
                  <c:v>44860</c:v>
                </c:pt>
                <c:pt idx="474">
                  <c:v>44861</c:v>
                </c:pt>
                <c:pt idx="475">
                  <c:v>44862</c:v>
                </c:pt>
                <c:pt idx="476">
                  <c:v>44865</c:v>
                </c:pt>
                <c:pt idx="477">
                  <c:v>44866</c:v>
                </c:pt>
                <c:pt idx="478">
                  <c:v>44867</c:v>
                </c:pt>
                <c:pt idx="479">
                  <c:v>44868</c:v>
                </c:pt>
                <c:pt idx="480">
                  <c:v>44869</c:v>
                </c:pt>
                <c:pt idx="481">
                  <c:v>44872</c:v>
                </c:pt>
                <c:pt idx="482">
                  <c:v>44873</c:v>
                </c:pt>
                <c:pt idx="483">
                  <c:v>44874</c:v>
                </c:pt>
                <c:pt idx="484">
                  <c:v>44875</c:v>
                </c:pt>
                <c:pt idx="485">
                  <c:v>44876</c:v>
                </c:pt>
                <c:pt idx="486">
                  <c:v>44879</c:v>
                </c:pt>
                <c:pt idx="487">
                  <c:v>44880</c:v>
                </c:pt>
                <c:pt idx="488">
                  <c:v>44881</c:v>
                </c:pt>
                <c:pt idx="489">
                  <c:v>44882</c:v>
                </c:pt>
                <c:pt idx="490">
                  <c:v>44883</c:v>
                </c:pt>
                <c:pt idx="491">
                  <c:v>44886</c:v>
                </c:pt>
                <c:pt idx="492">
                  <c:v>44887</c:v>
                </c:pt>
                <c:pt idx="493">
                  <c:v>44888</c:v>
                </c:pt>
                <c:pt idx="494">
                  <c:v>44889</c:v>
                </c:pt>
                <c:pt idx="495">
                  <c:v>44890</c:v>
                </c:pt>
                <c:pt idx="496">
                  <c:v>44893</c:v>
                </c:pt>
                <c:pt idx="497">
                  <c:v>44894</c:v>
                </c:pt>
                <c:pt idx="498">
                  <c:v>44895</c:v>
                </c:pt>
                <c:pt idx="499">
                  <c:v>44896</c:v>
                </c:pt>
                <c:pt idx="500">
                  <c:v>44897</c:v>
                </c:pt>
                <c:pt idx="501">
                  <c:v>44900</c:v>
                </c:pt>
                <c:pt idx="502">
                  <c:v>44901</c:v>
                </c:pt>
                <c:pt idx="503">
                  <c:v>44902</c:v>
                </c:pt>
                <c:pt idx="504">
                  <c:v>44903</c:v>
                </c:pt>
                <c:pt idx="505">
                  <c:v>44904</c:v>
                </c:pt>
                <c:pt idx="506">
                  <c:v>44907</c:v>
                </c:pt>
                <c:pt idx="507">
                  <c:v>44908</c:v>
                </c:pt>
                <c:pt idx="508">
                  <c:v>44909</c:v>
                </c:pt>
                <c:pt idx="509">
                  <c:v>44910</c:v>
                </c:pt>
                <c:pt idx="510">
                  <c:v>44911</c:v>
                </c:pt>
                <c:pt idx="511">
                  <c:v>44914</c:v>
                </c:pt>
                <c:pt idx="512">
                  <c:v>44915</c:v>
                </c:pt>
                <c:pt idx="513">
                  <c:v>44916</c:v>
                </c:pt>
                <c:pt idx="514">
                  <c:v>44917</c:v>
                </c:pt>
                <c:pt idx="515">
                  <c:v>44918</c:v>
                </c:pt>
                <c:pt idx="516">
                  <c:v>44921</c:v>
                </c:pt>
                <c:pt idx="517">
                  <c:v>44922</c:v>
                </c:pt>
                <c:pt idx="518">
                  <c:v>44923</c:v>
                </c:pt>
                <c:pt idx="519">
                  <c:v>44924</c:v>
                </c:pt>
                <c:pt idx="520">
                  <c:v>44925</c:v>
                </c:pt>
                <c:pt idx="521">
                  <c:v>44928</c:v>
                </c:pt>
                <c:pt idx="522">
                  <c:v>44929</c:v>
                </c:pt>
                <c:pt idx="523">
                  <c:v>44930</c:v>
                </c:pt>
                <c:pt idx="524">
                  <c:v>44931</c:v>
                </c:pt>
                <c:pt idx="525">
                  <c:v>44932</c:v>
                </c:pt>
                <c:pt idx="526">
                  <c:v>44935</c:v>
                </c:pt>
                <c:pt idx="527">
                  <c:v>44936</c:v>
                </c:pt>
                <c:pt idx="528">
                  <c:v>44937</c:v>
                </c:pt>
                <c:pt idx="529">
                  <c:v>44938</c:v>
                </c:pt>
                <c:pt idx="530">
                  <c:v>44939</c:v>
                </c:pt>
                <c:pt idx="531">
                  <c:v>44942</c:v>
                </c:pt>
                <c:pt idx="532">
                  <c:v>44943</c:v>
                </c:pt>
                <c:pt idx="533">
                  <c:v>44944</c:v>
                </c:pt>
                <c:pt idx="534">
                  <c:v>44945</c:v>
                </c:pt>
                <c:pt idx="535">
                  <c:v>44946</c:v>
                </c:pt>
                <c:pt idx="536">
                  <c:v>44949</c:v>
                </c:pt>
                <c:pt idx="537">
                  <c:v>44950</c:v>
                </c:pt>
                <c:pt idx="538">
                  <c:v>44951</c:v>
                </c:pt>
                <c:pt idx="539">
                  <c:v>44952</c:v>
                </c:pt>
                <c:pt idx="540">
                  <c:v>44953</c:v>
                </c:pt>
                <c:pt idx="541">
                  <c:v>44956</c:v>
                </c:pt>
                <c:pt idx="542">
                  <c:v>44957</c:v>
                </c:pt>
                <c:pt idx="543">
                  <c:v>44958</c:v>
                </c:pt>
                <c:pt idx="544">
                  <c:v>44959</c:v>
                </c:pt>
                <c:pt idx="545">
                  <c:v>44960</c:v>
                </c:pt>
                <c:pt idx="546">
                  <c:v>44963</c:v>
                </c:pt>
                <c:pt idx="547">
                  <c:v>44964</c:v>
                </c:pt>
                <c:pt idx="548">
                  <c:v>44965</c:v>
                </c:pt>
                <c:pt idx="549">
                  <c:v>44966</c:v>
                </c:pt>
                <c:pt idx="550">
                  <c:v>44967</c:v>
                </c:pt>
                <c:pt idx="551">
                  <c:v>44970</c:v>
                </c:pt>
                <c:pt idx="552">
                  <c:v>44971</c:v>
                </c:pt>
                <c:pt idx="553">
                  <c:v>44972</c:v>
                </c:pt>
                <c:pt idx="554">
                  <c:v>44973</c:v>
                </c:pt>
                <c:pt idx="555">
                  <c:v>44974</c:v>
                </c:pt>
                <c:pt idx="556">
                  <c:v>44977</c:v>
                </c:pt>
                <c:pt idx="557">
                  <c:v>44978</c:v>
                </c:pt>
                <c:pt idx="558">
                  <c:v>44979</c:v>
                </c:pt>
                <c:pt idx="559">
                  <c:v>44980</c:v>
                </c:pt>
                <c:pt idx="560">
                  <c:v>44981</c:v>
                </c:pt>
                <c:pt idx="561">
                  <c:v>44984</c:v>
                </c:pt>
                <c:pt idx="562">
                  <c:v>44985</c:v>
                </c:pt>
                <c:pt idx="563">
                  <c:v>44986</c:v>
                </c:pt>
                <c:pt idx="564">
                  <c:v>44987</c:v>
                </c:pt>
                <c:pt idx="565">
                  <c:v>44988</c:v>
                </c:pt>
                <c:pt idx="566">
                  <c:v>44991</c:v>
                </c:pt>
                <c:pt idx="567">
                  <c:v>44992</c:v>
                </c:pt>
                <c:pt idx="568">
                  <c:v>44993</c:v>
                </c:pt>
                <c:pt idx="569">
                  <c:v>44994</c:v>
                </c:pt>
                <c:pt idx="570">
                  <c:v>44995</c:v>
                </c:pt>
                <c:pt idx="571">
                  <c:v>44998</c:v>
                </c:pt>
                <c:pt idx="572">
                  <c:v>44999</c:v>
                </c:pt>
                <c:pt idx="573">
                  <c:v>45000</c:v>
                </c:pt>
                <c:pt idx="574">
                  <c:v>45001</c:v>
                </c:pt>
                <c:pt idx="575">
                  <c:v>45002</c:v>
                </c:pt>
                <c:pt idx="576">
                  <c:v>45005</c:v>
                </c:pt>
                <c:pt idx="577">
                  <c:v>45006</c:v>
                </c:pt>
                <c:pt idx="578">
                  <c:v>45007</c:v>
                </c:pt>
                <c:pt idx="579">
                  <c:v>45008</c:v>
                </c:pt>
                <c:pt idx="580">
                  <c:v>45009</c:v>
                </c:pt>
                <c:pt idx="581">
                  <c:v>45012</c:v>
                </c:pt>
                <c:pt idx="582">
                  <c:v>45013</c:v>
                </c:pt>
                <c:pt idx="583">
                  <c:v>45014</c:v>
                </c:pt>
                <c:pt idx="584">
                  <c:v>45015</c:v>
                </c:pt>
                <c:pt idx="585">
                  <c:v>45016</c:v>
                </c:pt>
                <c:pt idx="586">
                  <c:v>45019</c:v>
                </c:pt>
                <c:pt idx="587">
                  <c:v>45020</c:v>
                </c:pt>
                <c:pt idx="588">
                  <c:v>45021</c:v>
                </c:pt>
                <c:pt idx="589">
                  <c:v>45022</c:v>
                </c:pt>
                <c:pt idx="590">
                  <c:v>45023</c:v>
                </c:pt>
                <c:pt idx="591">
                  <c:v>45026</c:v>
                </c:pt>
                <c:pt idx="592">
                  <c:v>45027</c:v>
                </c:pt>
                <c:pt idx="593">
                  <c:v>45028</c:v>
                </c:pt>
                <c:pt idx="594">
                  <c:v>45029</c:v>
                </c:pt>
                <c:pt idx="595">
                  <c:v>45030</c:v>
                </c:pt>
                <c:pt idx="596">
                  <c:v>45033</c:v>
                </c:pt>
                <c:pt idx="597">
                  <c:v>45034</c:v>
                </c:pt>
                <c:pt idx="598">
                  <c:v>45035</c:v>
                </c:pt>
                <c:pt idx="599">
                  <c:v>45036</c:v>
                </c:pt>
                <c:pt idx="600">
                  <c:v>45037</c:v>
                </c:pt>
                <c:pt idx="601">
                  <c:v>45040</c:v>
                </c:pt>
                <c:pt idx="602">
                  <c:v>45041</c:v>
                </c:pt>
                <c:pt idx="603">
                  <c:v>45042</c:v>
                </c:pt>
                <c:pt idx="604">
                  <c:v>45043</c:v>
                </c:pt>
                <c:pt idx="605">
                  <c:v>45044</c:v>
                </c:pt>
                <c:pt idx="606">
                  <c:v>45047</c:v>
                </c:pt>
                <c:pt idx="607">
                  <c:v>45048</c:v>
                </c:pt>
                <c:pt idx="608">
                  <c:v>45049</c:v>
                </c:pt>
                <c:pt idx="609">
                  <c:v>45050</c:v>
                </c:pt>
                <c:pt idx="610">
                  <c:v>45051</c:v>
                </c:pt>
                <c:pt idx="611">
                  <c:v>45054</c:v>
                </c:pt>
                <c:pt idx="612">
                  <c:v>45055</c:v>
                </c:pt>
                <c:pt idx="613">
                  <c:v>45056</c:v>
                </c:pt>
                <c:pt idx="614">
                  <c:v>45057</c:v>
                </c:pt>
                <c:pt idx="615">
                  <c:v>45058</c:v>
                </c:pt>
                <c:pt idx="616">
                  <c:v>45061</c:v>
                </c:pt>
                <c:pt idx="617">
                  <c:v>45062</c:v>
                </c:pt>
                <c:pt idx="618">
                  <c:v>45063</c:v>
                </c:pt>
                <c:pt idx="619">
                  <c:v>45064</c:v>
                </c:pt>
                <c:pt idx="620">
                  <c:v>45065</c:v>
                </c:pt>
                <c:pt idx="621">
                  <c:v>45068</c:v>
                </c:pt>
                <c:pt idx="622">
                  <c:v>45069</c:v>
                </c:pt>
                <c:pt idx="623">
                  <c:v>45070</c:v>
                </c:pt>
                <c:pt idx="624">
                  <c:v>45071</c:v>
                </c:pt>
                <c:pt idx="625">
                  <c:v>45072</c:v>
                </c:pt>
                <c:pt idx="626">
                  <c:v>45075</c:v>
                </c:pt>
                <c:pt idx="627">
                  <c:v>45076</c:v>
                </c:pt>
                <c:pt idx="628">
                  <c:v>45077</c:v>
                </c:pt>
                <c:pt idx="629">
                  <c:v>45078</c:v>
                </c:pt>
                <c:pt idx="630">
                  <c:v>45079</c:v>
                </c:pt>
                <c:pt idx="631">
                  <c:v>45082</c:v>
                </c:pt>
                <c:pt idx="632">
                  <c:v>45083</c:v>
                </c:pt>
                <c:pt idx="633">
                  <c:v>45084</c:v>
                </c:pt>
                <c:pt idx="634">
                  <c:v>45085</c:v>
                </c:pt>
                <c:pt idx="635">
                  <c:v>45086</c:v>
                </c:pt>
                <c:pt idx="636">
                  <c:v>45089</c:v>
                </c:pt>
                <c:pt idx="637">
                  <c:v>45090</c:v>
                </c:pt>
                <c:pt idx="638">
                  <c:v>45091</c:v>
                </c:pt>
                <c:pt idx="639">
                  <c:v>45092</c:v>
                </c:pt>
                <c:pt idx="640">
                  <c:v>45093</c:v>
                </c:pt>
                <c:pt idx="641">
                  <c:v>45096</c:v>
                </c:pt>
                <c:pt idx="642">
                  <c:v>45097</c:v>
                </c:pt>
                <c:pt idx="643">
                  <c:v>45098</c:v>
                </c:pt>
                <c:pt idx="644">
                  <c:v>45099</c:v>
                </c:pt>
                <c:pt idx="645">
                  <c:v>45100</c:v>
                </c:pt>
                <c:pt idx="646">
                  <c:v>45103</c:v>
                </c:pt>
                <c:pt idx="647">
                  <c:v>45104</c:v>
                </c:pt>
                <c:pt idx="648">
                  <c:v>45105</c:v>
                </c:pt>
                <c:pt idx="649">
                  <c:v>45106</c:v>
                </c:pt>
                <c:pt idx="650">
                  <c:v>45107</c:v>
                </c:pt>
                <c:pt idx="651">
                  <c:v>45110</c:v>
                </c:pt>
                <c:pt idx="652">
                  <c:v>45111</c:v>
                </c:pt>
                <c:pt idx="653">
                  <c:v>45112</c:v>
                </c:pt>
                <c:pt idx="654">
                  <c:v>45113</c:v>
                </c:pt>
                <c:pt idx="655">
                  <c:v>45114</c:v>
                </c:pt>
                <c:pt idx="656">
                  <c:v>45117</c:v>
                </c:pt>
                <c:pt idx="657">
                  <c:v>45118</c:v>
                </c:pt>
                <c:pt idx="658">
                  <c:v>45119</c:v>
                </c:pt>
                <c:pt idx="659">
                  <c:v>45120</c:v>
                </c:pt>
                <c:pt idx="660">
                  <c:v>45121</c:v>
                </c:pt>
                <c:pt idx="661">
                  <c:v>45124</c:v>
                </c:pt>
                <c:pt idx="662">
                  <c:v>45125</c:v>
                </c:pt>
                <c:pt idx="663">
                  <c:v>45126</c:v>
                </c:pt>
                <c:pt idx="664">
                  <c:v>45127</c:v>
                </c:pt>
                <c:pt idx="665">
                  <c:v>45128</c:v>
                </c:pt>
                <c:pt idx="666">
                  <c:v>45131</c:v>
                </c:pt>
                <c:pt idx="667">
                  <c:v>45132</c:v>
                </c:pt>
                <c:pt idx="668">
                  <c:v>45133</c:v>
                </c:pt>
                <c:pt idx="669">
                  <c:v>45134</c:v>
                </c:pt>
                <c:pt idx="670">
                  <c:v>45135</c:v>
                </c:pt>
                <c:pt idx="671">
                  <c:v>45138</c:v>
                </c:pt>
                <c:pt idx="672">
                  <c:v>45139</c:v>
                </c:pt>
                <c:pt idx="673">
                  <c:v>45140</c:v>
                </c:pt>
                <c:pt idx="674">
                  <c:v>45141</c:v>
                </c:pt>
                <c:pt idx="675">
                  <c:v>45142</c:v>
                </c:pt>
                <c:pt idx="676">
                  <c:v>45145</c:v>
                </c:pt>
                <c:pt idx="677">
                  <c:v>45146</c:v>
                </c:pt>
                <c:pt idx="678">
                  <c:v>45147</c:v>
                </c:pt>
                <c:pt idx="679">
                  <c:v>45148</c:v>
                </c:pt>
                <c:pt idx="680">
                  <c:v>45149</c:v>
                </c:pt>
                <c:pt idx="681">
                  <c:v>45152</c:v>
                </c:pt>
                <c:pt idx="682">
                  <c:v>45153</c:v>
                </c:pt>
                <c:pt idx="683">
                  <c:v>45154</c:v>
                </c:pt>
                <c:pt idx="684">
                  <c:v>45155</c:v>
                </c:pt>
                <c:pt idx="685">
                  <c:v>45156</c:v>
                </c:pt>
                <c:pt idx="686">
                  <c:v>45159</c:v>
                </c:pt>
                <c:pt idx="687">
                  <c:v>45160</c:v>
                </c:pt>
                <c:pt idx="688">
                  <c:v>45161</c:v>
                </c:pt>
                <c:pt idx="689">
                  <c:v>45162</c:v>
                </c:pt>
                <c:pt idx="690">
                  <c:v>45163</c:v>
                </c:pt>
                <c:pt idx="691">
                  <c:v>45166</c:v>
                </c:pt>
                <c:pt idx="692">
                  <c:v>45167</c:v>
                </c:pt>
                <c:pt idx="693">
                  <c:v>45168</c:v>
                </c:pt>
                <c:pt idx="694">
                  <c:v>45169</c:v>
                </c:pt>
                <c:pt idx="695">
                  <c:v>45170</c:v>
                </c:pt>
                <c:pt idx="696">
                  <c:v>45173</c:v>
                </c:pt>
                <c:pt idx="697">
                  <c:v>45174</c:v>
                </c:pt>
                <c:pt idx="698">
                  <c:v>45175</c:v>
                </c:pt>
                <c:pt idx="699">
                  <c:v>45176</c:v>
                </c:pt>
                <c:pt idx="700">
                  <c:v>45177</c:v>
                </c:pt>
                <c:pt idx="701">
                  <c:v>45180</c:v>
                </c:pt>
                <c:pt idx="702">
                  <c:v>45181</c:v>
                </c:pt>
                <c:pt idx="703">
                  <c:v>45182</c:v>
                </c:pt>
                <c:pt idx="704">
                  <c:v>45183</c:v>
                </c:pt>
                <c:pt idx="705">
                  <c:v>45184</c:v>
                </c:pt>
                <c:pt idx="706">
                  <c:v>45187</c:v>
                </c:pt>
                <c:pt idx="707">
                  <c:v>45188</c:v>
                </c:pt>
                <c:pt idx="708">
                  <c:v>45189</c:v>
                </c:pt>
                <c:pt idx="709">
                  <c:v>45190</c:v>
                </c:pt>
                <c:pt idx="710">
                  <c:v>45191</c:v>
                </c:pt>
                <c:pt idx="711">
                  <c:v>45194</c:v>
                </c:pt>
                <c:pt idx="712">
                  <c:v>45195</c:v>
                </c:pt>
                <c:pt idx="713">
                  <c:v>45196</c:v>
                </c:pt>
                <c:pt idx="714">
                  <c:v>45197</c:v>
                </c:pt>
                <c:pt idx="715">
                  <c:v>45198</c:v>
                </c:pt>
                <c:pt idx="716">
                  <c:v>45201</c:v>
                </c:pt>
                <c:pt idx="717">
                  <c:v>45202</c:v>
                </c:pt>
                <c:pt idx="718">
                  <c:v>45203</c:v>
                </c:pt>
                <c:pt idx="719">
                  <c:v>45204</c:v>
                </c:pt>
                <c:pt idx="720">
                  <c:v>45205</c:v>
                </c:pt>
                <c:pt idx="721">
                  <c:v>45208</c:v>
                </c:pt>
                <c:pt idx="722">
                  <c:v>45209</c:v>
                </c:pt>
                <c:pt idx="723">
                  <c:v>45210</c:v>
                </c:pt>
                <c:pt idx="724">
                  <c:v>45211</c:v>
                </c:pt>
                <c:pt idx="725">
                  <c:v>45212</c:v>
                </c:pt>
                <c:pt idx="726">
                  <c:v>45215</c:v>
                </c:pt>
                <c:pt idx="727">
                  <c:v>45216</c:v>
                </c:pt>
                <c:pt idx="728">
                  <c:v>45217</c:v>
                </c:pt>
                <c:pt idx="729">
                  <c:v>45218</c:v>
                </c:pt>
                <c:pt idx="730">
                  <c:v>45219</c:v>
                </c:pt>
                <c:pt idx="731">
                  <c:v>45222</c:v>
                </c:pt>
                <c:pt idx="732">
                  <c:v>45223</c:v>
                </c:pt>
                <c:pt idx="733">
                  <c:v>45224</c:v>
                </c:pt>
                <c:pt idx="734">
                  <c:v>45225</c:v>
                </c:pt>
                <c:pt idx="735">
                  <c:v>45226</c:v>
                </c:pt>
                <c:pt idx="736">
                  <c:v>45229</c:v>
                </c:pt>
                <c:pt idx="737">
                  <c:v>45230</c:v>
                </c:pt>
                <c:pt idx="738">
                  <c:v>45231</c:v>
                </c:pt>
                <c:pt idx="739">
                  <c:v>45232</c:v>
                </c:pt>
                <c:pt idx="740">
                  <c:v>45233</c:v>
                </c:pt>
                <c:pt idx="741">
                  <c:v>45236</c:v>
                </c:pt>
                <c:pt idx="742">
                  <c:v>45237</c:v>
                </c:pt>
                <c:pt idx="743">
                  <c:v>45238</c:v>
                </c:pt>
                <c:pt idx="744">
                  <c:v>45239</c:v>
                </c:pt>
                <c:pt idx="745">
                  <c:v>45240</c:v>
                </c:pt>
                <c:pt idx="746">
                  <c:v>45243</c:v>
                </c:pt>
                <c:pt idx="747">
                  <c:v>45244</c:v>
                </c:pt>
                <c:pt idx="748">
                  <c:v>45245</c:v>
                </c:pt>
                <c:pt idx="749">
                  <c:v>45246</c:v>
                </c:pt>
                <c:pt idx="750">
                  <c:v>45247</c:v>
                </c:pt>
                <c:pt idx="751">
                  <c:v>45250</c:v>
                </c:pt>
                <c:pt idx="752">
                  <c:v>45251</c:v>
                </c:pt>
                <c:pt idx="753">
                  <c:v>45252</c:v>
                </c:pt>
                <c:pt idx="754">
                  <c:v>45253</c:v>
                </c:pt>
                <c:pt idx="755">
                  <c:v>45254</c:v>
                </c:pt>
                <c:pt idx="756">
                  <c:v>45257</c:v>
                </c:pt>
                <c:pt idx="757">
                  <c:v>45258</c:v>
                </c:pt>
                <c:pt idx="758">
                  <c:v>45259</c:v>
                </c:pt>
                <c:pt idx="759">
                  <c:v>45260</c:v>
                </c:pt>
                <c:pt idx="760">
                  <c:v>45261</c:v>
                </c:pt>
                <c:pt idx="761">
                  <c:v>45264</c:v>
                </c:pt>
                <c:pt idx="762">
                  <c:v>45265</c:v>
                </c:pt>
                <c:pt idx="763">
                  <c:v>45266</c:v>
                </c:pt>
                <c:pt idx="764">
                  <c:v>45267</c:v>
                </c:pt>
                <c:pt idx="765">
                  <c:v>45268</c:v>
                </c:pt>
                <c:pt idx="766">
                  <c:v>45271</c:v>
                </c:pt>
                <c:pt idx="767">
                  <c:v>45272</c:v>
                </c:pt>
                <c:pt idx="768">
                  <c:v>45273</c:v>
                </c:pt>
                <c:pt idx="769">
                  <c:v>45274</c:v>
                </c:pt>
                <c:pt idx="770">
                  <c:v>45275</c:v>
                </c:pt>
                <c:pt idx="771">
                  <c:v>45278</c:v>
                </c:pt>
                <c:pt idx="772">
                  <c:v>45279</c:v>
                </c:pt>
                <c:pt idx="773">
                  <c:v>45280</c:v>
                </c:pt>
                <c:pt idx="774">
                  <c:v>45281</c:v>
                </c:pt>
                <c:pt idx="775">
                  <c:v>45282</c:v>
                </c:pt>
                <c:pt idx="776">
                  <c:v>45285</c:v>
                </c:pt>
                <c:pt idx="777">
                  <c:v>45286</c:v>
                </c:pt>
                <c:pt idx="778">
                  <c:v>45287</c:v>
                </c:pt>
                <c:pt idx="779">
                  <c:v>45288</c:v>
                </c:pt>
                <c:pt idx="780">
                  <c:v>45289</c:v>
                </c:pt>
                <c:pt idx="781">
                  <c:v>45292</c:v>
                </c:pt>
                <c:pt idx="782">
                  <c:v>45293</c:v>
                </c:pt>
                <c:pt idx="783">
                  <c:v>45294</c:v>
                </c:pt>
                <c:pt idx="784">
                  <c:v>45295</c:v>
                </c:pt>
                <c:pt idx="785">
                  <c:v>45296</c:v>
                </c:pt>
                <c:pt idx="786">
                  <c:v>45299</c:v>
                </c:pt>
                <c:pt idx="787">
                  <c:v>45300</c:v>
                </c:pt>
                <c:pt idx="788">
                  <c:v>45301</c:v>
                </c:pt>
                <c:pt idx="789">
                  <c:v>45302</c:v>
                </c:pt>
                <c:pt idx="790">
                  <c:v>45303</c:v>
                </c:pt>
                <c:pt idx="791">
                  <c:v>45306</c:v>
                </c:pt>
                <c:pt idx="792">
                  <c:v>45307</c:v>
                </c:pt>
                <c:pt idx="793">
                  <c:v>45308</c:v>
                </c:pt>
                <c:pt idx="794">
                  <c:v>45309</c:v>
                </c:pt>
                <c:pt idx="795">
                  <c:v>45310</c:v>
                </c:pt>
                <c:pt idx="796">
                  <c:v>45313</c:v>
                </c:pt>
                <c:pt idx="797">
                  <c:v>45314</c:v>
                </c:pt>
                <c:pt idx="798">
                  <c:v>45315</c:v>
                </c:pt>
                <c:pt idx="799">
                  <c:v>45316</c:v>
                </c:pt>
                <c:pt idx="800">
                  <c:v>45317</c:v>
                </c:pt>
                <c:pt idx="801">
                  <c:v>45320</c:v>
                </c:pt>
                <c:pt idx="802">
                  <c:v>45321</c:v>
                </c:pt>
                <c:pt idx="803">
                  <c:v>45322</c:v>
                </c:pt>
                <c:pt idx="804">
                  <c:v>45323</c:v>
                </c:pt>
                <c:pt idx="805">
                  <c:v>45324</c:v>
                </c:pt>
                <c:pt idx="806">
                  <c:v>45327</c:v>
                </c:pt>
                <c:pt idx="807">
                  <c:v>45328</c:v>
                </c:pt>
                <c:pt idx="808">
                  <c:v>45329</c:v>
                </c:pt>
                <c:pt idx="809">
                  <c:v>45330</c:v>
                </c:pt>
                <c:pt idx="810">
                  <c:v>45331</c:v>
                </c:pt>
                <c:pt idx="811">
                  <c:v>45334</c:v>
                </c:pt>
                <c:pt idx="812">
                  <c:v>45335</c:v>
                </c:pt>
                <c:pt idx="813">
                  <c:v>45336</c:v>
                </c:pt>
                <c:pt idx="814">
                  <c:v>45337</c:v>
                </c:pt>
                <c:pt idx="815">
                  <c:v>45338</c:v>
                </c:pt>
                <c:pt idx="816">
                  <c:v>45341</c:v>
                </c:pt>
                <c:pt idx="817">
                  <c:v>45342</c:v>
                </c:pt>
                <c:pt idx="818">
                  <c:v>45343</c:v>
                </c:pt>
                <c:pt idx="819">
                  <c:v>45344</c:v>
                </c:pt>
                <c:pt idx="820">
                  <c:v>45345</c:v>
                </c:pt>
                <c:pt idx="821">
                  <c:v>45348</c:v>
                </c:pt>
                <c:pt idx="822">
                  <c:v>45349</c:v>
                </c:pt>
                <c:pt idx="823">
                  <c:v>45350</c:v>
                </c:pt>
                <c:pt idx="824">
                  <c:v>45351</c:v>
                </c:pt>
                <c:pt idx="825">
                  <c:v>45352</c:v>
                </c:pt>
                <c:pt idx="826">
                  <c:v>45355</c:v>
                </c:pt>
                <c:pt idx="827">
                  <c:v>45356</c:v>
                </c:pt>
                <c:pt idx="828">
                  <c:v>45357</c:v>
                </c:pt>
                <c:pt idx="829">
                  <c:v>45358</c:v>
                </c:pt>
                <c:pt idx="830">
                  <c:v>45359</c:v>
                </c:pt>
                <c:pt idx="831">
                  <c:v>45362</c:v>
                </c:pt>
                <c:pt idx="832">
                  <c:v>45363</c:v>
                </c:pt>
                <c:pt idx="833">
                  <c:v>45364</c:v>
                </c:pt>
                <c:pt idx="834">
                  <c:v>45365</c:v>
                </c:pt>
                <c:pt idx="835">
                  <c:v>45366</c:v>
                </c:pt>
                <c:pt idx="836">
                  <c:v>45369</c:v>
                </c:pt>
                <c:pt idx="837">
                  <c:v>45370</c:v>
                </c:pt>
                <c:pt idx="838">
                  <c:v>45371</c:v>
                </c:pt>
                <c:pt idx="839">
                  <c:v>45372</c:v>
                </c:pt>
                <c:pt idx="840">
                  <c:v>45373</c:v>
                </c:pt>
                <c:pt idx="841">
                  <c:v>45376</c:v>
                </c:pt>
                <c:pt idx="842">
                  <c:v>45377</c:v>
                </c:pt>
                <c:pt idx="843">
                  <c:v>45378</c:v>
                </c:pt>
                <c:pt idx="844">
                  <c:v>45379</c:v>
                </c:pt>
                <c:pt idx="845">
                  <c:v>45380</c:v>
                </c:pt>
                <c:pt idx="846">
                  <c:v>45383</c:v>
                </c:pt>
                <c:pt idx="847">
                  <c:v>45384</c:v>
                </c:pt>
                <c:pt idx="848">
                  <c:v>45385</c:v>
                </c:pt>
                <c:pt idx="849">
                  <c:v>45386</c:v>
                </c:pt>
                <c:pt idx="850">
                  <c:v>45387</c:v>
                </c:pt>
                <c:pt idx="851">
                  <c:v>45390</c:v>
                </c:pt>
                <c:pt idx="852">
                  <c:v>45391</c:v>
                </c:pt>
                <c:pt idx="853">
                  <c:v>45392</c:v>
                </c:pt>
                <c:pt idx="854">
                  <c:v>45393</c:v>
                </c:pt>
                <c:pt idx="855">
                  <c:v>45394</c:v>
                </c:pt>
                <c:pt idx="856">
                  <c:v>45397</c:v>
                </c:pt>
                <c:pt idx="857">
                  <c:v>45398</c:v>
                </c:pt>
                <c:pt idx="858">
                  <c:v>45399</c:v>
                </c:pt>
                <c:pt idx="859">
                  <c:v>45400</c:v>
                </c:pt>
                <c:pt idx="860">
                  <c:v>45401</c:v>
                </c:pt>
                <c:pt idx="861">
                  <c:v>45404</c:v>
                </c:pt>
                <c:pt idx="862">
                  <c:v>45405</c:v>
                </c:pt>
                <c:pt idx="863">
                  <c:v>45406</c:v>
                </c:pt>
                <c:pt idx="864">
                  <c:v>45407</c:v>
                </c:pt>
                <c:pt idx="865">
                  <c:v>45408</c:v>
                </c:pt>
                <c:pt idx="866">
                  <c:v>45411</c:v>
                </c:pt>
                <c:pt idx="867">
                  <c:v>45412</c:v>
                </c:pt>
                <c:pt idx="868">
                  <c:v>45413</c:v>
                </c:pt>
                <c:pt idx="869">
                  <c:v>45414</c:v>
                </c:pt>
                <c:pt idx="870">
                  <c:v>45415</c:v>
                </c:pt>
                <c:pt idx="871">
                  <c:v>45418</c:v>
                </c:pt>
                <c:pt idx="872">
                  <c:v>45419</c:v>
                </c:pt>
                <c:pt idx="873">
                  <c:v>45420</c:v>
                </c:pt>
                <c:pt idx="874">
                  <c:v>45421</c:v>
                </c:pt>
                <c:pt idx="875">
                  <c:v>45422</c:v>
                </c:pt>
                <c:pt idx="876">
                  <c:v>45425</c:v>
                </c:pt>
                <c:pt idx="877">
                  <c:v>45426</c:v>
                </c:pt>
                <c:pt idx="878">
                  <c:v>45427</c:v>
                </c:pt>
                <c:pt idx="879">
                  <c:v>45428</c:v>
                </c:pt>
                <c:pt idx="880">
                  <c:v>45429</c:v>
                </c:pt>
                <c:pt idx="881">
                  <c:v>45432</c:v>
                </c:pt>
                <c:pt idx="882">
                  <c:v>45433</c:v>
                </c:pt>
                <c:pt idx="883">
                  <c:v>45434</c:v>
                </c:pt>
                <c:pt idx="884">
                  <c:v>45435</c:v>
                </c:pt>
                <c:pt idx="885">
                  <c:v>45436</c:v>
                </c:pt>
                <c:pt idx="886">
                  <c:v>45439</c:v>
                </c:pt>
                <c:pt idx="887">
                  <c:v>45440</c:v>
                </c:pt>
                <c:pt idx="888">
                  <c:v>45441</c:v>
                </c:pt>
                <c:pt idx="889">
                  <c:v>45442</c:v>
                </c:pt>
                <c:pt idx="890">
                  <c:v>45443</c:v>
                </c:pt>
                <c:pt idx="891">
                  <c:v>45446</c:v>
                </c:pt>
                <c:pt idx="892">
                  <c:v>45447</c:v>
                </c:pt>
                <c:pt idx="893">
                  <c:v>45448</c:v>
                </c:pt>
                <c:pt idx="894">
                  <c:v>45449</c:v>
                </c:pt>
                <c:pt idx="895">
                  <c:v>45450</c:v>
                </c:pt>
                <c:pt idx="896">
                  <c:v>45453</c:v>
                </c:pt>
                <c:pt idx="897">
                  <c:v>45454</c:v>
                </c:pt>
                <c:pt idx="898">
                  <c:v>45455</c:v>
                </c:pt>
                <c:pt idx="899">
                  <c:v>45456</c:v>
                </c:pt>
                <c:pt idx="900">
                  <c:v>45457</c:v>
                </c:pt>
                <c:pt idx="901">
                  <c:v>45460</c:v>
                </c:pt>
                <c:pt idx="902">
                  <c:v>45461</c:v>
                </c:pt>
                <c:pt idx="903">
                  <c:v>45462</c:v>
                </c:pt>
                <c:pt idx="904">
                  <c:v>45463</c:v>
                </c:pt>
                <c:pt idx="905">
                  <c:v>45464</c:v>
                </c:pt>
                <c:pt idx="906">
                  <c:v>45467</c:v>
                </c:pt>
                <c:pt idx="907">
                  <c:v>45468</c:v>
                </c:pt>
                <c:pt idx="908">
                  <c:v>45469</c:v>
                </c:pt>
                <c:pt idx="909">
                  <c:v>45470</c:v>
                </c:pt>
                <c:pt idx="910">
                  <c:v>45471</c:v>
                </c:pt>
                <c:pt idx="911">
                  <c:v>45474</c:v>
                </c:pt>
                <c:pt idx="912">
                  <c:v>45475</c:v>
                </c:pt>
                <c:pt idx="913">
                  <c:v>45476</c:v>
                </c:pt>
                <c:pt idx="914">
                  <c:v>45477</c:v>
                </c:pt>
                <c:pt idx="915">
                  <c:v>45478</c:v>
                </c:pt>
                <c:pt idx="916">
                  <c:v>45481</c:v>
                </c:pt>
                <c:pt idx="917">
                  <c:v>45482</c:v>
                </c:pt>
                <c:pt idx="918">
                  <c:v>45483</c:v>
                </c:pt>
                <c:pt idx="919">
                  <c:v>45484</c:v>
                </c:pt>
                <c:pt idx="920">
                  <c:v>45485</c:v>
                </c:pt>
                <c:pt idx="921">
                  <c:v>45488</c:v>
                </c:pt>
                <c:pt idx="922">
                  <c:v>45489</c:v>
                </c:pt>
                <c:pt idx="923">
                  <c:v>45490</c:v>
                </c:pt>
                <c:pt idx="924">
                  <c:v>45491</c:v>
                </c:pt>
                <c:pt idx="925">
                  <c:v>45492</c:v>
                </c:pt>
                <c:pt idx="926">
                  <c:v>45495</c:v>
                </c:pt>
                <c:pt idx="927">
                  <c:v>45496</c:v>
                </c:pt>
                <c:pt idx="928">
                  <c:v>45497</c:v>
                </c:pt>
                <c:pt idx="929">
                  <c:v>45498</c:v>
                </c:pt>
                <c:pt idx="930">
                  <c:v>45499</c:v>
                </c:pt>
                <c:pt idx="931">
                  <c:v>45502</c:v>
                </c:pt>
                <c:pt idx="932">
                  <c:v>45503</c:v>
                </c:pt>
                <c:pt idx="933">
                  <c:v>45504</c:v>
                </c:pt>
                <c:pt idx="934">
                  <c:v>45505</c:v>
                </c:pt>
                <c:pt idx="935">
                  <c:v>45506</c:v>
                </c:pt>
                <c:pt idx="936">
                  <c:v>45509</c:v>
                </c:pt>
                <c:pt idx="937">
                  <c:v>45510</c:v>
                </c:pt>
                <c:pt idx="938">
                  <c:v>45511</c:v>
                </c:pt>
                <c:pt idx="939">
                  <c:v>45512</c:v>
                </c:pt>
                <c:pt idx="940">
                  <c:v>45513</c:v>
                </c:pt>
                <c:pt idx="941">
                  <c:v>45516</c:v>
                </c:pt>
                <c:pt idx="942">
                  <c:v>45517</c:v>
                </c:pt>
                <c:pt idx="943">
                  <c:v>45518</c:v>
                </c:pt>
                <c:pt idx="944">
                  <c:v>45519</c:v>
                </c:pt>
                <c:pt idx="945">
                  <c:v>45520</c:v>
                </c:pt>
                <c:pt idx="946">
                  <c:v>45523</c:v>
                </c:pt>
                <c:pt idx="947">
                  <c:v>45524</c:v>
                </c:pt>
                <c:pt idx="948">
                  <c:v>45525</c:v>
                </c:pt>
                <c:pt idx="949">
                  <c:v>45526</c:v>
                </c:pt>
                <c:pt idx="950">
                  <c:v>45527</c:v>
                </c:pt>
                <c:pt idx="951">
                  <c:v>45530</c:v>
                </c:pt>
                <c:pt idx="952">
                  <c:v>45531</c:v>
                </c:pt>
                <c:pt idx="953">
                  <c:v>45532</c:v>
                </c:pt>
                <c:pt idx="954">
                  <c:v>45533</c:v>
                </c:pt>
                <c:pt idx="955">
                  <c:v>45534</c:v>
                </c:pt>
                <c:pt idx="956">
                  <c:v>45537</c:v>
                </c:pt>
                <c:pt idx="957">
                  <c:v>45538</c:v>
                </c:pt>
                <c:pt idx="958">
                  <c:v>45539</c:v>
                </c:pt>
                <c:pt idx="959">
                  <c:v>45540</c:v>
                </c:pt>
                <c:pt idx="960">
                  <c:v>45541</c:v>
                </c:pt>
                <c:pt idx="961">
                  <c:v>45544</c:v>
                </c:pt>
                <c:pt idx="962">
                  <c:v>45545</c:v>
                </c:pt>
                <c:pt idx="963">
                  <c:v>45546</c:v>
                </c:pt>
                <c:pt idx="964">
                  <c:v>45547</c:v>
                </c:pt>
                <c:pt idx="965">
                  <c:v>45548</c:v>
                </c:pt>
                <c:pt idx="966">
                  <c:v>45551</c:v>
                </c:pt>
                <c:pt idx="967">
                  <c:v>45552</c:v>
                </c:pt>
                <c:pt idx="968">
                  <c:v>45553</c:v>
                </c:pt>
                <c:pt idx="969">
                  <c:v>45554</c:v>
                </c:pt>
                <c:pt idx="970">
                  <c:v>45555</c:v>
                </c:pt>
                <c:pt idx="971">
                  <c:v>45558</c:v>
                </c:pt>
                <c:pt idx="972">
                  <c:v>45559</c:v>
                </c:pt>
                <c:pt idx="973">
                  <c:v>45560</c:v>
                </c:pt>
                <c:pt idx="974">
                  <c:v>45561</c:v>
                </c:pt>
                <c:pt idx="975">
                  <c:v>45562</c:v>
                </c:pt>
                <c:pt idx="976">
                  <c:v>45565</c:v>
                </c:pt>
                <c:pt idx="977">
                  <c:v>45566</c:v>
                </c:pt>
                <c:pt idx="978">
                  <c:v>45567</c:v>
                </c:pt>
                <c:pt idx="979">
                  <c:v>45568</c:v>
                </c:pt>
                <c:pt idx="980">
                  <c:v>45569</c:v>
                </c:pt>
                <c:pt idx="981">
                  <c:v>45572</c:v>
                </c:pt>
                <c:pt idx="982">
                  <c:v>45573</c:v>
                </c:pt>
                <c:pt idx="983">
                  <c:v>45574</c:v>
                </c:pt>
                <c:pt idx="984">
                  <c:v>45575</c:v>
                </c:pt>
                <c:pt idx="985">
                  <c:v>45576</c:v>
                </c:pt>
                <c:pt idx="986">
                  <c:v>45579</c:v>
                </c:pt>
                <c:pt idx="987">
                  <c:v>45580</c:v>
                </c:pt>
                <c:pt idx="988">
                  <c:v>45581</c:v>
                </c:pt>
                <c:pt idx="989">
                  <c:v>45582</c:v>
                </c:pt>
                <c:pt idx="990">
                  <c:v>45583</c:v>
                </c:pt>
                <c:pt idx="991">
                  <c:v>45586</c:v>
                </c:pt>
                <c:pt idx="992">
                  <c:v>45587</c:v>
                </c:pt>
                <c:pt idx="993">
                  <c:v>45588</c:v>
                </c:pt>
                <c:pt idx="994">
                  <c:v>45589</c:v>
                </c:pt>
                <c:pt idx="995">
                  <c:v>45590</c:v>
                </c:pt>
                <c:pt idx="996">
                  <c:v>45593</c:v>
                </c:pt>
                <c:pt idx="997">
                  <c:v>45594</c:v>
                </c:pt>
                <c:pt idx="998">
                  <c:v>45595</c:v>
                </c:pt>
                <c:pt idx="999">
                  <c:v>45596</c:v>
                </c:pt>
                <c:pt idx="1000">
                  <c:v>45597</c:v>
                </c:pt>
                <c:pt idx="1001">
                  <c:v>45600</c:v>
                </c:pt>
                <c:pt idx="1002">
                  <c:v>45601</c:v>
                </c:pt>
                <c:pt idx="1003">
                  <c:v>45602</c:v>
                </c:pt>
                <c:pt idx="1004">
                  <c:v>45603</c:v>
                </c:pt>
                <c:pt idx="1005">
                  <c:v>45604</c:v>
                </c:pt>
                <c:pt idx="1006">
                  <c:v>45607</c:v>
                </c:pt>
                <c:pt idx="1007">
                  <c:v>45608</c:v>
                </c:pt>
                <c:pt idx="1008">
                  <c:v>45609</c:v>
                </c:pt>
                <c:pt idx="1009">
                  <c:v>45610</c:v>
                </c:pt>
                <c:pt idx="1010">
                  <c:v>45611</c:v>
                </c:pt>
                <c:pt idx="1011">
                  <c:v>45614</c:v>
                </c:pt>
                <c:pt idx="1012">
                  <c:v>45615</c:v>
                </c:pt>
                <c:pt idx="1013">
                  <c:v>45616</c:v>
                </c:pt>
                <c:pt idx="1014">
                  <c:v>45617</c:v>
                </c:pt>
                <c:pt idx="1015">
                  <c:v>45618</c:v>
                </c:pt>
                <c:pt idx="1016">
                  <c:v>45621</c:v>
                </c:pt>
                <c:pt idx="1017">
                  <c:v>45622</c:v>
                </c:pt>
                <c:pt idx="1018">
                  <c:v>45623</c:v>
                </c:pt>
                <c:pt idx="1019">
                  <c:v>45624</c:v>
                </c:pt>
                <c:pt idx="1020">
                  <c:v>45625</c:v>
                </c:pt>
                <c:pt idx="1021">
                  <c:v>45628</c:v>
                </c:pt>
                <c:pt idx="1022">
                  <c:v>45629</c:v>
                </c:pt>
                <c:pt idx="1023">
                  <c:v>45630</c:v>
                </c:pt>
                <c:pt idx="1024">
                  <c:v>45631</c:v>
                </c:pt>
                <c:pt idx="1025">
                  <c:v>45632</c:v>
                </c:pt>
                <c:pt idx="1026">
                  <c:v>45635</c:v>
                </c:pt>
                <c:pt idx="1027">
                  <c:v>45636</c:v>
                </c:pt>
                <c:pt idx="1028">
                  <c:v>45637</c:v>
                </c:pt>
                <c:pt idx="1029">
                  <c:v>45638</c:v>
                </c:pt>
                <c:pt idx="1030">
                  <c:v>45639</c:v>
                </c:pt>
                <c:pt idx="1031">
                  <c:v>45642</c:v>
                </c:pt>
                <c:pt idx="1032">
                  <c:v>45643</c:v>
                </c:pt>
                <c:pt idx="1033">
                  <c:v>45644</c:v>
                </c:pt>
                <c:pt idx="1034">
                  <c:v>45645</c:v>
                </c:pt>
                <c:pt idx="1035">
                  <c:v>45646</c:v>
                </c:pt>
                <c:pt idx="1036">
                  <c:v>45649</c:v>
                </c:pt>
                <c:pt idx="1037">
                  <c:v>45650</c:v>
                </c:pt>
                <c:pt idx="1038">
                  <c:v>45651</c:v>
                </c:pt>
                <c:pt idx="1039">
                  <c:v>45652</c:v>
                </c:pt>
                <c:pt idx="1040">
                  <c:v>45653</c:v>
                </c:pt>
                <c:pt idx="1041">
                  <c:v>45656</c:v>
                </c:pt>
                <c:pt idx="1042">
                  <c:v>45657</c:v>
                </c:pt>
                <c:pt idx="1043">
                  <c:v>45658</c:v>
                </c:pt>
                <c:pt idx="1044">
                  <c:v>45659</c:v>
                </c:pt>
                <c:pt idx="1045">
                  <c:v>45660</c:v>
                </c:pt>
                <c:pt idx="1046">
                  <c:v>45663</c:v>
                </c:pt>
                <c:pt idx="1047">
                  <c:v>45664</c:v>
                </c:pt>
                <c:pt idx="1048">
                  <c:v>45665</c:v>
                </c:pt>
                <c:pt idx="1049">
                  <c:v>45666</c:v>
                </c:pt>
                <c:pt idx="1050">
                  <c:v>45667</c:v>
                </c:pt>
                <c:pt idx="1051">
                  <c:v>45670</c:v>
                </c:pt>
                <c:pt idx="1052">
                  <c:v>45671</c:v>
                </c:pt>
                <c:pt idx="1053">
                  <c:v>45672</c:v>
                </c:pt>
                <c:pt idx="1054">
                  <c:v>45673</c:v>
                </c:pt>
                <c:pt idx="1055">
                  <c:v>45674</c:v>
                </c:pt>
                <c:pt idx="1056">
                  <c:v>45677</c:v>
                </c:pt>
                <c:pt idx="1057">
                  <c:v>45678</c:v>
                </c:pt>
                <c:pt idx="1058">
                  <c:v>45679</c:v>
                </c:pt>
                <c:pt idx="1059">
                  <c:v>45680</c:v>
                </c:pt>
                <c:pt idx="1060">
                  <c:v>45681</c:v>
                </c:pt>
                <c:pt idx="1061">
                  <c:v>45684</c:v>
                </c:pt>
                <c:pt idx="1062">
                  <c:v>45685</c:v>
                </c:pt>
                <c:pt idx="1063">
                  <c:v>45686</c:v>
                </c:pt>
                <c:pt idx="1064">
                  <c:v>45687</c:v>
                </c:pt>
                <c:pt idx="1065">
                  <c:v>45688</c:v>
                </c:pt>
                <c:pt idx="1066">
                  <c:v>45691</c:v>
                </c:pt>
                <c:pt idx="1067">
                  <c:v>45692</c:v>
                </c:pt>
                <c:pt idx="1068">
                  <c:v>45693</c:v>
                </c:pt>
                <c:pt idx="1069">
                  <c:v>45694</c:v>
                </c:pt>
                <c:pt idx="1070">
                  <c:v>45695</c:v>
                </c:pt>
                <c:pt idx="1071">
                  <c:v>45698</c:v>
                </c:pt>
                <c:pt idx="1072">
                  <c:v>45699</c:v>
                </c:pt>
                <c:pt idx="1073">
                  <c:v>45700</c:v>
                </c:pt>
                <c:pt idx="1074">
                  <c:v>45701</c:v>
                </c:pt>
                <c:pt idx="1075">
                  <c:v>45702</c:v>
                </c:pt>
                <c:pt idx="1076">
                  <c:v>45705</c:v>
                </c:pt>
                <c:pt idx="1077">
                  <c:v>45706</c:v>
                </c:pt>
                <c:pt idx="1078">
                  <c:v>45707</c:v>
                </c:pt>
                <c:pt idx="1079">
                  <c:v>45708</c:v>
                </c:pt>
                <c:pt idx="1080">
                  <c:v>45709</c:v>
                </c:pt>
                <c:pt idx="1081">
                  <c:v>45712</c:v>
                </c:pt>
                <c:pt idx="1082">
                  <c:v>45713</c:v>
                </c:pt>
                <c:pt idx="1083">
                  <c:v>45714</c:v>
                </c:pt>
                <c:pt idx="1084">
                  <c:v>45715</c:v>
                </c:pt>
                <c:pt idx="1085">
                  <c:v>45716</c:v>
                </c:pt>
                <c:pt idx="1086">
                  <c:v>45719</c:v>
                </c:pt>
                <c:pt idx="1087">
                  <c:v>45720</c:v>
                </c:pt>
                <c:pt idx="1088">
                  <c:v>45721</c:v>
                </c:pt>
                <c:pt idx="1089">
                  <c:v>45722</c:v>
                </c:pt>
                <c:pt idx="1090">
                  <c:v>45723</c:v>
                </c:pt>
                <c:pt idx="1091">
                  <c:v>45726</c:v>
                </c:pt>
                <c:pt idx="1092">
                  <c:v>45727</c:v>
                </c:pt>
                <c:pt idx="1093">
                  <c:v>45728</c:v>
                </c:pt>
                <c:pt idx="1094">
                  <c:v>45729</c:v>
                </c:pt>
                <c:pt idx="1095">
                  <c:v>45730</c:v>
                </c:pt>
                <c:pt idx="1096">
                  <c:v>45733</c:v>
                </c:pt>
                <c:pt idx="1097">
                  <c:v>45734</c:v>
                </c:pt>
                <c:pt idx="1098">
                  <c:v>45735</c:v>
                </c:pt>
                <c:pt idx="1099">
                  <c:v>45736</c:v>
                </c:pt>
                <c:pt idx="1100">
                  <c:v>45737</c:v>
                </c:pt>
                <c:pt idx="1101">
                  <c:v>45740</c:v>
                </c:pt>
                <c:pt idx="1102">
                  <c:v>45741</c:v>
                </c:pt>
                <c:pt idx="1103">
                  <c:v>45742</c:v>
                </c:pt>
                <c:pt idx="1104">
                  <c:v>45743</c:v>
                </c:pt>
                <c:pt idx="1105">
                  <c:v>45744</c:v>
                </c:pt>
                <c:pt idx="1106">
                  <c:v>45747</c:v>
                </c:pt>
                <c:pt idx="1107">
                  <c:v>45748</c:v>
                </c:pt>
                <c:pt idx="1108">
                  <c:v>45749</c:v>
                </c:pt>
                <c:pt idx="1109">
                  <c:v>45750</c:v>
                </c:pt>
                <c:pt idx="1110">
                  <c:v>45751</c:v>
                </c:pt>
                <c:pt idx="1111">
                  <c:v>45754</c:v>
                </c:pt>
                <c:pt idx="1112">
                  <c:v>45755</c:v>
                </c:pt>
                <c:pt idx="1113">
                  <c:v>45756</c:v>
                </c:pt>
                <c:pt idx="1114">
                  <c:v>45757</c:v>
                </c:pt>
                <c:pt idx="1115">
                  <c:v>45758</c:v>
                </c:pt>
                <c:pt idx="1116">
                  <c:v>45761</c:v>
                </c:pt>
                <c:pt idx="1117">
                  <c:v>45762</c:v>
                </c:pt>
                <c:pt idx="1118">
                  <c:v>45763</c:v>
                </c:pt>
                <c:pt idx="1119">
                  <c:v>45764</c:v>
                </c:pt>
                <c:pt idx="1120">
                  <c:v>45765</c:v>
                </c:pt>
                <c:pt idx="1121">
                  <c:v>45768</c:v>
                </c:pt>
                <c:pt idx="1122">
                  <c:v>45769</c:v>
                </c:pt>
                <c:pt idx="1123">
                  <c:v>45770</c:v>
                </c:pt>
                <c:pt idx="1124">
                  <c:v>45771</c:v>
                </c:pt>
                <c:pt idx="1125">
                  <c:v>45772</c:v>
                </c:pt>
                <c:pt idx="1126">
                  <c:v>45775</c:v>
                </c:pt>
                <c:pt idx="1127">
                  <c:v>45776</c:v>
                </c:pt>
                <c:pt idx="1128">
                  <c:v>45777</c:v>
                </c:pt>
                <c:pt idx="1129">
                  <c:v>45778</c:v>
                </c:pt>
                <c:pt idx="1130">
                  <c:v>45779</c:v>
                </c:pt>
                <c:pt idx="1131">
                  <c:v>45782</c:v>
                </c:pt>
                <c:pt idx="1132">
                  <c:v>45783</c:v>
                </c:pt>
                <c:pt idx="1133">
                  <c:v>45784</c:v>
                </c:pt>
                <c:pt idx="1134">
                  <c:v>45785</c:v>
                </c:pt>
                <c:pt idx="1135">
                  <c:v>45786</c:v>
                </c:pt>
                <c:pt idx="1136">
                  <c:v>45789</c:v>
                </c:pt>
                <c:pt idx="1137">
                  <c:v>45790</c:v>
                </c:pt>
                <c:pt idx="1138">
                  <c:v>45791</c:v>
                </c:pt>
                <c:pt idx="1139">
                  <c:v>45792</c:v>
                </c:pt>
                <c:pt idx="1140">
                  <c:v>45793</c:v>
                </c:pt>
                <c:pt idx="1141">
                  <c:v>45796</c:v>
                </c:pt>
                <c:pt idx="1142">
                  <c:v>45797</c:v>
                </c:pt>
                <c:pt idx="1143">
                  <c:v>45798</c:v>
                </c:pt>
                <c:pt idx="1144">
                  <c:v>45799</c:v>
                </c:pt>
                <c:pt idx="1145">
                  <c:v>45800</c:v>
                </c:pt>
                <c:pt idx="1146">
                  <c:v>45803</c:v>
                </c:pt>
                <c:pt idx="1147">
                  <c:v>45804</c:v>
                </c:pt>
                <c:pt idx="1148">
                  <c:v>45805</c:v>
                </c:pt>
                <c:pt idx="1149">
                  <c:v>45806</c:v>
                </c:pt>
                <c:pt idx="1150">
                  <c:v>45807</c:v>
                </c:pt>
                <c:pt idx="1151">
                  <c:v>45810</c:v>
                </c:pt>
                <c:pt idx="1152">
                  <c:v>45811</c:v>
                </c:pt>
                <c:pt idx="1153">
                  <c:v>45812</c:v>
                </c:pt>
                <c:pt idx="1154">
                  <c:v>45813</c:v>
                </c:pt>
                <c:pt idx="1155">
                  <c:v>45814</c:v>
                </c:pt>
                <c:pt idx="1156">
                  <c:v>45817</c:v>
                </c:pt>
                <c:pt idx="1157">
                  <c:v>45818</c:v>
                </c:pt>
                <c:pt idx="1158">
                  <c:v>45819</c:v>
                </c:pt>
                <c:pt idx="1159">
                  <c:v>45820</c:v>
                </c:pt>
                <c:pt idx="1160">
                  <c:v>45821</c:v>
                </c:pt>
                <c:pt idx="1161">
                  <c:v>45824</c:v>
                </c:pt>
                <c:pt idx="1162">
                  <c:v>45825</c:v>
                </c:pt>
                <c:pt idx="1163">
                  <c:v>45826</c:v>
                </c:pt>
                <c:pt idx="1164">
                  <c:v>45827</c:v>
                </c:pt>
                <c:pt idx="1165">
                  <c:v>45828</c:v>
                </c:pt>
                <c:pt idx="1166">
                  <c:v>45831</c:v>
                </c:pt>
                <c:pt idx="1167">
                  <c:v>45832</c:v>
                </c:pt>
                <c:pt idx="1168">
                  <c:v>45833</c:v>
                </c:pt>
                <c:pt idx="1169">
                  <c:v>45834</c:v>
                </c:pt>
                <c:pt idx="1170">
                  <c:v>45835</c:v>
                </c:pt>
                <c:pt idx="1171">
                  <c:v>45838</c:v>
                </c:pt>
                <c:pt idx="1172">
                  <c:v>45839</c:v>
                </c:pt>
                <c:pt idx="1173">
                  <c:v>45840</c:v>
                </c:pt>
                <c:pt idx="1174">
                  <c:v>45841</c:v>
                </c:pt>
                <c:pt idx="1175">
                  <c:v>45842</c:v>
                </c:pt>
                <c:pt idx="1176">
                  <c:v>45845</c:v>
                </c:pt>
                <c:pt idx="1177">
                  <c:v>45846</c:v>
                </c:pt>
                <c:pt idx="1178">
                  <c:v>45847</c:v>
                </c:pt>
                <c:pt idx="1179">
                  <c:v>45848</c:v>
                </c:pt>
                <c:pt idx="1180">
                  <c:v>45849</c:v>
                </c:pt>
                <c:pt idx="1181">
                  <c:v>45852</c:v>
                </c:pt>
                <c:pt idx="1182">
                  <c:v>45853</c:v>
                </c:pt>
                <c:pt idx="1183">
                  <c:v>45854</c:v>
                </c:pt>
                <c:pt idx="1184">
                  <c:v>45855</c:v>
                </c:pt>
                <c:pt idx="1185">
                  <c:v>45856</c:v>
                </c:pt>
                <c:pt idx="1186">
                  <c:v>45859</c:v>
                </c:pt>
                <c:pt idx="1187">
                  <c:v>45860</c:v>
                </c:pt>
                <c:pt idx="1188">
                  <c:v>45861</c:v>
                </c:pt>
                <c:pt idx="1189">
                  <c:v>45862</c:v>
                </c:pt>
                <c:pt idx="1190">
                  <c:v>45863</c:v>
                </c:pt>
                <c:pt idx="1191">
                  <c:v>45866</c:v>
                </c:pt>
                <c:pt idx="1192">
                  <c:v>45867</c:v>
                </c:pt>
                <c:pt idx="1193">
                  <c:v>45868</c:v>
                </c:pt>
                <c:pt idx="1194">
                  <c:v>45869</c:v>
                </c:pt>
                <c:pt idx="1195">
                  <c:v>45870</c:v>
                </c:pt>
                <c:pt idx="1196">
                  <c:v>45873</c:v>
                </c:pt>
                <c:pt idx="1197">
                  <c:v>45874</c:v>
                </c:pt>
                <c:pt idx="1198">
                  <c:v>45875</c:v>
                </c:pt>
                <c:pt idx="1199">
                  <c:v>45876</c:v>
                </c:pt>
                <c:pt idx="1200">
                  <c:v>45877</c:v>
                </c:pt>
                <c:pt idx="1201">
                  <c:v>45880</c:v>
                </c:pt>
                <c:pt idx="1202">
                  <c:v>45881</c:v>
                </c:pt>
                <c:pt idx="1203">
                  <c:v>45882</c:v>
                </c:pt>
                <c:pt idx="1204">
                  <c:v>45883</c:v>
                </c:pt>
                <c:pt idx="1205">
                  <c:v>45884</c:v>
                </c:pt>
                <c:pt idx="1206">
                  <c:v>45887</c:v>
                </c:pt>
                <c:pt idx="1207">
                  <c:v>45888</c:v>
                </c:pt>
                <c:pt idx="1208">
                  <c:v>45889</c:v>
                </c:pt>
                <c:pt idx="1209">
                  <c:v>45890</c:v>
                </c:pt>
                <c:pt idx="1210">
                  <c:v>45891</c:v>
                </c:pt>
                <c:pt idx="1211">
                  <c:v>45894</c:v>
                </c:pt>
                <c:pt idx="1212">
                  <c:v>45895</c:v>
                </c:pt>
                <c:pt idx="1213">
                  <c:v>45896</c:v>
                </c:pt>
                <c:pt idx="1214">
                  <c:v>45897</c:v>
                </c:pt>
                <c:pt idx="1215">
                  <c:v>45898</c:v>
                </c:pt>
                <c:pt idx="1216">
                  <c:v>45901</c:v>
                </c:pt>
                <c:pt idx="1217">
                  <c:v>45902</c:v>
                </c:pt>
                <c:pt idx="1218">
                  <c:v>45903</c:v>
                </c:pt>
                <c:pt idx="1219">
                  <c:v>45904</c:v>
                </c:pt>
                <c:pt idx="1220">
                  <c:v>45905</c:v>
                </c:pt>
                <c:pt idx="1221">
                  <c:v>45908</c:v>
                </c:pt>
                <c:pt idx="1222">
                  <c:v>45909</c:v>
                </c:pt>
                <c:pt idx="1223">
                  <c:v>45910</c:v>
                </c:pt>
                <c:pt idx="1224">
                  <c:v>45911</c:v>
                </c:pt>
                <c:pt idx="1225">
                  <c:v>45912</c:v>
                </c:pt>
                <c:pt idx="1226">
                  <c:v>45915</c:v>
                </c:pt>
                <c:pt idx="1227">
                  <c:v>45916</c:v>
                </c:pt>
                <c:pt idx="1228">
                  <c:v>45917</c:v>
                </c:pt>
                <c:pt idx="1229">
                  <c:v>45918</c:v>
                </c:pt>
                <c:pt idx="1230">
                  <c:v>45919</c:v>
                </c:pt>
                <c:pt idx="1231">
                  <c:v>45922</c:v>
                </c:pt>
                <c:pt idx="1232">
                  <c:v>45923</c:v>
                </c:pt>
                <c:pt idx="1233">
                  <c:v>45924</c:v>
                </c:pt>
                <c:pt idx="1234">
                  <c:v>45925</c:v>
                </c:pt>
                <c:pt idx="1235">
                  <c:v>45926</c:v>
                </c:pt>
                <c:pt idx="1236">
                  <c:v>45929</c:v>
                </c:pt>
                <c:pt idx="1237">
                  <c:v>45930</c:v>
                </c:pt>
                <c:pt idx="1238">
                  <c:v>45931</c:v>
                </c:pt>
                <c:pt idx="1239">
                  <c:v>45932</c:v>
                </c:pt>
                <c:pt idx="1240">
                  <c:v>45933</c:v>
                </c:pt>
                <c:pt idx="1241">
                  <c:v>45936</c:v>
                </c:pt>
                <c:pt idx="1242">
                  <c:v>45937</c:v>
                </c:pt>
                <c:pt idx="1243">
                  <c:v>45938</c:v>
                </c:pt>
                <c:pt idx="1244">
                  <c:v>45939</c:v>
                </c:pt>
                <c:pt idx="1245">
                  <c:v>45940</c:v>
                </c:pt>
                <c:pt idx="1246">
                  <c:v>45943</c:v>
                </c:pt>
                <c:pt idx="1247">
                  <c:v>45944</c:v>
                </c:pt>
                <c:pt idx="1248">
                  <c:v>45945</c:v>
                </c:pt>
                <c:pt idx="1249">
                  <c:v>45946</c:v>
                </c:pt>
                <c:pt idx="1250">
                  <c:v>45947</c:v>
                </c:pt>
                <c:pt idx="1251">
                  <c:v>45950</c:v>
                </c:pt>
                <c:pt idx="1252">
                  <c:v>45951</c:v>
                </c:pt>
                <c:pt idx="1253">
                  <c:v>45952</c:v>
                </c:pt>
                <c:pt idx="1254">
                  <c:v>45953</c:v>
                </c:pt>
                <c:pt idx="1255">
                  <c:v>45954</c:v>
                </c:pt>
                <c:pt idx="1256">
                  <c:v>45957</c:v>
                </c:pt>
                <c:pt idx="1257">
                  <c:v>45958</c:v>
                </c:pt>
                <c:pt idx="1258">
                  <c:v>45959</c:v>
                </c:pt>
                <c:pt idx="1259">
                  <c:v>45960</c:v>
                </c:pt>
                <c:pt idx="1260">
                  <c:v>45961</c:v>
                </c:pt>
                <c:pt idx="1261">
                  <c:v>45964</c:v>
                </c:pt>
                <c:pt idx="1262">
                  <c:v>45965</c:v>
                </c:pt>
                <c:pt idx="1263">
                  <c:v>45966</c:v>
                </c:pt>
                <c:pt idx="1264">
                  <c:v>45967</c:v>
                </c:pt>
                <c:pt idx="1265">
                  <c:v>45968</c:v>
                </c:pt>
                <c:pt idx="1266">
                  <c:v>45971</c:v>
                </c:pt>
                <c:pt idx="1267">
                  <c:v>45972</c:v>
                </c:pt>
                <c:pt idx="1268">
                  <c:v>45973</c:v>
                </c:pt>
                <c:pt idx="1269">
                  <c:v>45974</c:v>
                </c:pt>
                <c:pt idx="1270">
                  <c:v>45975</c:v>
                </c:pt>
                <c:pt idx="1271">
                  <c:v>45978</c:v>
                </c:pt>
                <c:pt idx="1272">
                  <c:v>45979</c:v>
                </c:pt>
                <c:pt idx="1273">
                  <c:v>45980</c:v>
                </c:pt>
                <c:pt idx="1274">
                  <c:v>45981</c:v>
                </c:pt>
                <c:pt idx="1275">
                  <c:v>45982</c:v>
                </c:pt>
                <c:pt idx="1276">
                  <c:v>45985</c:v>
                </c:pt>
                <c:pt idx="1277">
                  <c:v>45986</c:v>
                </c:pt>
                <c:pt idx="1278">
                  <c:v>45987</c:v>
                </c:pt>
                <c:pt idx="1279">
                  <c:v>45988</c:v>
                </c:pt>
                <c:pt idx="1280">
                  <c:v>45989</c:v>
                </c:pt>
                <c:pt idx="1281">
                  <c:v>45992</c:v>
                </c:pt>
                <c:pt idx="1282">
                  <c:v>45993</c:v>
                </c:pt>
                <c:pt idx="1283">
                  <c:v>45994</c:v>
                </c:pt>
                <c:pt idx="1284">
                  <c:v>45995</c:v>
                </c:pt>
                <c:pt idx="1285">
                  <c:v>45996</c:v>
                </c:pt>
                <c:pt idx="1286">
                  <c:v>45999</c:v>
                </c:pt>
                <c:pt idx="1287">
                  <c:v>46000</c:v>
                </c:pt>
                <c:pt idx="1288">
                  <c:v>46001</c:v>
                </c:pt>
                <c:pt idx="1289">
                  <c:v>46002</c:v>
                </c:pt>
                <c:pt idx="1290">
                  <c:v>46003</c:v>
                </c:pt>
                <c:pt idx="1291">
                  <c:v>46006</c:v>
                </c:pt>
                <c:pt idx="1292">
                  <c:v>46007</c:v>
                </c:pt>
                <c:pt idx="1293">
                  <c:v>46008</c:v>
                </c:pt>
                <c:pt idx="1294">
                  <c:v>46009</c:v>
                </c:pt>
                <c:pt idx="1295">
                  <c:v>46010</c:v>
                </c:pt>
                <c:pt idx="1296">
                  <c:v>46013</c:v>
                </c:pt>
                <c:pt idx="1297">
                  <c:v>46014</c:v>
                </c:pt>
                <c:pt idx="1298">
                  <c:v>46015</c:v>
                </c:pt>
                <c:pt idx="1299">
                  <c:v>46016</c:v>
                </c:pt>
                <c:pt idx="1300">
                  <c:v>46017</c:v>
                </c:pt>
                <c:pt idx="1301">
                  <c:v>46020</c:v>
                </c:pt>
                <c:pt idx="1302">
                  <c:v>46021</c:v>
                </c:pt>
                <c:pt idx="1303">
                  <c:v>46022</c:v>
                </c:pt>
              </c:numCache>
            </c:numRef>
          </c:cat>
          <c:val>
            <c:numRef>
              <c:f>Statsformat!$B$2618:$B$3921</c:f>
              <c:numCache>
                <c:formatCode>General</c:formatCode>
                <c:ptCount val="1304"/>
                <c:pt idx="0">
                  <c:v>0.48</c:v>
                </c:pt>
                <c:pt idx="1">
                  <c:v>0.45</c:v>
                </c:pt>
                <c:pt idx="2">
                  <c:v>0.46</c:v>
                </c:pt>
                <c:pt idx="3">
                  <c:v>0.46</c:v>
                </c:pt>
                <c:pt idx="4">
                  <c:v>0.52</c:v>
                </c:pt>
                <c:pt idx="5">
                  <c:v>0.52</c:v>
                </c:pt>
                <c:pt idx="6">
                  <c:v>0.53</c:v>
                </c:pt>
                <c:pt idx="7">
                  <c:v>0.55000000000000004</c:v>
                </c:pt>
                <c:pt idx="8">
                  <c:v>0.5</c:v>
                </c:pt>
                <c:pt idx="9">
                  <c:v>0.46</c:v>
                </c:pt>
                <c:pt idx="10">
                  <c:v>0.48</c:v>
                </c:pt>
                <c:pt idx="11">
                  <c:v>0.51</c:v>
                </c:pt>
                <c:pt idx="12">
                  <c:v>0.51</c:v>
                </c:pt>
                <c:pt idx="13">
                  <c:v>0.52</c:v>
                </c:pt>
                <c:pt idx="14">
                  <c:v>0.56000000000000005</c:v>
                </c:pt>
                <c:pt idx="15">
                  <c:v>0.53</c:v>
                </c:pt>
                <c:pt idx="16">
                  <c:v>0.49</c:v>
                </c:pt>
                <c:pt idx="17">
                  <c:v>0.51</c:v>
                </c:pt>
                <c:pt idx="18">
                  <c:v>0.5</c:v>
                </c:pt>
                <c:pt idx="19">
                  <c:v>0.5</c:v>
                </c:pt>
                <c:pt idx="20">
                  <c:v>0.55000000000000004</c:v>
                </c:pt>
                <c:pt idx="21">
                  <c:v>0.54</c:v>
                </c:pt>
                <c:pt idx="22">
                  <c:v>0.56000000000000005</c:v>
                </c:pt>
                <c:pt idx="23">
                  <c:v>0.57999999999999996</c:v>
                </c:pt>
                <c:pt idx="24">
                  <c:v>0.59</c:v>
                </c:pt>
                <c:pt idx="25">
                  <c:v>0.6</c:v>
                </c:pt>
                <c:pt idx="26">
                  <c:v>0.62</c:v>
                </c:pt>
                <c:pt idx="27">
                  <c:v>0.64</c:v>
                </c:pt>
                <c:pt idx="28">
                  <c:v>0.63</c:v>
                </c:pt>
                <c:pt idx="29">
                  <c:v>0.61</c:v>
                </c:pt>
                <c:pt idx="30">
                  <c:v>0.66</c:v>
                </c:pt>
                <c:pt idx="31">
                  <c:v>0.71</c:v>
                </c:pt>
                <c:pt idx="32">
                  <c:v>0.77</c:v>
                </c:pt>
                <c:pt idx="33">
                  <c:v>0.76</c:v>
                </c:pt>
                <c:pt idx="34">
                  <c:v>0.8</c:v>
                </c:pt>
                <c:pt idx="35">
                  <c:v>0.81</c:v>
                </c:pt>
                <c:pt idx="36">
                  <c:v>0.77</c:v>
                </c:pt>
                <c:pt idx="37">
                  <c:v>0.8</c:v>
                </c:pt>
                <c:pt idx="38">
                  <c:v>0.81</c:v>
                </c:pt>
                <c:pt idx="39">
                  <c:v>0.92</c:v>
                </c:pt>
                <c:pt idx="40">
                  <c:v>0.86</c:v>
                </c:pt>
                <c:pt idx="41">
                  <c:v>0.81</c:v>
                </c:pt>
                <c:pt idx="42">
                  <c:v>0.81</c:v>
                </c:pt>
                <c:pt idx="43">
                  <c:v>0.87</c:v>
                </c:pt>
                <c:pt idx="44">
                  <c:v>0.89</c:v>
                </c:pt>
                <c:pt idx="45">
                  <c:v>0.9</c:v>
                </c:pt>
                <c:pt idx="46">
                  <c:v>0.94</c:v>
                </c:pt>
                <c:pt idx="47">
                  <c:v>0.9</c:v>
                </c:pt>
                <c:pt idx="48">
                  <c:v>0.88</c:v>
                </c:pt>
                <c:pt idx="49">
                  <c:v>0.83</c:v>
                </c:pt>
                <c:pt idx="50">
                  <c:v>0.87</c:v>
                </c:pt>
                <c:pt idx="51">
                  <c:v>0.84</c:v>
                </c:pt>
                <c:pt idx="52">
                  <c:v>0.84</c:v>
                </c:pt>
                <c:pt idx="53">
                  <c:v>0.9</c:v>
                </c:pt>
                <c:pt idx="54">
                  <c:v>0.93</c:v>
                </c:pt>
                <c:pt idx="55">
                  <c:v>0.9</c:v>
                </c:pt>
                <c:pt idx="56">
                  <c:v>0.89</c:v>
                </c:pt>
                <c:pt idx="57">
                  <c:v>0.85</c:v>
                </c:pt>
                <c:pt idx="58">
                  <c:v>0.82</c:v>
                </c:pt>
                <c:pt idx="59">
                  <c:v>0.79</c:v>
                </c:pt>
                <c:pt idx="60">
                  <c:v>0.82</c:v>
                </c:pt>
                <c:pt idx="61">
                  <c:v>0.86</c:v>
                </c:pt>
                <c:pt idx="62">
                  <c:v>0.88</c:v>
                </c:pt>
                <c:pt idx="63">
                  <c:v>0.86</c:v>
                </c:pt>
                <c:pt idx="64">
                  <c:v>0.85</c:v>
                </c:pt>
                <c:pt idx="65">
                  <c:v>0.85</c:v>
                </c:pt>
                <c:pt idx="66">
                  <c:v>0.85</c:v>
                </c:pt>
                <c:pt idx="67">
                  <c:v>0.84</c:v>
                </c:pt>
                <c:pt idx="68">
                  <c:v>0.83</c:v>
                </c:pt>
                <c:pt idx="69">
                  <c:v>0.81</c:v>
                </c:pt>
                <c:pt idx="70">
                  <c:v>0.83</c:v>
                </c:pt>
                <c:pt idx="71">
                  <c:v>0.83</c:v>
                </c:pt>
                <c:pt idx="72">
                  <c:v>0.83</c:v>
                </c:pt>
                <c:pt idx="73">
                  <c:v>0.86</c:v>
                </c:pt>
                <c:pt idx="74">
                  <c:v>0.83</c:v>
                </c:pt>
                <c:pt idx="75">
                  <c:v>0.84</c:v>
                </c:pt>
                <c:pt idx="76">
                  <c:v>0.87</c:v>
                </c:pt>
                <c:pt idx="77">
                  <c:v>0.85</c:v>
                </c:pt>
                <c:pt idx="78">
                  <c:v>0.83</c:v>
                </c:pt>
                <c:pt idx="79">
                  <c:v>0.82</c:v>
                </c:pt>
                <c:pt idx="80">
                  <c:v>0.83</c:v>
                </c:pt>
                <c:pt idx="81">
                  <c:v>0.84</c:v>
                </c:pt>
                <c:pt idx="82">
                  <c:v>0.84</c:v>
                </c:pt>
                <c:pt idx="83">
                  <c:v>0.86</c:v>
                </c:pt>
                <c:pt idx="84">
                  <c:v>0.88</c:v>
                </c:pt>
                <c:pt idx="85">
                  <c:v>0.87</c:v>
                </c:pt>
                <c:pt idx="86">
                  <c:v>0.87</c:v>
                </c:pt>
                <c:pt idx="87">
                  <c:v>0.85</c:v>
                </c:pt>
                <c:pt idx="88">
                  <c:v>0.85</c:v>
                </c:pt>
                <c:pt idx="89">
                  <c:v>0.85</c:v>
                </c:pt>
                <c:pt idx="90">
                  <c:v>0.84</c:v>
                </c:pt>
                <c:pt idx="91">
                  <c:v>0.86</c:v>
                </c:pt>
                <c:pt idx="92">
                  <c:v>0.9</c:v>
                </c:pt>
                <c:pt idx="93">
                  <c:v>0.92</c:v>
                </c:pt>
                <c:pt idx="94">
                  <c:v>0.92</c:v>
                </c:pt>
                <c:pt idx="95">
                  <c:v>0.92</c:v>
                </c:pt>
                <c:pt idx="96">
                  <c:v>0.92</c:v>
                </c:pt>
                <c:pt idx="97">
                  <c:v>0.91</c:v>
                </c:pt>
                <c:pt idx="98">
                  <c:v>0.9</c:v>
                </c:pt>
                <c:pt idx="99">
                  <c:v>0.92</c:v>
                </c:pt>
                <c:pt idx="100">
                  <c:v>0.88</c:v>
                </c:pt>
                <c:pt idx="101">
                  <c:v>0.89</c:v>
                </c:pt>
                <c:pt idx="102">
                  <c:v>0.86</c:v>
                </c:pt>
                <c:pt idx="103">
                  <c:v>0.82</c:v>
                </c:pt>
                <c:pt idx="104">
                  <c:v>0.94</c:v>
                </c:pt>
                <c:pt idx="105">
                  <c:v>0.94</c:v>
                </c:pt>
                <c:pt idx="106">
                  <c:v>0.96</c:v>
                </c:pt>
                <c:pt idx="107">
                  <c:v>0.97</c:v>
                </c:pt>
                <c:pt idx="108">
                  <c:v>0.97</c:v>
                </c:pt>
                <c:pt idx="109">
                  <c:v>1.01</c:v>
                </c:pt>
                <c:pt idx="110">
                  <c:v>0.99</c:v>
                </c:pt>
                <c:pt idx="111">
                  <c:v>0.99</c:v>
                </c:pt>
                <c:pt idx="112">
                  <c:v>0.95</c:v>
                </c:pt>
                <c:pt idx="113">
                  <c:v>0.91</c:v>
                </c:pt>
                <c:pt idx="114">
                  <c:v>0.92</c:v>
                </c:pt>
                <c:pt idx="115">
                  <c:v>0.88</c:v>
                </c:pt>
                <c:pt idx="116">
                  <c:v>0.9</c:v>
                </c:pt>
                <c:pt idx="117">
                  <c:v>0.95</c:v>
                </c:pt>
                <c:pt idx="118">
                  <c:v>0.9</c:v>
                </c:pt>
                <c:pt idx="119">
                  <c:v>0.9</c:v>
                </c:pt>
                <c:pt idx="120">
                  <c:v>0.85</c:v>
                </c:pt>
                <c:pt idx="121">
                  <c:v>0.88</c:v>
                </c:pt>
                <c:pt idx="122">
                  <c:v>0.88</c:v>
                </c:pt>
                <c:pt idx="123">
                  <c:v>0.87</c:v>
                </c:pt>
                <c:pt idx="124">
                  <c:v>0.86</c:v>
                </c:pt>
                <c:pt idx="125">
                  <c:v>0.86</c:v>
                </c:pt>
                <c:pt idx="126">
                  <c:v>0.87</c:v>
                </c:pt>
                <c:pt idx="127">
                  <c:v>0.87</c:v>
                </c:pt>
                <c:pt idx="128">
                  <c:v>0.84</c:v>
                </c:pt>
                <c:pt idx="129">
                  <c:v>0.84</c:v>
                </c:pt>
                <c:pt idx="130">
                  <c:v>0.82</c:v>
                </c:pt>
                <c:pt idx="131">
                  <c:v>0.83</c:v>
                </c:pt>
                <c:pt idx="132">
                  <c:v>0.77</c:v>
                </c:pt>
                <c:pt idx="133">
                  <c:v>0.72</c:v>
                </c:pt>
                <c:pt idx="134">
                  <c:v>0.68</c:v>
                </c:pt>
                <c:pt idx="135">
                  <c:v>0.72</c:v>
                </c:pt>
                <c:pt idx="136">
                  <c:v>0.69</c:v>
                </c:pt>
                <c:pt idx="137">
                  <c:v>0.72</c:v>
                </c:pt>
                <c:pt idx="138">
                  <c:v>0.72</c:v>
                </c:pt>
                <c:pt idx="139">
                  <c:v>0.7</c:v>
                </c:pt>
                <c:pt idx="140">
                  <c:v>0.69</c:v>
                </c:pt>
                <c:pt idx="141">
                  <c:v>0.63</c:v>
                </c:pt>
                <c:pt idx="142">
                  <c:v>0.61</c:v>
                </c:pt>
                <c:pt idx="143">
                  <c:v>0.66</c:v>
                </c:pt>
                <c:pt idx="144">
                  <c:v>0.65</c:v>
                </c:pt>
                <c:pt idx="145">
                  <c:v>0.65</c:v>
                </c:pt>
                <c:pt idx="146">
                  <c:v>0.65</c:v>
                </c:pt>
                <c:pt idx="147">
                  <c:v>0.64</c:v>
                </c:pt>
                <c:pt idx="148">
                  <c:v>0.63</c:v>
                </c:pt>
                <c:pt idx="149">
                  <c:v>0.64</c:v>
                </c:pt>
                <c:pt idx="150">
                  <c:v>0.62</c:v>
                </c:pt>
                <c:pt idx="151">
                  <c:v>0.59</c:v>
                </c:pt>
                <c:pt idx="152">
                  <c:v>0.59</c:v>
                </c:pt>
                <c:pt idx="153">
                  <c:v>0.55000000000000004</c:v>
                </c:pt>
                <c:pt idx="154">
                  <c:v>0.56000000000000005</c:v>
                </c:pt>
                <c:pt idx="155">
                  <c:v>0.59</c:v>
                </c:pt>
                <c:pt idx="156">
                  <c:v>0.6</c:v>
                </c:pt>
                <c:pt idx="157">
                  <c:v>0.59</c:v>
                </c:pt>
                <c:pt idx="158">
                  <c:v>0.62</c:v>
                </c:pt>
                <c:pt idx="159">
                  <c:v>0.63</c:v>
                </c:pt>
                <c:pt idx="160">
                  <c:v>0.63</c:v>
                </c:pt>
                <c:pt idx="161">
                  <c:v>0.63</c:v>
                </c:pt>
                <c:pt idx="162">
                  <c:v>0.61</c:v>
                </c:pt>
                <c:pt idx="163">
                  <c:v>0.61</c:v>
                </c:pt>
                <c:pt idx="164">
                  <c:v>0.57999999999999996</c:v>
                </c:pt>
                <c:pt idx="165">
                  <c:v>0.56000000000000005</c:v>
                </c:pt>
                <c:pt idx="166">
                  <c:v>0.57999999999999996</c:v>
                </c:pt>
                <c:pt idx="167">
                  <c:v>0.59</c:v>
                </c:pt>
                <c:pt idx="168">
                  <c:v>0.61</c:v>
                </c:pt>
                <c:pt idx="169">
                  <c:v>0.65</c:v>
                </c:pt>
                <c:pt idx="170">
                  <c:v>0.66</c:v>
                </c:pt>
                <c:pt idx="171">
                  <c:v>0.66</c:v>
                </c:pt>
                <c:pt idx="172">
                  <c:v>0.67</c:v>
                </c:pt>
                <c:pt idx="173">
                  <c:v>0.68</c:v>
                </c:pt>
                <c:pt idx="174">
                  <c:v>0.68</c:v>
                </c:pt>
                <c:pt idx="175">
                  <c:v>0.7</c:v>
                </c:pt>
                <c:pt idx="176">
                  <c:v>0.7</c:v>
                </c:pt>
                <c:pt idx="177">
                  <c:v>0.74</c:v>
                </c:pt>
                <c:pt idx="178">
                  <c:v>0.73</c:v>
                </c:pt>
                <c:pt idx="179">
                  <c:v>0.68</c:v>
                </c:pt>
                <c:pt idx="180">
                  <c:v>0.7</c:v>
                </c:pt>
                <c:pt idx="181">
                  <c:v>0.71</c:v>
                </c:pt>
                <c:pt idx="182">
                  <c:v>0.73</c:v>
                </c:pt>
                <c:pt idx="183">
                  <c:v>0.76</c:v>
                </c:pt>
                <c:pt idx="184">
                  <c:v>0.78</c:v>
                </c:pt>
                <c:pt idx="185">
                  <c:v>0.81</c:v>
                </c:pt>
                <c:pt idx="186">
                  <c:v>0.77</c:v>
                </c:pt>
                <c:pt idx="187">
                  <c:v>0.75</c:v>
                </c:pt>
                <c:pt idx="188">
                  <c:v>0.74</c:v>
                </c:pt>
                <c:pt idx="189">
                  <c:v>0.75</c:v>
                </c:pt>
                <c:pt idx="190">
                  <c:v>0.8</c:v>
                </c:pt>
                <c:pt idx="191">
                  <c:v>0.82</c:v>
                </c:pt>
                <c:pt idx="192">
                  <c:v>0.84</c:v>
                </c:pt>
                <c:pt idx="193">
                  <c:v>0.84</c:v>
                </c:pt>
                <c:pt idx="194">
                  <c:v>0.86</c:v>
                </c:pt>
                <c:pt idx="195">
                  <c:v>0.85</c:v>
                </c:pt>
                <c:pt idx="196">
                  <c:v>0.86</c:v>
                </c:pt>
                <c:pt idx="197">
                  <c:v>0.86</c:v>
                </c:pt>
                <c:pt idx="198">
                  <c:v>0.86</c:v>
                </c:pt>
                <c:pt idx="199">
                  <c:v>0.86</c:v>
                </c:pt>
                <c:pt idx="200">
                  <c:v>0.9</c:v>
                </c:pt>
                <c:pt idx="201">
                  <c:v>0.92</c:v>
                </c:pt>
                <c:pt idx="202">
                  <c:v>0.93</c:v>
                </c:pt>
                <c:pt idx="203">
                  <c:v>0.88</c:v>
                </c:pt>
                <c:pt idx="204">
                  <c:v>0.83</c:v>
                </c:pt>
                <c:pt idx="205">
                  <c:v>0.85</c:v>
                </c:pt>
                <c:pt idx="206">
                  <c:v>0.86</c:v>
                </c:pt>
                <c:pt idx="207">
                  <c:v>0.9</c:v>
                </c:pt>
                <c:pt idx="208">
                  <c:v>0.89</c:v>
                </c:pt>
                <c:pt idx="209">
                  <c:v>0.88</c:v>
                </c:pt>
                <c:pt idx="210">
                  <c:v>0.86</c:v>
                </c:pt>
                <c:pt idx="211">
                  <c:v>0.86</c:v>
                </c:pt>
                <c:pt idx="212">
                  <c:v>0.84</c:v>
                </c:pt>
                <c:pt idx="213">
                  <c:v>0.74</c:v>
                </c:pt>
                <c:pt idx="214">
                  <c:v>0.74</c:v>
                </c:pt>
                <c:pt idx="215">
                  <c:v>0.76</c:v>
                </c:pt>
                <c:pt idx="216">
                  <c:v>0.76</c:v>
                </c:pt>
                <c:pt idx="217">
                  <c:v>0.7</c:v>
                </c:pt>
                <c:pt idx="218">
                  <c:v>0.71</c:v>
                </c:pt>
                <c:pt idx="219">
                  <c:v>0.71</c:v>
                </c:pt>
                <c:pt idx="220">
                  <c:v>0.65</c:v>
                </c:pt>
                <c:pt idx="221">
                  <c:v>0.69</c:v>
                </c:pt>
                <c:pt idx="222">
                  <c:v>0.64</c:v>
                </c:pt>
                <c:pt idx="223">
                  <c:v>0.68</c:v>
                </c:pt>
                <c:pt idx="224">
                  <c:v>0.7</c:v>
                </c:pt>
                <c:pt idx="225">
                  <c:v>0.71</c:v>
                </c:pt>
                <c:pt idx="226">
                  <c:v>0.75</c:v>
                </c:pt>
                <c:pt idx="227">
                  <c:v>0.77</c:v>
                </c:pt>
                <c:pt idx="228">
                  <c:v>0.76</c:v>
                </c:pt>
                <c:pt idx="229">
                  <c:v>0.72</c:v>
                </c:pt>
                <c:pt idx="230">
                  <c:v>0.66</c:v>
                </c:pt>
                <c:pt idx="231">
                  <c:v>0.7</c:v>
                </c:pt>
                <c:pt idx="232">
                  <c:v>0.75</c:v>
                </c:pt>
                <c:pt idx="233">
                  <c:v>0.75</c:v>
                </c:pt>
                <c:pt idx="234">
                  <c:v>0.71</c:v>
                </c:pt>
                <c:pt idx="235">
                  <c:v>0.62</c:v>
                </c:pt>
                <c:pt idx="236">
                  <c:v>0.65</c:v>
                </c:pt>
                <c:pt idx="237">
                  <c:v>0.59</c:v>
                </c:pt>
                <c:pt idx="238">
                  <c:v>0.6</c:v>
                </c:pt>
                <c:pt idx="239">
                  <c:v>0.55000000000000004</c:v>
                </c:pt>
                <c:pt idx="240">
                  <c:v>0.54</c:v>
                </c:pt>
                <c:pt idx="241">
                  <c:v>0.51</c:v>
                </c:pt>
                <c:pt idx="242">
                  <c:v>0.5</c:v>
                </c:pt>
                <c:pt idx="243">
                  <c:v>0.55000000000000004</c:v>
                </c:pt>
                <c:pt idx="244">
                  <c:v>0.51</c:v>
                </c:pt>
                <c:pt idx="245">
                  <c:v>0.53</c:v>
                </c:pt>
                <c:pt idx="246">
                  <c:v>0.5</c:v>
                </c:pt>
                <c:pt idx="247">
                  <c:v>0.53</c:v>
                </c:pt>
                <c:pt idx="248">
                  <c:v>0.54</c:v>
                </c:pt>
                <c:pt idx="249">
                  <c:v>0.56000000000000005</c:v>
                </c:pt>
                <c:pt idx="250">
                  <c:v>0.55000000000000004</c:v>
                </c:pt>
                <c:pt idx="251">
                  <c:v>0.56000000000000005</c:v>
                </c:pt>
                <c:pt idx="252">
                  <c:v>0.61</c:v>
                </c:pt>
                <c:pt idx="253">
                  <c:v>0.59</c:v>
                </c:pt>
                <c:pt idx="254">
                  <c:v>0.65</c:v>
                </c:pt>
                <c:pt idx="255">
                  <c:v>0.65</c:v>
                </c:pt>
                <c:pt idx="256">
                  <c:v>0.68</c:v>
                </c:pt>
                <c:pt idx="257">
                  <c:v>0.64</c:v>
                </c:pt>
                <c:pt idx="258">
                  <c:v>0.7</c:v>
                </c:pt>
                <c:pt idx="259">
                  <c:v>0.7</c:v>
                </c:pt>
                <c:pt idx="260">
                  <c:v>0.7</c:v>
                </c:pt>
                <c:pt idx="261">
                  <c:v>0.74</c:v>
                </c:pt>
                <c:pt idx="262">
                  <c:v>0.77</c:v>
                </c:pt>
                <c:pt idx="263">
                  <c:v>0.78</c:v>
                </c:pt>
                <c:pt idx="264">
                  <c:v>0.78</c:v>
                </c:pt>
                <c:pt idx="265">
                  <c:v>0.83</c:v>
                </c:pt>
                <c:pt idx="266">
                  <c:v>0.85</c:v>
                </c:pt>
                <c:pt idx="267">
                  <c:v>0.87</c:v>
                </c:pt>
                <c:pt idx="268">
                  <c:v>0.85</c:v>
                </c:pt>
                <c:pt idx="269">
                  <c:v>0.8</c:v>
                </c:pt>
                <c:pt idx="270">
                  <c:v>0.8</c:v>
                </c:pt>
                <c:pt idx="271">
                  <c:v>0.81</c:v>
                </c:pt>
                <c:pt idx="272">
                  <c:v>0.81</c:v>
                </c:pt>
                <c:pt idx="273">
                  <c:v>0.82</c:v>
                </c:pt>
                <c:pt idx="274">
                  <c:v>0.77</c:v>
                </c:pt>
                <c:pt idx="275">
                  <c:v>0.73</c:v>
                </c:pt>
                <c:pt idx="276">
                  <c:v>0.71</c:v>
                </c:pt>
                <c:pt idx="277">
                  <c:v>0.73</c:v>
                </c:pt>
                <c:pt idx="278">
                  <c:v>0.74</c:v>
                </c:pt>
                <c:pt idx="279">
                  <c:v>0.74</c:v>
                </c:pt>
                <c:pt idx="280">
                  <c:v>0.74</c:v>
                </c:pt>
                <c:pt idx="281">
                  <c:v>0.78</c:v>
                </c:pt>
                <c:pt idx="282">
                  <c:v>0.8</c:v>
                </c:pt>
                <c:pt idx="283">
                  <c:v>0.79</c:v>
                </c:pt>
                <c:pt idx="284">
                  <c:v>0.88</c:v>
                </c:pt>
                <c:pt idx="285">
                  <c:v>0.92</c:v>
                </c:pt>
                <c:pt idx="286">
                  <c:v>0.98</c:v>
                </c:pt>
                <c:pt idx="287">
                  <c:v>1.01</c:v>
                </c:pt>
                <c:pt idx="288">
                  <c:v>0.98</c:v>
                </c:pt>
                <c:pt idx="289">
                  <c:v>0.97</c:v>
                </c:pt>
                <c:pt idx="290">
                  <c:v>0.94</c:v>
                </c:pt>
                <c:pt idx="291">
                  <c:v>0.94</c:v>
                </c:pt>
                <c:pt idx="292">
                  <c:v>0.98</c:v>
                </c:pt>
                <c:pt idx="293">
                  <c:v>0.93</c:v>
                </c:pt>
                <c:pt idx="294">
                  <c:v>0.88</c:v>
                </c:pt>
                <c:pt idx="295">
                  <c:v>0.89</c:v>
                </c:pt>
                <c:pt idx="296">
                  <c:v>0.91</c:v>
                </c:pt>
                <c:pt idx="297">
                  <c:v>0.96</c:v>
                </c:pt>
                <c:pt idx="298">
                  <c:v>0.95</c:v>
                </c:pt>
                <c:pt idx="299">
                  <c:v>0.86</c:v>
                </c:pt>
                <c:pt idx="300">
                  <c:v>0.92</c:v>
                </c:pt>
                <c:pt idx="301">
                  <c:v>0.83</c:v>
                </c:pt>
                <c:pt idx="302">
                  <c:v>0.73</c:v>
                </c:pt>
                <c:pt idx="303">
                  <c:v>0.7</c:v>
                </c:pt>
                <c:pt idx="304">
                  <c:v>0.75</c:v>
                </c:pt>
                <c:pt idx="305">
                  <c:v>0.65</c:v>
                </c:pt>
                <c:pt idx="306">
                  <c:v>0.73</c:v>
                </c:pt>
                <c:pt idx="307">
                  <c:v>0.83</c:v>
                </c:pt>
                <c:pt idx="308">
                  <c:v>0.91</c:v>
                </c:pt>
                <c:pt idx="309">
                  <c:v>0.94</c:v>
                </c:pt>
                <c:pt idx="310">
                  <c:v>0.96</c:v>
                </c:pt>
                <c:pt idx="311">
                  <c:v>1.08</c:v>
                </c:pt>
                <c:pt idx="312">
                  <c:v>1.05</c:v>
                </c:pt>
                <c:pt idx="313">
                  <c:v>1.0900000000000001</c:v>
                </c:pt>
                <c:pt idx="314">
                  <c:v>1.1100000000000001</c:v>
                </c:pt>
                <c:pt idx="315">
                  <c:v>1.1100000000000001</c:v>
                </c:pt>
                <c:pt idx="316">
                  <c:v>1.17</c:v>
                </c:pt>
                <c:pt idx="317">
                  <c:v>1.26</c:v>
                </c:pt>
                <c:pt idx="318">
                  <c:v>1.25</c:v>
                </c:pt>
                <c:pt idx="319">
                  <c:v>1.36</c:v>
                </c:pt>
                <c:pt idx="320">
                  <c:v>1.4</c:v>
                </c:pt>
                <c:pt idx="321">
                  <c:v>1.44</c:v>
                </c:pt>
                <c:pt idx="322">
                  <c:v>1.51</c:v>
                </c:pt>
                <c:pt idx="323">
                  <c:v>1.51</c:v>
                </c:pt>
                <c:pt idx="324">
                  <c:v>1.38</c:v>
                </c:pt>
                <c:pt idx="325">
                  <c:v>1.39</c:v>
                </c:pt>
                <c:pt idx="326">
                  <c:v>1.35</c:v>
                </c:pt>
                <c:pt idx="327">
                  <c:v>1.44</c:v>
                </c:pt>
                <c:pt idx="328">
                  <c:v>1.54</c:v>
                </c:pt>
                <c:pt idx="329">
                  <c:v>1.57</c:v>
                </c:pt>
                <c:pt idx="330">
                  <c:v>1.62</c:v>
                </c:pt>
                <c:pt idx="331">
                  <c:v>1.75</c:v>
                </c:pt>
                <c:pt idx="332">
                  <c:v>1.72</c:v>
                </c:pt>
                <c:pt idx="333">
                  <c:v>1.67</c:v>
                </c:pt>
                <c:pt idx="334">
                  <c:v>1.73</c:v>
                </c:pt>
                <c:pt idx="335">
                  <c:v>1.73</c:v>
                </c:pt>
                <c:pt idx="336">
                  <c:v>1.73</c:v>
                </c:pt>
                <c:pt idx="337">
                  <c:v>1.81</c:v>
                </c:pt>
                <c:pt idx="338">
                  <c:v>1.78</c:v>
                </c:pt>
                <c:pt idx="339">
                  <c:v>1.8</c:v>
                </c:pt>
                <c:pt idx="340">
                  <c:v>1.82</c:v>
                </c:pt>
                <c:pt idx="341">
                  <c:v>1.76</c:v>
                </c:pt>
                <c:pt idx="342">
                  <c:v>1.67</c:v>
                </c:pt>
                <c:pt idx="343">
                  <c:v>1.72</c:v>
                </c:pt>
                <c:pt idx="344">
                  <c:v>1.83</c:v>
                </c:pt>
                <c:pt idx="345">
                  <c:v>1.89</c:v>
                </c:pt>
                <c:pt idx="346">
                  <c:v>1.95</c:v>
                </c:pt>
                <c:pt idx="347">
                  <c:v>1.98</c:v>
                </c:pt>
                <c:pt idx="348">
                  <c:v>2.0699999999999998</c:v>
                </c:pt>
                <c:pt idx="349">
                  <c:v>2.13</c:v>
                </c:pt>
                <c:pt idx="350">
                  <c:v>2.2000000000000002</c:v>
                </c:pt>
                <c:pt idx="351">
                  <c:v>2.14</c:v>
                </c:pt>
                <c:pt idx="352">
                  <c:v>2.08</c:v>
                </c:pt>
                <c:pt idx="353">
                  <c:v>2.09</c:v>
                </c:pt>
                <c:pt idx="354">
                  <c:v>1.97</c:v>
                </c:pt>
                <c:pt idx="355">
                  <c:v>2</c:v>
                </c:pt>
                <c:pt idx="356">
                  <c:v>1.95</c:v>
                </c:pt>
                <c:pt idx="357">
                  <c:v>2.04</c:v>
                </c:pt>
                <c:pt idx="358">
                  <c:v>1.97</c:v>
                </c:pt>
                <c:pt idx="359">
                  <c:v>1.92</c:v>
                </c:pt>
                <c:pt idx="360">
                  <c:v>1.93</c:v>
                </c:pt>
                <c:pt idx="361">
                  <c:v>1.88</c:v>
                </c:pt>
                <c:pt idx="362">
                  <c:v>1.79</c:v>
                </c:pt>
                <c:pt idx="363">
                  <c:v>1.8</c:v>
                </c:pt>
                <c:pt idx="364">
                  <c:v>1.8</c:v>
                </c:pt>
                <c:pt idx="365">
                  <c:v>1.73</c:v>
                </c:pt>
                <c:pt idx="366">
                  <c:v>1.67</c:v>
                </c:pt>
                <c:pt idx="367">
                  <c:v>1.68</c:v>
                </c:pt>
                <c:pt idx="368">
                  <c:v>1.82</c:v>
                </c:pt>
                <c:pt idx="369">
                  <c:v>1.87</c:v>
                </c:pt>
                <c:pt idx="370">
                  <c:v>1.92</c:v>
                </c:pt>
                <c:pt idx="371">
                  <c:v>1.92</c:v>
                </c:pt>
                <c:pt idx="372">
                  <c:v>2</c:v>
                </c:pt>
                <c:pt idx="373">
                  <c:v>2.0299999999999998</c:v>
                </c:pt>
                <c:pt idx="374">
                  <c:v>2.0299999999999998</c:v>
                </c:pt>
                <c:pt idx="375">
                  <c:v>1.98</c:v>
                </c:pt>
                <c:pt idx="376">
                  <c:v>2.06</c:v>
                </c:pt>
                <c:pt idx="377">
                  <c:v>2.2000000000000002</c:v>
                </c:pt>
                <c:pt idx="378">
                  <c:v>2.13</c:v>
                </c:pt>
                <c:pt idx="379">
                  <c:v>2.1800000000000002</c:v>
                </c:pt>
                <c:pt idx="380">
                  <c:v>2.09</c:v>
                </c:pt>
                <c:pt idx="381">
                  <c:v>1.94</c:v>
                </c:pt>
                <c:pt idx="382">
                  <c:v>1.93</c:v>
                </c:pt>
                <c:pt idx="383">
                  <c:v>1.87</c:v>
                </c:pt>
                <c:pt idx="384">
                  <c:v>1.77</c:v>
                </c:pt>
                <c:pt idx="385">
                  <c:v>1.77</c:v>
                </c:pt>
                <c:pt idx="386">
                  <c:v>1.86</c:v>
                </c:pt>
                <c:pt idx="387">
                  <c:v>1.9</c:v>
                </c:pt>
                <c:pt idx="388">
                  <c:v>1.82</c:v>
                </c:pt>
                <c:pt idx="389">
                  <c:v>1.73</c:v>
                </c:pt>
                <c:pt idx="390">
                  <c:v>1.58</c:v>
                </c:pt>
                <c:pt idx="391">
                  <c:v>1.71</c:v>
                </c:pt>
                <c:pt idx="392">
                  <c:v>1.57</c:v>
                </c:pt>
                <c:pt idx="393">
                  <c:v>1.47</c:v>
                </c:pt>
                <c:pt idx="394">
                  <c:v>1.5</c:v>
                </c:pt>
                <c:pt idx="395">
                  <c:v>1.54</c:v>
                </c:pt>
                <c:pt idx="396">
                  <c:v>1.49</c:v>
                </c:pt>
                <c:pt idx="397">
                  <c:v>1.42</c:v>
                </c:pt>
                <c:pt idx="398">
                  <c:v>1.47</c:v>
                </c:pt>
                <c:pt idx="399">
                  <c:v>1.52</c:v>
                </c:pt>
                <c:pt idx="400">
                  <c:v>1.56</c:v>
                </c:pt>
                <c:pt idx="401">
                  <c:v>1.63</c:v>
                </c:pt>
                <c:pt idx="402">
                  <c:v>1.67</c:v>
                </c:pt>
                <c:pt idx="403">
                  <c:v>1.68</c:v>
                </c:pt>
                <c:pt idx="404">
                  <c:v>1.64</c:v>
                </c:pt>
                <c:pt idx="405">
                  <c:v>1.53</c:v>
                </c:pt>
                <c:pt idx="406">
                  <c:v>1.52</c:v>
                </c:pt>
                <c:pt idx="407">
                  <c:v>1.46</c:v>
                </c:pt>
                <c:pt idx="408">
                  <c:v>1.47</c:v>
                </c:pt>
                <c:pt idx="409">
                  <c:v>1.4</c:v>
                </c:pt>
                <c:pt idx="410">
                  <c:v>1.39</c:v>
                </c:pt>
                <c:pt idx="411">
                  <c:v>1.36</c:v>
                </c:pt>
                <c:pt idx="412">
                  <c:v>1.35</c:v>
                </c:pt>
                <c:pt idx="413">
                  <c:v>1.36</c:v>
                </c:pt>
                <c:pt idx="414">
                  <c:v>1.33</c:v>
                </c:pt>
                <c:pt idx="415">
                  <c:v>1.47</c:v>
                </c:pt>
                <c:pt idx="416">
                  <c:v>1.42</c:v>
                </c:pt>
                <c:pt idx="417">
                  <c:v>1.44</c:v>
                </c:pt>
                <c:pt idx="418">
                  <c:v>1.38</c:v>
                </c:pt>
                <c:pt idx="419">
                  <c:v>1.43</c:v>
                </c:pt>
                <c:pt idx="420">
                  <c:v>1.45</c:v>
                </c:pt>
                <c:pt idx="421">
                  <c:v>1.35</c:v>
                </c:pt>
                <c:pt idx="422">
                  <c:v>1.42</c:v>
                </c:pt>
                <c:pt idx="423">
                  <c:v>1.48</c:v>
                </c:pt>
                <c:pt idx="424">
                  <c:v>1.46</c:v>
                </c:pt>
                <c:pt idx="425">
                  <c:v>1.58</c:v>
                </c:pt>
                <c:pt idx="426">
                  <c:v>1.62</c:v>
                </c:pt>
                <c:pt idx="427">
                  <c:v>1.68</c:v>
                </c:pt>
                <c:pt idx="428">
                  <c:v>1.79</c:v>
                </c:pt>
                <c:pt idx="429">
                  <c:v>1.8</c:v>
                </c:pt>
                <c:pt idx="430">
                  <c:v>1.84</c:v>
                </c:pt>
                <c:pt idx="431">
                  <c:v>1.89</c:v>
                </c:pt>
                <c:pt idx="432">
                  <c:v>1.9</c:v>
                </c:pt>
                <c:pt idx="433">
                  <c:v>1.85</c:v>
                </c:pt>
                <c:pt idx="434">
                  <c:v>1.87</c:v>
                </c:pt>
                <c:pt idx="435">
                  <c:v>1.78</c:v>
                </c:pt>
                <c:pt idx="436">
                  <c:v>1.77</c:v>
                </c:pt>
                <c:pt idx="437">
                  <c:v>1.88</c:v>
                </c:pt>
                <c:pt idx="438">
                  <c:v>1.8</c:v>
                </c:pt>
                <c:pt idx="439">
                  <c:v>1.87</c:v>
                </c:pt>
                <c:pt idx="440">
                  <c:v>1.88</c:v>
                </c:pt>
                <c:pt idx="441">
                  <c:v>1.82</c:v>
                </c:pt>
                <c:pt idx="442">
                  <c:v>1.87</c:v>
                </c:pt>
                <c:pt idx="443">
                  <c:v>1.85</c:v>
                </c:pt>
                <c:pt idx="444">
                  <c:v>1.8</c:v>
                </c:pt>
                <c:pt idx="445">
                  <c:v>1.78</c:v>
                </c:pt>
                <c:pt idx="446">
                  <c:v>1.77</c:v>
                </c:pt>
                <c:pt idx="447">
                  <c:v>1.91</c:v>
                </c:pt>
                <c:pt idx="448">
                  <c:v>1.82</c:v>
                </c:pt>
                <c:pt idx="449">
                  <c:v>1.85</c:v>
                </c:pt>
                <c:pt idx="450">
                  <c:v>1.91</c:v>
                </c:pt>
                <c:pt idx="451">
                  <c:v>1.94</c:v>
                </c:pt>
                <c:pt idx="452">
                  <c:v>2.0299999999999998</c:v>
                </c:pt>
                <c:pt idx="453">
                  <c:v>2.0299999999999998</c:v>
                </c:pt>
                <c:pt idx="454">
                  <c:v>2.0699999999999998</c:v>
                </c:pt>
                <c:pt idx="455">
                  <c:v>2.02</c:v>
                </c:pt>
                <c:pt idx="456">
                  <c:v>1.94</c:v>
                </c:pt>
                <c:pt idx="457">
                  <c:v>1.86</c:v>
                </c:pt>
                <c:pt idx="458">
                  <c:v>1.96</c:v>
                </c:pt>
                <c:pt idx="459">
                  <c:v>1.94</c:v>
                </c:pt>
                <c:pt idx="460">
                  <c:v>2.04</c:v>
                </c:pt>
                <c:pt idx="461">
                  <c:v>2.13</c:v>
                </c:pt>
                <c:pt idx="462">
                  <c:v>2.1</c:v>
                </c:pt>
                <c:pt idx="463">
                  <c:v>2.14</c:v>
                </c:pt>
                <c:pt idx="464">
                  <c:v>2.0299999999999998</c:v>
                </c:pt>
                <c:pt idx="465">
                  <c:v>2.0099999999999998</c:v>
                </c:pt>
                <c:pt idx="466">
                  <c:v>2.0099999999999998</c:v>
                </c:pt>
                <c:pt idx="467">
                  <c:v>2.0099999999999998</c:v>
                </c:pt>
                <c:pt idx="468">
                  <c:v>2.08</c:v>
                </c:pt>
                <c:pt idx="469">
                  <c:v>2.1800000000000002</c:v>
                </c:pt>
                <c:pt idx="470">
                  <c:v>2.2200000000000002</c:v>
                </c:pt>
                <c:pt idx="471">
                  <c:v>2.14</c:v>
                </c:pt>
                <c:pt idx="472">
                  <c:v>2.0299999999999998</c:v>
                </c:pt>
                <c:pt idx="473">
                  <c:v>2.04</c:v>
                </c:pt>
                <c:pt idx="474">
                  <c:v>1.98</c:v>
                </c:pt>
                <c:pt idx="475">
                  <c:v>1.99</c:v>
                </c:pt>
                <c:pt idx="476">
                  <c:v>2.06</c:v>
                </c:pt>
                <c:pt idx="477">
                  <c:v>1.99</c:v>
                </c:pt>
                <c:pt idx="478">
                  <c:v>1.99</c:v>
                </c:pt>
                <c:pt idx="479">
                  <c:v>2.04</c:v>
                </c:pt>
                <c:pt idx="480">
                  <c:v>2.0099999999999998</c:v>
                </c:pt>
                <c:pt idx="481">
                  <c:v>2.0099999999999998</c:v>
                </c:pt>
                <c:pt idx="482">
                  <c:v>1.95</c:v>
                </c:pt>
                <c:pt idx="483">
                  <c:v>1.91</c:v>
                </c:pt>
                <c:pt idx="484">
                  <c:v>1.8</c:v>
                </c:pt>
                <c:pt idx="485">
                  <c:v>1.89</c:v>
                </c:pt>
                <c:pt idx="486">
                  <c:v>1.91</c:v>
                </c:pt>
                <c:pt idx="487">
                  <c:v>1.92</c:v>
                </c:pt>
                <c:pt idx="488">
                  <c:v>1.85</c:v>
                </c:pt>
                <c:pt idx="489">
                  <c:v>1.84</c:v>
                </c:pt>
                <c:pt idx="490">
                  <c:v>1.86</c:v>
                </c:pt>
                <c:pt idx="491">
                  <c:v>1.8</c:v>
                </c:pt>
                <c:pt idx="492">
                  <c:v>1.81</c:v>
                </c:pt>
                <c:pt idx="493">
                  <c:v>1.74</c:v>
                </c:pt>
                <c:pt idx="494">
                  <c:v>1.63</c:v>
                </c:pt>
                <c:pt idx="495">
                  <c:v>1.7</c:v>
                </c:pt>
                <c:pt idx="496">
                  <c:v>1.73</c:v>
                </c:pt>
                <c:pt idx="497">
                  <c:v>1.67</c:v>
                </c:pt>
                <c:pt idx="498">
                  <c:v>1.7</c:v>
                </c:pt>
                <c:pt idx="499">
                  <c:v>1.57</c:v>
                </c:pt>
                <c:pt idx="500">
                  <c:v>1.58</c:v>
                </c:pt>
                <c:pt idx="501">
                  <c:v>1.59</c:v>
                </c:pt>
                <c:pt idx="502">
                  <c:v>1.54</c:v>
                </c:pt>
                <c:pt idx="503">
                  <c:v>1.51</c:v>
                </c:pt>
                <c:pt idx="504">
                  <c:v>1.5</c:v>
                </c:pt>
                <c:pt idx="505">
                  <c:v>1.57</c:v>
                </c:pt>
                <c:pt idx="506">
                  <c:v>1.55</c:v>
                </c:pt>
                <c:pt idx="507">
                  <c:v>1.52</c:v>
                </c:pt>
                <c:pt idx="508">
                  <c:v>1.56</c:v>
                </c:pt>
                <c:pt idx="509">
                  <c:v>1.65</c:v>
                </c:pt>
                <c:pt idx="510">
                  <c:v>1.75</c:v>
                </c:pt>
                <c:pt idx="511">
                  <c:v>1.8</c:v>
                </c:pt>
                <c:pt idx="512">
                  <c:v>1.94</c:v>
                </c:pt>
                <c:pt idx="513">
                  <c:v>2</c:v>
                </c:pt>
                <c:pt idx="514">
                  <c:v>2.06</c:v>
                </c:pt>
                <c:pt idx="515">
                  <c:v>2.08</c:v>
                </c:pt>
                <c:pt idx="516">
                  <c:v>2.08</c:v>
                </c:pt>
                <c:pt idx="517">
                  <c:v>2.21</c:v>
                </c:pt>
                <c:pt idx="518">
                  <c:v>2.2200000000000002</c:v>
                </c:pt>
                <c:pt idx="519">
                  <c:v>2.1800000000000002</c:v>
                </c:pt>
                <c:pt idx="520">
                  <c:v>2.2200000000000002</c:v>
                </c:pt>
                <c:pt idx="521">
                  <c:v>2.12</c:v>
                </c:pt>
                <c:pt idx="522">
                  <c:v>2.1</c:v>
                </c:pt>
                <c:pt idx="523">
                  <c:v>1.99</c:v>
                </c:pt>
                <c:pt idx="524">
                  <c:v>2</c:v>
                </c:pt>
                <c:pt idx="525">
                  <c:v>2</c:v>
                </c:pt>
                <c:pt idx="526">
                  <c:v>1.92</c:v>
                </c:pt>
                <c:pt idx="527">
                  <c:v>1.89</c:v>
                </c:pt>
                <c:pt idx="528">
                  <c:v>1.76</c:v>
                </c:pt>
                <c:pt idx="529">
                  <c:v>1.68</c:v>
                </c:pt>
                <c:pt idx="530">
                  <c:v>1.72</c:v>
                </c:pt>
                <c:pt idx="531">
                  <c:v>1.73</c:v>
                </c:pt>
                <c:pt idx="532">
                  <c:v>1.72</c:v>
                </c:pt>
                <c:pt idx="533">
                  <c:v>1.63</c:v>
                </c:pt>
                <c:pt idx="534">
                  <c:v>1.74</c:v>
                </c:pt>
                <c:pt idx="535">
                  <c:v>1.81</c:v>
                </c:pt>
                <c:pt idx="536">
                  <c:v>1.82</c:v>
                </c:pt>
                <c:pt idx="537">
                  <c:v>1.8</c:v>
                </c:pt>
                <c:pt idx="538">
                  <c:v>1.78</c:v>
                </c:pt>
                <c:pt idx="539">
                  <c:v>1.86</c:v>
                </c:pt>
                <c:pt idx="540">
                  <c:v>1.88</c:v>
                </c:pt>
                <c:pt idx="541">
                  <c:v>1.9</c:v>
                </c:pt>
                <c:pt idx="542">
                  <c:v>1.88</c:v>
                </c:pt>
                <c:pt idx="543">
                  <c:v>1.87</c:v>
                </c:pt>
                <c:pt idx="544">
                  <c:v>1.69</c:v>
                </c:pt>
                <c:pt idx="545">
                  <c:v>1.79</c:v>
                </c:pt>
                <c:pt idx="546">
                  <c:v>1.84</c:v>
                </c:pt>
                <c:pt idx="547">
                  <c:v>1.84</c:v>
                </c:pt>
                <c:pt idx="548">
                  <c:v>1.88</c:v>
                </c:pt>
                <c:pt idx="549">
                  <c:v>1.88</c:v>
                </c:pt>
                <c:pt idx="550">
                  <c:v>2.2599999999999998</c:v>
                </c:pt>
                <c:pt idx="551">
                  <c:v>2.3199999999999998</c:v>
                </c:pt>
                <c:pt idx="552">
                  <c:v>2.36</c:v>
                </c:pt>
                <c:pt idx="553">
                  <c:v>2.41</c:v>
                </c:pt>
                <c:pt idx="554">
                  <c:v>2.4</c:v>
                </c:pt>
                <c:pt idx="555">
                  <c:v>2.42</c:v>
                </c:pt>
                <c:pt idx="556">
                  <c:v>2.52</c:v>
                </c:pt>
                <c:pt idx="557">
                  <c:v>2.67</c:v>
                </c:pt>
                <c:pt idx="558">
                  <c:v>2.62</c:v>
                </c:pt>
                <c:pt idx="559">
                  <c:v>2.57</c:v>
                </c:pt>
                <c:pt idx="560">
                  <c:v>2.62</c:v>
                </c:pt>
                <c:pt idx="561">
                  <c:v>2.69</c:v>
                </c:pt>
                <c:pt idx="562">
                  <c:v>2.68</c:v>
                </c:pt>
                <c:pt idx="563">
                  <c:v>2.69</c:v>
                </c:pt>
                <c:pt idx="564">
                  <c:v>2.69</c:v>
                </c:pt>
                <c:pt idx="565">
                  <c:v>2.61</c:v>
                </c:pt>
                <c:pt idx="566">
                  <c:v>2.6</c:v>
                </c:pt>
                <c:pt idx="567">
                  <c:v>2.58</c:v>
                </c:pt>
                <c:pt idx="568">
                  <c:v>2.5099999999999998</c:v>
                </c:pt>
                <c:pt idx="569">
                  <c:v>2.5</c:v>
                </c:pt>
                <c:pt idx="570">
                  <c:v>2.4</c:v>
                </c:pt>
                <c:pt idx="571">
                  <c:v>2.15</c:v>
                </c:pt>
                <c:pt idx="572">
                  <c:v>2.29</c:v>
                </c:pt>
                <c:pt idx="573">
                  <c:v>2.19</c:v>
                </c:pt>
                <c:pt idx="574">
                  <c:v>2.2599999999999998</c:v>
                </c:pt>
                <c:pt idx="575">
                  <c:v>2.16</c:v>
                </c:pt>
                <c:pt idx="576">
                  <c:v>2.1800000000000002</c:v>
                </c:pt>
                <c:pt idx="577">
                  <c:v>2.2599999999999998</c:v>
                </c:pt>
                <c:pt idx="578">
                  <c:v>2.31</c:v>
                </c:pt>
                <c:pt idx="579">
                  <c:v>2.17</c:v>
                </c:pt>
                <c:pt idx="580">
                  <c:v>2.15</c:v>
                </c:pt>
                <c:pt idx="581">
                  <c:v>2.2400000000000002</c:v>
                </c:pt>
                <c:pt idx="582">
                  <c:v>2.2599999999999998</c:v>
                </c:pt>
                <c:pt idx="583">
                  <c:v>2.2599999999999998</c:v>
                </c:pt>
                <c:pt idx="584">
                  <c:v>2.31</c:v>
                </c:pt>
                <c:pt idx="585">
                  <c:v>2.27</c:v>
                </c:pt>
                <c:pt idx="586">
                  <c:v>2.27</c:v>
                </c:pt>
                <c:pt idx="587">
                  <c:v>2.34</c:v>
                </c:pt>
                <c:pt idx="588">
                  <c:v>2.27</c:v>
                </c:pt>
                <c:pt idx="589">
                  <c:v>2.27</c:v>
                </c:pt>
                <c:pt idx="590">
                  <c:v>2.27</c:v>
                </c:pt>
                <c:pt idx="591">
                  <c:v>2.27</c:v>
                </c:pt>
                <c:pt idx="592">
                  <c:v>2.39</c:v>
                </c:pt>
                <c:pt idx="593">
                  <c:v>2.42</c:v>
                </c:pt>
                <c:pt idx="594">
                  <c:v>2.41</c:v>
                </c:pt>
                <c:pt idx="595">
                  <c:v>2.46</c:v>
                </c:pt>
                <c:pt idx="596">
                  <c:v>2.54</c:v>
                </c:pt>
                <c:pt idx="597">
                  <c:v>2.5499999999999998</c:v>
                </c:pt>
                <c:pt idx="598">
                  <c:v>2.58</c:v>
                </c:pt>
                <c:pt idx="599">
                  <c:v>2.56</c:v>
                </c:pt>
                <c:pt idx="600">
                  <c:v>2.59</c:v>
                </c:pt>
                <c:pt idx="601">
                  <c:v>2.57</c:v>
                </c:pt>
                <c:pt idx="602">
                  <c:v>2.46</c:v>
                </c:pt>
                <c:pt idx="603">
                  <c:v>2.5</c:v>
                </c:pt>
                <c:pt idx="604">
                  <c:v>2.52</c:v>
                </c:pt>
                <c:pt idx="605">
                  <c:v>2.44</c:v>
                </c:pt>
                <c:pt idx="606">
                  <c:v>2.44</c:v>
                </c:pt>
                <c:pt idx="607">
                  <c:v>2.46</c:v>
                </c:pt>
                <c:pt idx="608">
                  <c:v>2.44</c:v>
                </c:pt>
                <c:pt idx="609">
                  <c:v>2.44</c:v>
                </c:pt>
                <c:pt idx="610">
                  <c:v>2.46</c:v>
                </c:pt>
                <c:pt idx="611">
                  <c:v>2.46</c:v>
                </c:pt>
                <c:pt idx="612">
                  <c:v>2.48</c:v>
                </c:pt>
                <c:pt idx="613">
                  <c:v>2.46</c:v>
                </c:pt>
                <c:pt idx="614">
                  <c:v>2.37</c:v>
                </c:pt>
                <c:pt idx="615">
                  <c:v>2.38</c:v>
                </c:pt>
                <c:pt idx="616">
                  <c:v>2.4</c:v>
                </c:pt>
                <c:pt idx="617">
                  <c:v>2.4300000000000002</c:v>
                </c:pt>
                <c:pt idx="618">
                  <c:v>2.41</c:v>
                </c:pt>
                <c:pt idx="619">
                  <c:v>2.41</c:v>
                </c:pt>
                <c:pt idx="620">
                  <c:v>2.5299999999999998</c:v>
                </c:pt>
                <c:pt idx="621">
                  <c:v>2.4900000000000002</c:v>
                </c:pt>
                <c:pt idx="622">
                  <c:v>2.52</c:v>
                </c:pt>
                <c:pt idx="623">
                  <c:v>2.4700000000000002</c:v>
                </c:pt>
                <c:pt idx="624">
                  <c:v>2.5099999999999998</c:v>
                </c:pt>
                <c:pt idx="625">
                  <c:v>2.59</c:v>
                </c:pt>
                <c:pt idx="626">
                  <c:v>2.4700000000000002</c:v>
                </c:pt>
                <c:pt idx="627">
                  <c:v>2.4900000000000002</c:v>
                </c:pt>
                <c:pt idx="628">
                  <c:v>2.44</c:v>
                </c:pt>
                <c:pt idx="629">
                  <c:v>2.42</c:v>
                </c:pt>
                <c:pt idx="630">
                  <c:v>2.4700000000000002</c:v>
                </c:pt>
                <c:pt idx="631">
                  <c:v>2.5299999999999998</c:v>
                </c:pt>
                <c:pt idx="632">
                  <c:v>2.5299999999999998</c:v>
                </c:pt>
                <c:pt idx="633">
                  <c:v>2.57</c:v>
                </c:pt>
                <c:pt idx="634">
                  <c:v>2.58</c:v>
                </c:pt>
                <c:pt idx="635">
                  <c:v>2.5299999999999998</c:v>
                </c:pt>
                <c:pt idx="636">
                  <c:v>2.5</c:v>
                </c:pt>
                <c:pt idx="637">
                  <c:v>2.52</c:v>
                </c:pt>
                <c:pt idx="638">
                  <c:v>2.58</c:v>
                </c:pt>
                <c:pt idx="639">
                  <c:v>2.61</c:v>
                </c:pt>
                <c:pt idx="640">
                  <c:v>2.63</c:v>
                </c:pt>
                <c:pt idx="641">
                  <c:v>2.67</c:v>
                </c:pt>
                <c:pt idx="642">
                  <c:v>2.61</c:v>
                </c:pt>
                <c:pt idx="643">
                  <c:v>2.65</c:v>
                </c:pt>
                <c:pt idx="644">
                  <c:v>2.66</c:v>
                </c:pt>
                <c:pt idx="645">
                  <c:v>2.66</c:v>
                </c:pt>
                <c:pt idx="646">
                  <c:v>2.61</c:v>
                </c:pt>
                <c:pt idx="647">
                  <c:v>2.59</c:v>
                </c:pt>
                <c:pt idx="648">
                  <c:v>2.57</c:v>
                </c:pt>
                <c:pt idx="649">
                  <c:v>2.6</c:v>
                </c:pt>
                <c:pt idx="650">
                  <c:v>2.58</c:v>
                </c:pt>
                <c:pt idx="651">
                  <c:v>2.59</c:v>
                </c:pt>
                <c:pt idx="652">
                  <c:v>2.6</c:v>
                </c:pt>
                <c:pt idx="653">
                  <c:v>2.57</c:v>
                </c:pt>
                <c:pt idx="654">
                  <c:v>2.68</c:v>
                </c:pt>
                <c:pt idx="655">
                  <c:v>2.66</c:v>
                </c:pt>
                <c:pt idx="656">
                  <c:v>2.7</c:v>
                </c:pt>
                <c:pt idx="657">
                  <c:v>2.72</c:v>
                </c:pt>
                <c:pt idx="658">
                  <c:v>2.68</c:v>
                </c:pt>
                <c:pt idx="659">
                  <c:v>2.54</c:v>
                </c:pt>
                <c:pt idx="660">
                  <c:v>2.58</c:v>
                </c:pt>
                <c:pt idx="661">
                  <c:v>2.57</c:v>
                </c:pt>
                <c:pt idx="662">
                  <c:v>2.4500000000000002</c:v>
                </c:pt>
                <c:pt idx="663">
                  <c:v>2.4700000000000002</c:v>
                </c:pt>
                <c:pt idx="664">
                  <c:v>2.52</c:v>
                </c:pt>
                <c:pt idx="665">
                  <c:v>2.5299999999999998</c:v>
                </c:pt>
                <c:pt idx="666">
                  <c:v>2.41</c:v>
                </c:pt>
                <c:pt idx="667">
                  <c:v>2.5099999999999998</c:v>
                </c:pt>
                <c:pt idx="668">
                  <c:v>2.54</c:v>
                </c:pt>
                <c:pt idx="669">
                  <c:v>2.5099999999999998</c:v>
                </c:pt>
                <c:pt idx="670">
                  <c:v>2.56</c:v>
                </c:pt>
                <c:pt idx="671">
                  <c:v>2.58</c:v>
                </c:pt>
                <c:pt idx="672">
                  <c:v>2.62</c:v>
                </c:pt>
                <c:pt idx="673">
                  <c:v>2.62</c:v>
                </c:pt>
                <c:pt idx="674">
                  <c:v>2.65</c:v>
                </c:pt>
                <c:pt idx="675">
                  <c:v>2.71</c:v>
                </c:pt>
                <c:pt idx="676">
                  <c:v>2.77</c:v>
                </c:pt>
                <c:pt idx="677">
                  <c:v>2.67</c:v>
                </c:pt>
                <c:pt idx="678">
                  <c:v>2.71</c:v>
                </c:pt>
                <c:pt idx="679">
                  <c:v>2.72</c:v>
                </c:pt>
                <c:pt idx="680">
                  <c:v>2.8</c:v>
                </c:pt>
                <c:pt idx="681">
                  <c:v>2.84</c:v>
                </c:pt>
                <c:pt idx="682">
                  <c:v>2.8</c:v>
                </c:pt>
                <c:pt idx="683">
                  <c:v>2.86</c:v>
                </c:pt>
                <c:pt idx="684">
                  <c:v>2.89</c:v>
                </c:pt>
                <c:pt idx="685">
                  <c:v>2.88</c:v>
                </c:pt>
                <c:pt idx="686">
                  <c:v>2.95</c:v>
                </c:pt>
                <c:pt idx="687">
                  <c:v>2.95</c:v>
                </c:pt>
                <c:pt idx="688">
                  <c:v>2.82</c:v>
                </c:pt>
                <c:pt idx="689">
                  <c:v>2.82</c:v>
                </c:pt>
                <c:pt idx="690">
                  <c:v>2.86</c:v>
                </c:pt>
                <c:pt idx="691">
                  <c:v>2.88</c:v>
                </c:pt>
                <c:pt idx="692">
                  <c:v>2.84</c:v>
                </c:pt>
                <c:pt idx="693">
                  <c:v>2.84</c:v>
                </c:pt>
                <c:pt idx="694">
                  <c:v>2.78</c:v>
                </c:pt>
                <c:pt idx="695">
                  <c:v>2.81</c:v>
                </c:pt>
                <c:pt idx="696">
                  <c:v>2.82</c:v>
                </c:pt>
                <c:pt idx="697">
                  <c:v>2.87</c:v>
                </c:pt>
                <c:pt idx="698">
                  <c:v>2.9</c:v>
                </c:pt>
                <c:pt idx="699">
                  <c:v>2.91</c:v>
                </c:pt>
                <c:pt idx="700">
                  <c:v>2.89</c:v>
                </c:pt>
                <c:pt idx="701">
                  <c:v>2.9</c:v>
                </c:pt>
                <c:pt idx="702">
                  <c:v>2.9</c:v>
                </c:pt>
                <c:pt idx="703">
                  <c:v>2.9</c:v>
                </c:pt>
                <c:pt idx="704">
                  <c:v>2.83</c:v>
                </c:pt>
                <c:pt idx="705">
                  <c:v>2.88</c:v>
                </c:pt>
                <c:pt idx="706">
                  <c:v>2.9</c:v>
                </c:pt>
                <c:pt idx="707">
                  <c:v>2.91</c:v>
                </c:pt>
                <c:pt idx="708">
                  <c:v>2.9</c:v>
                </c:pt>
                <c:pt idx="709">
                  <c:v>2.93</c:v>
                </c:pt>
                <c:pt idx="710">
                  <c:v>2.93</c:v>
                </c:pt>
                <c:pt idx="711">
                  <c:v>2.97</c:v>
                </c:pt>
                <c:pt idx="712">
                  <c:v>2.98</c:v>
                </c:pt>
                <c:pt idx="713">
                  <c:v>2.98</c:v>
                </c:pt>
                <c:pt idx="714">
                  <c:v>3.09</c:v>
                </c:pt>
                <c:pt idx="715">
                  <c:v>2.96</c:v>
                </c:pt>
                <c:pt idx="716">
                  <c:v>3.04</c:v>
                </c:pt>
                <c:pt idx="717">
                  <c:v>3.1</c:v>
                </c:pt>
                <c:pt idx="718">
                  <c:v>3.11</c:v>
                </c:pt>
                <c:pt idx="719">
                  <c:v>3.09</c:v>
                </c:pt>
                <c:pt idx="720">
                  <c:v>3.12</c:v>
                </c:pt>
                <c:pt idx="721">
                  <c:v>3.03</c:v>
                </c:pt>
                <c:pt idx="722">
                  <c:v>3.02</c:v>
                </c:pt>
                <c:pt idx="723">
                  <c:v>2.94</c:v>
                </c:pt>
                <c:pt idx="724">
                  <c:v>2.94</c:v>
                </c:pt>
                <c:pt idx="725">
                  <c:v>2.96</c:v>
                </c:pt>
                <c:pt idx="726">
                  <c:v>3.02</c:v>
                </c:pt>
                <c:pt idx="727">
                  <c:v>3.09</c:v>
                </c:pt>
                <c:pt idx="728">
                  <c:v>3.09</c:v>
                </c:pt>
                <c:pt idx="729">
                  <c:v>3.11</c:v>
                </c:pt>
                <c:pt idx="730">
                  <c:v>3.09</c:v>
                </c:pt>
                <c:pt idx="731">
                  <c:v>3.1</c:v>
                </c:pt>
                <c:pt idx="732">
                  <c:v>3.1</c:v>
                </c:pt>
                <c:pt idx="733">
                  <c:v>3.15</c:v>
                </c:pt>
                <c:pt idx="734">
                  <c:v>3.13</c:v>
                </c:pt>
                <c:pt idx="735">
                  <c:v>3.12</c:v>
                </c:pt>
                <c:pt idx="736">
                  <c:v>3.1</c:v>
                </c:pt>
                <c:pt idx="737">
                  <c:v>3.06</c:v>
                </c:pt>
                <c:pt idx="738">
                  <c:v>3.05</c:v>
                </c:pt>
                <c:pt idx="739">
                  <c:v>3.01</c:v>
                </c:pt>
                <c:pt idx="740">
                  <c:v>3.03</c:v>
                </c:pt>
                <c:pt idx="741">
                  <c:v>3</c:v>
                </c:pt>
                <c:pt idx="742">
                  <c:v>2.94</c:v>
                </c:pt>
                <c:pt idx="743">
                  <c:v>2.93</c:v>
                </c:pt>
                <c:pt idx="744">
                  <c:v>2.96</c:v>
                </c:pt>
                <c:pt idx="745">
                  <c:v>2.99</c:v>
                </c:pt>
                <c:pt idx="746">
                  <c:v>2.99</c:v>
                </c:pt>
                <c:pt idx="747">
                  <c:v>2.86</c:v>
                </c:pt>
                <c:pt idx="748">
                  <c:v>2.87</c:v>
                </c:pt>
                <c:pt idx="749">
                  <c:v>2.82</c:v>
                </c:pt>
                <c:pt idx="750">
                  <c:v>2.81</c:v>
                </c:pt>
                <c:pt idx="751">
                  <c:v>2.8</c:v>
                </c:pt>
                <c:pt idx="752">
                  <c:v>2.76</c:v>
                </c:pt>
                <c:pt idx="753">
                  <c:v>2.78</c:v>
                </c:pt>
                <c:pt idx="754">
                  <c:v>2.84</c:v>
                </c:pt>
                <c:pt idx="755">
                  <c:v>2.87</c:v>
                </c:pt>
                <c:pt idx="756">
                  <c:v>2.82</c:v>
                </c:pt>
                <c:pt idx="757">
                  <c:v>2.81</c:v>
                </c:pt>
                <c:pt idx="758">
                  <c:v>2.73</c:v>
                </c:pt>
                <c:pt idx="759">
                  <c:v>2.8</c:v>
                </c:pt>
                <c:pt idx="760">
                  <c:v>2.73</c:v>
                </c:pt>
                <c:pt idx="761">
                  <c:v>2.64</c:v>
                </c:pt>
                <c:pt idx="762">
                  <c:v>2.56</c:v>
                </c:pt>
                <c:pt idx="763">
                  <c:v>2.5299999999999998</c:v>
                </c:pt>
                <c:pt idx="764">
                  <c:v>2.5</c:v>
                </c:pt>
                <c:pt idx="765">
                  <c:v>2.54</c:v>
                </c:pt>
                <c:pt idx="766">
                  <c:v>2.52</c:v>
                </c:pt>
                <c:pt idx="767">
                  <c:v>2.46</c:v>
                </c:pt>
                <c:pt idx="768">
                  <c:v>2.4</c:v>
                </c:pt>
                <c:pt idx="769">
                  <c:v>2.38</c:v>
                </c:pt>
                <c:pt idx="770">
                  <c:v>2.29</c:v>
                </c:pt>
                <c:pt idx="771">
                  <c:v>2.2799999999999998</c:v>
                </c:pt>
                <c:pt idx="772">
                  <c:v>2.2000000000000002</c:v>
                </c:pt>
                <c:pt idx="773">
                  <c:v>2.15</c:v>
                </c:pt>
                <c:pt idx="774">
                  <c:v>2.17</c:v>
                </c:pt>
                <c:pt idx="775">
                  <c:v>2.1800000000000002</c:v>
                </c:pt>
                <c:pt idx="776">
                  <c:v>2.1800000000000002</c:v>
                </c:pt>
                <c:pt idx="777">
                  <c:v>2.1800000000000002</c:v>
                </c:pt>
                <c:pt idx="778">
                  <c:v>2.14</c:v>
                </c:pt>
                <c:pt idx="779">
                  <c:v>2.17</c:v>
                </c:pt>
                <c:pt idx="780">
                  <c:v>2.21</c:v>
                </c:pt>
                <c:pt idx="781">
                  <c:v>2.21</c:v>
                </c:pt>
                <c:pt idx="782">
                  <c:v>2.23</c:v>
                </c:pt>
                <c:pt idx="783">
                  <c:v>2.2200000000000002</c:v>
                </c:pt>
                <c:pt idx="784">
                  <c:v>2.31</c:v>
                </c:pt>
                <c:pt idx="785">
                  <c:v>2.36</c:v>
                </c:pt>
                <c:pt idx="786">
                  <c:v>2.4</c:v>
                </c:pt>
                <c:pt idx="787">
                  <c:v>2.41</c:v>
                </c:pt>
                <c:pt idx="788">
                  <c:v>2.4300000000000002</c:v>
                </c:pt>
                <c:pt idx="789">
                  <c:v>2.4</c:v>
                </c:pt>
                <c:pt idx="790">
                  <c:v>2.3199999999999998</c:v>
                </c:pt>
                <c:pt idx="791">
                  <c:v>2.36</c:v>
                </c:pt>
                <c:pt idx="792">
                  <c:v>2.35</c:v>
                </c:pt>
                <c:pt idx="793">
                  <c:v>2.42</c:v>
                </c:pt>
                <c:pt idx="794">
                  <c:v>2.4300000000000002</c:v>
                </c:pt>
                <c:pt idx="795">
                  <c:v>2.42</c:v>
                </c:pt>
                <c:pt idx="796">
                  <c:v>2.36</c:v>
                </c:pt>
                <c:pt idx="797">
                  <c:v>2.41</c:v>
                </c:pt>
                <c:pt idx="798">
                  <c:v>2.44</c:v>
                </c:pt>
                <c:pt idx="799">
                  <c:v>2.4</c:v>
                </c:pt>
                <c:pt idx="800">
                  <c:v>2.44</c:v>
                </c:pt>
                <c:pt idx="801">
                  <c:v>2.42</c:v>
                </c:pt>
                <c:pt idx="802">
                  <c:v>2.44</c:v>
                </c:pt>
                <c:pt idx="803">
                  <c:v>2.34</c:v>
                </c:pt>
                <c:pt idx="804">
                  <c:v>2.2999999999999998</c:v>
                </c:pt>
                <c:pt idx="805">
                  <c:v>2.36</c:v>
                </c:pt>
                <c:pt idx="806">
                  <c:v>2.46</c:v>
                </c:pt>
                <c:pt idx="807">
                  <c:v>2.46</c:v>
                </c:pt>
                <c:pt idx="808">
                  <c:v>2.48</c:v>
                </c:pt>
                <c:pt idx="809">
                  <c:v>2.52</c:v>
                </c:pt>
                <c:pt idx="810">
                  <c:v>2.5499999999999998</c:v>
                </c:pt>
                <c:pt idx="811">
                  <c:v>2.59</c:v>
                </c:pt>
                <c:pt idx="812">
                  <c:v>2.6</c:v>
                </c:pt>
                <c:pt idx="813">
                  <c:v>2.58</c:v>
                </c:pt>
                <c:pt idx="814">
                  <c:v>2.57</c:v>
                </c:pt>
                <c:pt idx="815">
                  <c:v>2.61</c:v>
                </c:pt>
                <c:pt idx="816">
                  <c:v>2.63</c:v>
                </c:pt>
                <c:pt idx="817">
                  <c:v>2.59</c:v>
                </c:pt>
                <c:pt idx="818">
                  <c:v>2.6</c:v>
                </c:pt>
                <c:pt idx="819">
                  <c:v>2.62</c:v>
                </c:pt>
                <c:pt idx="820">
                  <c:v>2.59</c:v>
                </c:pt>
                <c:pt idx="821">
                  <c:v>2.64</c:v>
                </c:pt>
                <c:pt idx="822">
                  <c:v>2.66</c:v>
                </c:pt>
                <c:pt idx="823">
                  <c:v>2.68</c:v>
                </c:pt>
                <c:pt idx="824">
                  <c:v>2.62</c:v>
                </c:pt>
                <c:pt idx="825">
                  <c:v>2.63</c:v>
                </c:pt>
                <c:pt idx="826">
                  <c:v>2.59</c:v>
                </c:pt>
                <c:pt idx="827">
                  <c:v>2.4900000000000002</c:v>
                </c:pt>
                <c:pt idx="828">
                  <c:v>2.5099999999999998</c:v>
                </c:pt>
                <c:pt idx="829">
                  <c:v>2.48</c:v>
                </c:pt>
                <c:pt idx="830">
                  <c:v>2.39</c:v>
                </c:pt>
                <c:pt idx="831">
                  <c:v>2.41</c:v>
                </c:pt>
                <c:pt idx="832">
                  <c:v>2.42</c:v>
                </c:pt>
                <c:pt idx="833">
                  <c:v>2.4500000000000002</c:v>
                </c:pt>
                <c:pt idx="834">
                  <c:v>2.54</c:v>
                </c:pt>
                <c:pt idx="835">
                  <c:v>2.57</c:v>
                </c:pt>
                <c:pt idx="836">
                  <c:v>2.6</c:v>
                </c:pt>
                <c:pt idx="837">
                  <c:v>2.58</c:v>
                </c:pt>
                <c:pt idx="838">
                  <c:v>2.58</c:v>
                </c:pt>
                <c:pt idx="839">
                  <c:v>2.56</c:v>
                </c:pt>
                <c:pt idx="840">
                  <c:v>2.4900000000000002</c:v>
                </c:pt>
                <c:pt idx="841">
                  <c:v>2.54</c:v>
                </c:pt>
                <c:pt idx="842">
                  <c:v>2.5499999999999998</c:v>
                </c:pt>
                <c:pt idx="843">
                  <c:v>2.5</c:v>
                </c:pt>
                <c:pt idx="844">
                  <c:v>2.52</c:v>
                </c:pt>
                <c:pt idx="845">
                  <c:v>2.52</c:v>
                </c:pt>
                <c:pt idx="846">
                  <c:v>2.52</c:v>
                </c:pt>
                <c:pt idx="847">
                  <c:v>2.62</c:v>
                </c:pt>
                <c:pt idx="848">
                  <c:v>2.65</c:v>
                </c:pt>
                <c:pt idx="849">
                  <c:v>2.61</c:v>
                </c:pt>
                <c:pt idx="850">
                  <c:v>2.63</c:v>
                </c:pt>
                <c:pt idx="851">
                  <c:v>2.7</c:v>
                </c:pt>
                <c:pt idx="852">
                  <c:v>2.63</c:v>
                </c:pt>
                <c:pt idx="853">
                  <c:v>2.65</c:v>
                </c:pt>
                <c:pt idx="854">
                  <c:v>2.68</c:v>
                </c:pt>
                <c:pt idx="855">
                  <c:v>2.5299999999999998</c:v>
                </c:pt>
                <c:pt idx="856">
                  <c:v>2.64</c:v>
                </c:pt>
                <c:pt idx="857">
                  <c:v>2.68</c:v>
                </c:pt>
                <c:pt idx="858">
                  <c:v>2.65</c:v>
                </c:pt>
                <c:pt idx="859">
                  <c:v>2.63</c:v>
                </c:pt>
                <c:pt idx="860">
                  <c:v>2.61</c:v>
                </c:pt>
                <c:pt idx="861">
                  <c:v>2.6</c:v>
                </c:pt>
                <c:pt idx="862">
                  <c:v>2.57</c:v>
                </c:pt>
                <c:pt idx="863">
                  <c:v>2.64</c:v>
                </c:pt>
                <c:pt idx="864">
                  <c:v>2.67</c:v>
                </c:pt>
                <c:pt idx="865">
                  <c:v>2.63</c:v>
                </c:pt>
                <c:pt idx="866">
                  <c:v>2.59</c:v>
                </c:pt>
                <c:pt idx="867">
                  <c:v>2.58</c:v>
                </c:pt>
                <c:pt idx="868">
                  <c:v>2.58</c:v>
                </c:pt>
                <c:pt idx="869">
                  <c:v>2.57</c:v>
                </c:pt>
                <c:pt idx="870">
                  <c:v>2.5</c:v>
                </c:pt>
                <c:pt idx="871">
                  <c:v>2.4500000000000002</c:v>
                </c:pt>
                <c:pt idx="872">
                  <c:v>2.41</c:v>
                </c:pt>
                <c:pt idx="873">
                  <c:v>2.44</c:v>
                </c:pt>
                <c:pt idx="874">
                  <c:v>2.44</c:v>
                </c:pt>
                <c:pt idx="875">
                  <c:v>2.4700000000000002</c:v>
                </c:pt>
                <c:pt idx="876">
                  <c:v>2.44</c:v>
                </c:pt>
                <c:pt idx="877">
                  <c:v>2.4500000000000002</c:v>
                </c:pt>
                <c:pt idx="878">
                  <c:v>2.37</c:v>
                </c:pt>
                <c:pt idx="879">
                  <c:v>2.36</c:v>
                </c:pt>
                <c:pt idx="880">
                  <c:v>2.42</c:v>
                </c:pt>
                <c:pt idx="881">
                  <c:v>2.4300000000000002</c:v>
                </c:pt>
                <c:pt idx="882">
                  <c:v>2.41</c:v>
                </c:pt>
                <c:pt idx="883">
                  <c:v>2.44</c:v>
                </c:pt>
                <c:pt idx="884">
                  <c:v>2.52</c:v>
                </c:pt>
                <c:pt idx="885">
                  <c:v>2.5099999999999998</c:v>
                </c:pt>
                <c:pt idx="886">
                  <c:v>2.4500000000000002</c:v>
                </c:pt>
                <c:pt idx="887">
                  <c:v>2.4500000000000002</c:v>
                </c:pt>
                <c:pt idx="888">
                  <c:v>2.5299999999999998</c:v>
                </c:pt>
                <c:pt idx="889">
                  <c:v>2.5299999999999998</c:v>
                </c:pt>
                <c:pt idx="890">
                  <c:v>2.5</c:v>
                </c:pt>
                <c:pt idx="891">
                  <c:v>2.4300000000000002</c:v>
                </c:pt>
                <c:pt idx="892">
                  <c:v>2.36</c:v>
                </c:pt>
                <c:pt idx="893">
                  <c:v>2.37</c:v>
                </c:pt>
                <c:pt idx="894">
                  <c:v>2.37</c:v>
                </c:pt>
                <c:pt idx="895">
                  <c:v>2.4300000000000002</c:v>
                </c:pt>
                <c:pt idx="896">
                  <c:v>2.46</c:v>
                </c:pt>
                <c:pt idx="897">
                  <c:v>2.41</c:v>
                </c:pt>
                <c:pt idx="898">
                  <c:v>2.31</c:v>
                </c:pt>
                <c:pt idx="899">
                  <c:v>2.31</c:v>
                </c:pt>
                <c:pt idx="900">
                  <c:v>2.21</c:v>
                </c:pt>
                <c:pt idx="901">
                  <c:v>2.25</c:v>
                </c:pt>
                <c:pt idx="902">
                  <c:v>2.2400000000000002</c:v>
                </c:pt>
                <c:pt idx="903">
                  <c:v>2.2799999999999998</c:v>
                </c:pt>
                <c:pt idx="904">
                  <c:v>2.3199999999999998</c:v>
                </c:pt>
                <c:pt idx="905">
                  <c:v>2.3199999999999998</c:v>
                </c:pt>
                <c:pt idx="906">
                  <c:v>2.31</c:v>
                </c:pt>
                <c:pt idx="907">
                  <c:v>2.27</c:v>
                </c:pt>
                <c:pt idx="908">
                  <c:v>2.29</c:v>
                </c:pt>
                <c:pt idx="909">
                  <c:v>2.29</c:v>
                </c:pt>
                <c:pt idx="910">
                  <c:v>2.2799999999999998</c:v>
                </c:pt>
                <c:pt idx="911">
                  <c:v>2.37</c:v>
                </c:pt>
                <c:pt idx="912">
                  <c:v>2.4</c:v>
                </c:pt>
                <c:pt idx="913">
                  <c:v>2.35</c:v>
                </c:pt>
                <c:pt idx="914">
                  <c:v>2.37</c:v>
                </c:pt>
                <c:pt idx="915">
                  <c:v>2.34</c:v>
                </c:pt>
                <c:pt idx="916">
                  <c:v>2.3199999999999998</c:v>
                </c:pt>
                <c:pt idx="917">
                  <c:v>2.35</c:v>
                </c:pt>
                <c:pt idx="918">
                  <c:v>2.2999999999999998</c:v>
                </c:pt>
                <c:pt idx="919">
                  <c:v>2.23</c:v>
                </c:pt>
                <c:pt idx="920">
                  <c:v>2.21</c:v>
                </c:pt>
                <c:pt idx="921">
                  <c:v>2.1800000000000002</c:v>
                </c:pt>
                <c:pt idx="922">
                  <c:v>2.16</c:v>
                </c:pt>
                <c:pt idx="923">
                  <c:v>2.14</c:v>
                </c:pt>
                <c:pt idx="924">
                  <c:v>2.13</c:v>
                </c:pt>
                <c:pt idx="925">
                  <c:v>2.17</c:v>
                </c:pt>
                <c:pt idx="926">
                  <c:v>2.16</c:v>
                </c:pt>
                <c:pt idx="927">
                  <c:v>2.15</c:v>
                </c:pt>
                <c:pt idx="928">
                  <c:v>2.1800000000000002</c:v>
                </c:pt>
                <c:pt idx="929">
                  <c:v>2.16</c:v>
                </c:pt>
                <c:pt idx="930">
                  <c:v>2.15</c:v>
                </c:pt>
                <c:pt idx="931">
                  <c:v>2.1</c:v>
                </c:pt>
                <c:pt idx="932">
                  <c:v>2.1</c:v>
                </c:pt>
                <c:pt idx="933">
                  <c:v>2.08</c:v>
                </c:pt>
                <c:pt idx="934">
                  <c:v>2.0299999999999998</c:v>
                </c:pt>
                <c:pt idx="935">
                  <c:v>1.98</c:v>
                </c:pt>
                <c:pt idx="936">
                  <c:v>1.98</c:v>
                </c:pt>
                <c:pt idx="937">
                  <c:v>2</c:v>
                </c:pt>
                <c:pt idx="938">
                  <c:v>2.09</c:v>
                </c:pt>
                <c:pt idx="939">
                  <c:v>2.1</c:v>
                </c:pt>
                <c:pt idx="940">
                  <c:v>2.08</c:v>
                </c:pt>
                <c:pt idx="941">
                  <c:v>2.06</c:v>
                </c:pt>
                <c:pt idx="942">
                  <c:v>2</c:v>
                </c:pt>
                <c:pt idx="943">
                  <c:v>2.0299999999999998</c:v>
                </c:pt>
                <c:pt idx="944">
                  <c:v>2.1</c:v>
                </c:pt>
                <c:pt idx="945">
                  <c:v>2.09</c:v>
                </c:pt>
                <c:pt idx="946">
                  <c:v>2.08</c:v>
                </c:pt>
                <c:pt idx="947">
                  <c:v>2.04</c:v>
                </c:pt>
                <c:pt idx="948">
                  <c:v>2.04</c:v>
                </c:pt>
                <c:pt idx="949">
                  <c:v>2.09</c:v>
                </c:pt>
                <c:pt idx="950">
                  <c:v>2.09</c:v>
                </c:pt>
                <c:pt idx="951">
                  <c:v>2.11</c:v>
                </c:pt>
                <c:pt idx="952">
                  <c:v>2.15</c:v>
                </c:pt>
                <c:pt idx="953">
                  <c:v>2.16</c:v>
                </c:pt>
                <c:pt idx="954">
                  <c:v>2.19</c:v>
                </c:pt>
                <c:pt idx="955">
                  <c:v>2.2000000000000002</c:v>
                </c:pt>
                <c:pt idx="956">
                  <c:v>2.27</c:v>
                </c:pt>
                <c:pt idx="957">
                  <c:v>2.21</c:v>
                </c:pt>
                <c:pt idx="958">
                  <c:v>2.17</c:v>
                </c:pt>
                <c:pt idx="959">
                  <c:v>2.15</c:v>
                </c:pt>
                <c:pt idx="960">
                  <c:v>2.14</c:v>
                </c:pt>
                <c:pt idx="961">
                  <c:v>2.13</c:v>
                </c:pt>
                <c:pt idx="962">
                  <c:v>2.09</c:v>
                </c:pt>
                <c:pt idx="963">
                  <c:v>2.0299999999999998</c:v>
                </c:pt>
                <c:pt idx="964">
                  <c:v>2.0499999999999998</c:v>
                </c:pt>
                <c:pt idx="965">
                  <c:v>2.09</c:v>
                </c:pt>
                <c:pt idx="966">
                  <c:v>2.09</c:v>
                </c:pt>
                <c:pt idx="967">
                  <c:v>2.09</c:v>
                </c:pt>
                <c:pt idx="968">
                  <c:v>2.15</c:v>
                </c:pt>
                <c:pt idx="969">
                  <c:v>2.17</c:v>
                </c:pt>
                <c:pt idx="970">
                  <c:v>2.2000000000000002</c:v>
                </c:pt>
                <c:pt idx="971">
                  <c:v>2.1800000000000002</c:v>
                </c:pt>
                <c:pt idx="972">
                  <c:v>2.17</c:v>
                </c:pt>
                <c:pt idx="973">
                  <c:v>2.23</c:v>
                </c:pt>
                <c:pt idx="974">
                  <c:v>2.21</c:v>
                </c:pt>
                <c:pt idx="975">
                  <c:v>2.19</c:v>
                </c:pt>
                <c:pt idx="976">
                  <c:v>2.1800000000000002</c:v>
                </c:pt>
                <c:pt idx="977">
                  <c:v>2.09</c:v>
                </c:pt>
                <c:pt idx="978">
                  <c:v>2.17</c:v>
                </c:pt>
                <c:pt idx="979">
                  <c:v>2.21</c:v>
                </c:pt>
                <c:pt idx="980">
                  <c:v>2.2799999999999998</c:v>
                </c:pt>
                <c:pt idx="981">
                  <c:v>2.34</c:v>
                </c:pt>
                <c:pt idx="982">
                  <c:v>2.38</c:v>
                </c:pt>
                <c:pt idx="983">
                  <c:v>2.37</c:v>
                </c:pt>
                <c:pt idx="984">
                  <c:v>2.2999999999999998</c:v>
                </c:pt>
                <c:pt idx="985">
                  <c:v>2.31</c:v>
                </c:pt>
                <c:pt idx="986">
                  <c:v>2.2999999999999998</c:v>
                </c:pt>
                <c:pt idx="987">
                  <c:v>2.25</c:v>
                </c:pt>
                <c:pt idx="988">
                  <c:v>2.2200000000000002</c:v>
                </c:pt>
                <c:pt idx="989">
                  <c:v>2.23</c:v>
                </c:pt>
                <c:pt idx="990">
                  <c:v>2.2400000000000002</c:v>
                </c:pt>
                <c:pt idx="991">
                  <c:v>2.3199999999999998</c:v>
                </c:pt>
                <c:pt idx="992">
                  <c:v>2.35</c:v>
                </c:pt>
                <c:pt idx="993">
                  <c:v>2.35</c:v>
                </c:pt>
                <c:pt idx="994">
                  <c:v>2.29</c:v>
                </c:pt>
                <c:pt idx="995">
                  <c:v>2.2999999999999998</c:v>
                </c:pt>
                <c:pt idx="996">
                  <c:v>2.2799999999999998</c:v>
                </c:pt>
                <c:pt idx="997">
                  <c:v>2.2799999999999998</c:v>
                </c:pt>
                <c:pt idx="998">
                  <c:v>2.2599999999999998</c:v>
                </c:pt>
                <c:pt idx="999">
                  <c:v>2.31</c:v>
                </c:pt>
                <c:pt idx="1000">
                  <c:v>2.31</c:v>
                </c:pt>
                <c:pt idx="1001">
                  <c:v>2.31</c:v>
                </c:pt>
                <c:pt idx="1002">
                  <c:v>2.37</c:v>
                </c:pt>
                <c:pt idx="1003">
                  <c:v>2.4</c:v>
                </c:pt>
                <c:pt idx="1004">
                  <c:v>2.44</c:v>
                </c:pt>
                <c:pt idx="1005">
                  <c:v>2.38</c:v>
                </c:pt>
                <c:pt idx="1006">
                  <c:v>2.34</c:v>
                </c:pt>
                <c:pt idx="1007">
                  <c:v>2.33</c:v>
                </c:pt>
                <c:pt idx="1008">
                  <c:v>2.36</c:v>
                </c:pt>
                <c:pt idx="1009">
                  <c:v>2.3199999999999998</c:v>
                </c:pt>
                <c:pt idx="1010">
                  <c:v>2.34</c:v>
                </c:pt>
                <c:pt idx="1011">
                  <c:v>2.36</c:v>
                </c:pt>
                <c:pt idx="1012">
                  <c:v>2.3199999999999998</c:v>
                </c:pt>
                <c:pt idx="1013">
                  <c:v>2.35</c:v>
                </c:pt>
                <c:pt idx="1014">
                  <c:v>2.33</c:v>
                </c:pt>
                <c:pt idx="1015">
                  <c:v>2.2999999999999998</c:v>
                </c:pt>
                <c:pt idx="1016">
                  <c:v>2.23</c:v>
                </c:pt>
                <c:pt idx="1017">
                  <c:v>2.2200000000000002</c:v>
                </c:pt>
                <c:pt idx="1018">
                  <c:v>2.1800000000000002</c:v>
                </c:pt>
                <c:pt idx="1019">
                  <c:v>2.2200000000000002</c:v>
                </c:pt>
                <c:pt idx="1020">
                  <c:v>2.19</c:v>
                </c:pt>
                <c:pt idx="1021">
                  <c:v>2.15</c:v>
                </c:pt>
                <c:pt idx="1022">
                  <c:v>2.17</c:v>
                </c:pt>
                <c:pt idx="1023">
                  <c:v>2.23</c:v>
                </c:pt>
                <c:pt idx="1024">
                  <c:v>2.2999999999999998</c:v>
                </c:pt>
                <c:pt idx="1025">
                  <c:v>2.27</c:v>
                </c:pt>
                <c:pt idx="1026">
                  <c:v>2.27</c:v>
                </c:pt>
                <c:pt idx="1027">
                  <c:v>2.29</c:v>
                </c:pt>
                <c:pt idx="1028">
                  <c:v>2.29</c:v>
                </c:pt>
                <c:pt idx="1029">
                  <c:v>2.35</c:v>
                </c:pt>
                <c:pt idx="1030">
                  <c:v>2.39</c:v>
                </c:pt>
                <c:pt idx="1031">
                  <c:v>2.39</c:v>
                </c:pt>
                <c:pt idx="1032">
                  <c:v>2.38</c:v>
                </c:pt>
                <c:pt idx="1033">
                  <c:v>2.4</c:v>
                </c:pt>
                <c:pt idx="1034">
                  <c:v>2.5099999999999998</c:v>
                </c:pt>
                <c:pt idx="1035">
                  <c:v>2.5</c:v>
                </c:pt>
                <c:pt idx="1036">
                  <c:v>2.54</c:v>
                </c:pt>
                <c:pt idx="1037">
                  <c:v>2.54</c:v>
                </c:pt>
                <c:pt idx="1038">
                  <c:v>2.54</c:v>
                </c:pt>
                <c:pt idx="1039">
                  <c:v>2.54</c:v>
                </c:pt>
                <c:pt idx="1040">
                  <c:v>2.62</c:v>
                </c:pt>
                <c:pt idx="1041">
                  <c:v>2.63</c:v>
                </c:pt>
                <c:pt idx="1042">
                  <c:v>2.63</c:v>
                </c:pt>
                <c:pt idx="1043">
                  <c:v>2.63</c:v>
                </c:pt>
                <c:pt idx="1044">
                  <c:v>2.5299999999999998</c:v>
                </c:pt>
                <c:pt idx="1045">
                  <c:v>2.58</c:v>
                </c:pt>
                <c:pt idx="1046">
                  <c:v>2.58</c:v>
                </c:pt>
                <c:pt idx="1047">
                  <c:v>2.64</c:v>
                </c:pt>
                <c:pt idx="1048">
                  <c:v>2.66</c:v>
                </c:pt>
                <c:pt idx="1049">
                  <c:v>2.62</c:v>
                </c:pt>
                <c:pt idx="1050">
                  <c:v>2.67</c:v>
                </c:pt>
                <c:pt idx="1051">
                  <c:v>2.71</c:v>
                </c:pt>
                <c:pt idx="1052">
                  <c:v>2.74</c:v>
                </c:pt>
                <c:pt idx="1053">
                  <c:v>2.63</c:v>
                </c:pt>
                <c:pt idx="1054">
                  <c:v>2.63</c:v>
                </c:pt>
                <c:pt idx="1055">
                  <c:v>2.57</c:v>
                </c:pt>
                <c:pt idx="1056">
                  <c:v>2.58</c:v>
                </c:pt>
                <c:pt idx="1057">
                  <c:v>2.57</c:v>
                </c:pt>
                <c:pt idx="1058">
                  <c:v>2.56</c:v>
                </c:pt>
                <c:pt idx="1059">
                  <c:v>2.61</c:v>
                </c:pt>
                <c:pt idx="1060">
                  <c:v>2.64</c:v>
                </c:pt>
                <c:pt idx="1061">
                  <c:v>2.61</c:v>
                </c:pt>
                <c:pt idx="1062">
                  <c:v>2.61</c:v>
                </c:pt>
                <c:pt idx="1063">
                  <c:v>2.59</c:v>
                </c:pt>
                <c:pt idx="1064">
                  <c:v>2.52</c:v>
                </c:pt>
                <c:pt idx="1065">
                  <c:v>2.4900000000000002</c:v>
                </c:pt>
                <c:pt idx="1066">
                  <c:v>2.4300000000000002</c:v>
                </c:pt>
                <c:pt idx="1067">
                  <c:v>2.5</c:v>
                </c:pt>
                <c:pt idx="1068">
                  <c:v>2.46</c:v>
                </c:pt>
                <c:pt idx="1069">
                  <c:v>2.5</c:v>
                </c:pt>
                <c:pt idx="1070">
                  <c:v>2.5299999999999998</c:v>
                </c:pt>
                <c:pt idx="1071">
                  <c:v>2.54</c:v>
                </c:pt>
                <c:pt idx="1072">
                  <c:v>2.59</c:v>
                </c:pt>
                <c:pt idx="1073">
                  <c:v>2.61</c:v>
                </c:pt>
                <c:pt idx="1074">
                  <c:v>2.57</c:v>
                </c:pt>
                <c:pt idx="1075">
                  <c:v>2.58</c:v>
                </c:pt>
                <c:pt idx="1076">
                  <c:v>2.6</c:v>
                </c:pt>
                <c:pt idx="1077">
                  <c:v>2.59</c:v>
                </c:pt>
                <c:pt idx="1078">
                  <c:v>2.62</c:v>
                </c:pt>
                <c:pt idx="1079">
                  <c:v>2.62</c:v>
                </c:pt>
                <c:pt idx="1080">
                  <c:v>2.58</c:v>
                </c:pt>
                <c:pt idx="1081">
                  <c:v>2.58</c:v>
                </c:pt>
                <c:pt idx="1082">
                  <c:v>2.57</c:v>
                </c:pt>
                <c:pt idx="1083">
                  <c:v>2.5499999999999998</c:v>
                </c:pt>
                <c:pt idx="1084">
                  <c:v>2.5099999999999998</c:v>
                </c:pt>
                <c:pt idx="1085">
                  <c:v>2.5099999999999998</c:v>
                </c:pt>
                <c:pt idx="1086">
                  <c:v>2.59</c:v>
                </c:pt>
                <c:pt idx="1087">
                  <c:v>2.57</c:v>
                </c:pt>
                <c:pt idx="1088">
                  <c:v>2.74</c:v>
                </c:pt>
                <c:pt idx="1089">
                  <c:v>2.88</c:v>
                </c:pt>
                <c:pt idx="1090">
                  <c:v>2.82</c:v>
                </c:pt>
                <c:pt idx="1091">
                  <c:v>2.84</c:v>
                </c:pt>
                <c:pt idx="1092">
                  <c:v>2.9</c:v>
                </c:pt>
                <c:pt idx="1093">
                  <c:v>2.88</c:v>
                </c:pt>
                <c:pt idx="1094">
                  <c:v>2.89</c:v>
                </c:pt>
                <c:pt idx="1095">
                  <c:v>2.92</c:v>
                </c:pt>
                <c:pt idx="1096">
                  <c:v>2.85</c:v>
                </c:pt>
                <c:pt idx="1097">
                  <c:v>2.87</c:v>
                </c:pt>
                <c:pt idx="1098">
                  <c:v>2.89</c:v>
                </c:pt>
                <c:pt idx="1099">
                  <c:v>2.88</c:v>
                </c:pt>
                <c:pt idx="1100">
                  <c:v>2.9</c:v>
                </c:pt>
                <c:pt idx="1101">
                  <c:v>2.92</c:v>
                </c:pt>
                <c:pt idx="1102">
                  <c:v>2.91</c:v>
                </c:pt>
                <c:pt idx="1103">
                  <c:v>2.93</c:v>
                </c:pt>
                <c:pt idx="1104">
                  <c:v>2.91</c:v>
                </c:pt>
                <c:pt idx="1105">
                  <c:v>2.86</c:v>
                </c:pt>
                <c:pt idx="1106">
                  <c:v>2.84</c:v>
                </c:pt>
                <c:pt idx="1107">
                  <c:v>2.84</c:v>
                </c:pt>
                <c:pt idx="1108">
                  <c:v>2.85</c:v>
                </c:pt>
                <c:pt idx="1109">
                  <c:v>2.79</c:v>
                </c:pt>
                <c:pt idx="1110">
                  <c:v>2.67</c:v>
                </c:pt>
                <c:pt idx="1111">
                  <c:v>2.67</c:v>
                </c:pt>
                <c:pt idx="1112">
                  <c:v>2.68</c:v>
                </c:pt>
                <c:pt idx="1113">
                  <c:v>2.65</c:v>
                </c:pt>
                <c:pt idx="1114">
                  <c:v>2.63</c:v>
                </c:pt>
                <c:pt idx="1115">
                  <c:v>2.54</c:v>
                </c:pt>
                <c:pt idx="1116">
                  <c:v>2.54</c:v>
                </c:pt>
                <c:pt idx="1117">
                  <c:v>2.58</c:v>
                </c:pt>
                <c:pt idx="1118">
                  <c:v>2.57</c:v>
                </c:pt>
                <c:pt idx="1119">
                  <c:v>2.59</c:v>
                </c:pt>
                <c:pt idx="1120">
                  <c:v>2.59</c:v>
                </c:pt>
                <c:pt idx="1121">
                  <c:v>2.59</c:v>
                </c:pt>
                <c:pt idx="1122">
                  <c:v>2.56</c:v>
                </c:pt>
                <c:pt idx="1123">
                  <c:v>2.61</c:v>
                </c:pt>
                <c:pt idx="1124">
                  <c:v>2.57</c:v>
                </c:pt>
                <c:pt idx="1125">
                  <c:v>2.58</c:v>
                </c:pt>
                <c:pt idx="1126">
                  <c:v>2.61</c:v>
                </c:pt>
                <c:pt idx="1127">
                  <c:v>2.6</c:v>
                </c:pt>
                <c:pt idx="1128">
                  <c:v>2.57</c:v>
                </c:pt>
                <c:pt idx="1129">
                  <c:v>2.57</c:v>
                </c:pt>
                <c:pt idx="1130">
                  <c:v>2.62</c:v>
                </c:pt>
                <c:pt idx="1131">
                  <c:v>2.62</c:v>
                </c:pt>
                <c:pt idx="1132">
                  <c:v>2.64</c:v>
                </c:pt>
                <c:pt idx="1133">
                  <c:v>2.57</c:v>
                </c:pt>
                <c:pt idx="1134">
                  <c:v>2.57</c:v>
                </c:pt>
                <c:pt idx="1135">
                  <c:v>2.58</c:v>
                </c:pt>
                <c:pt idx="1136">
                  <c:v>2.66</c:v>
                </c:pt>
                <c:pt idx="1137">
                  <c:v>2.69</c:v>
                </c:pt>
                <c:pt idx="1138">
                  <c:v>2.68</c:v>
                </c:pt>
                <c:pt idx="1139">
                  <c:v>2.64</c:v>
                </c:pt>
                <c:pt idx="1140">
                  <c:v>2.6</c:v>
                </c:pt>
                <c:pt idx="1141">
                  <c:v>2.61</c:v>
                </c:pt>
                <c:pt idx="1142">
                  <c:v>2.64</c:v>
                </c:pt>
                <c:pt idx="1143">
                  <c:v>2.66</c:v>
                </c:pt>
                <c:pt idx="1144">
                  <c:v>2.71</c:v>
                </c:pt>
                <c:pt idx="1145">
                  <c:v>2.64</c:v>
                </c:pt>
                <c:pt idx="1146">
                  <c:v>2.64</c:v>
                </c:pt>
                <c:pt idx="1147">
                  <c:v>2.6</c:v>
                </c:pt>
                <c:pt idx="1148">
                  <c:v>2.61</c:v>
                </c:pt>
                <c:pt idx="1149">
                  <c:v>2.61</c:v>
                </c:pt>
                <c:pt idx="1150">
                  <c:v>2.58</c:v>
                </c:pt>
                <c:pt idx="1151">
                  <c:v>2.57</c:v>
                </c:pt>
                <c:pt idx="1152">
                  <c:v>2.54</c:v>
                </c:pt>
                <c:pt idx="1153">
                  <c:v>2.57</c:v>
                </c:pt>
                <c:pt idx="1154">
                  <c:v>2.5499999999999998</c:v>
                </c:pt>
                <c:pt idx="1155">
                  <c:v>2.5499999999999998</c:v>
                </c:pt>
                <c:pt idx="1156">
                  <c:v>2.62</c:v>
                </c:pt>
                <c:pt idx="1157">
                  <c:v>2.57</c:v>
                </c:pt>
                <c:pt idx="1158">
                  <c:v>2.59</c:v>
                </c:pt>
                <c:pt idx="1159">
                  <c:v>2.57</c:v>
                </c:pt>
                <c:pt idx="1160">
                  <c:v>2.56</c:v>
                </c:pt>
                <c:pt idx="1161">
                  <c:v>2.58</c:v>
                </c:pt>
                <c:pt idx="1162">
                  <c:v>2.59</c:v>
                </c:pt>
                <c:pt idx="1163">
                  <c:v>2.54</c:v>
                </c:pt>
                <c:pt idx="1164">
                  <c:v>2.5499999999999998</c:v>
                </c:pt>
                <c:pt idx="1165">
                  <c:v>2.5499999999999998</c:v>
                </c:pt>
                <c:pt idx="1166">
                  <c:v>2.52</c:v>
                </c:pt>
                <c:pt idx="1167">
                  <c:v>2.54</c:v>
                </c:pt>
                <c:pt idx="1168">
                  <c:v>2.56</c:v>
                </c:pt>
                <c:pt idx="1169">
                  <c:v>2.5299999999999998</c:v>
                </c:pt>
                <c:pt idx="1170">
                  <c:v>2.5099999999999998</c:v>
                </c:pt>
                <c:pt idx="1171">
                  <c:v>2.5</c:v>
                </c:pt>
                <c:pt idx="1172">
                  <c:v>2.4700000000000002</c:v>
                </c:pt>
                <c:pt idx="1173">
                  <c:v>2.5</c:v>
                </c:pt>
                <c:pt idx="1174">
                  <c:v>2.4900000000000002</c:v>
                </c:pt>
                <c:pt idx="1175">
                  <c:v>2.4900000000000002</c:v>
                </c:pt>
                <c:pt idx="1176">
                  <c:v>2.56</c:v>
                </c:pt>
                <c:pt idx="1177">
                  <c:v>2.59</c:v>
                </c:pt>
                <c:pt idx="1178">
                  <c:v>2.57</c:v>
                </c:pt>
                <c:pt idx="1179">
                  <c:v>2.6</c:v>
                </c:pt>
                <c:pt idx="1180">
                  <c:v>2.62</c:v>
                </c:pt>
                <c:pt idx="1181">
                  <c:v>2.61</c:v>
                </c:pt>
                <c:pt idx="1182">
                  <c:v>2.59</c:v>
                </c:pt>
                <c:pt idx="1183">
                  <c:v>2.6</c:v>
                </c:pt>
                <c:pt idx="1184">
                  <c:v>2.62</c:v>
                </c:pt>
                <c:pt idx="1185">
                  <c:v>2.68</c:v>
                </c:pt>
                <c:pt idx="1186">
                  <c:v>2.64</c:v>
                </c:pt>
                <c:pt idx="1187">
                  <c:v>2.64</c:v>
                </c:pt>
                <c:pt idx="1188">
                  <c:v>2.63</c:v>
                </c:pt>
                <c:pt idx="1189">
                  <c:v>2.68</c:v>
                </c:pt>
                <c:pt idx="1190">
                  <c:v>2.71</c:v>
                </c:pt>
                <c:pt idx="1191">
                  <c:v>2.68</c:v>
                </c:pt>
                <c:pt idx="1192">
                  <c:v>2.7</c:v>
                </c:pt>
                <c:pt idx="1193">
                  <c:v>2.72</c:v>
                </c:pt>
                <c:pt idx="1194">
                  <c:v>2.71</c:v>
                </c:pt>
                <c:pt idx="1195">
                  <c:v>2.66</c:v>
                </c:pt>
                <c:pt idx="1196">
                  <c:v>2.65</c:v>
                </c:pt>
                <c:pt idx="1197">
                  <c:v>2.63</c:v>
                </c:pt>
                <c:pt idx="1198">
                  <c:v>2.64</c:v>
                </c:pt>
                <c:pt idx="1199">
                  <c:v>2.64</c:v>
                </c:pt>
                <c:pt idx="1200">
                  <c:v>2.67</c:v>
                </c:pt>
                <c:pt idx="1201">
                  <c:v>2.65</c:v>
                </c:pt>
                <c:pt idx="1202">
                  <c:v>2.7</c:v>
                </c:pt>
                <c:pt idx="1203">
                  <c:v>2.66</c:v>
                </c:pt>
                <c:pt idx="1204">
                  <c:v>2.67</c:v>
                </c:pt>
                <c:pt idx="1205">
                  <c:v>2.72</c:v>
                </c:pt>
                <c:pt idx="1206">
                  <c:v>2.71</c:v>
                </c:pt>
                <c:pt idx="1207">
                  <c:v>2.69</c:v>
                </c:pt>
                <c:pt idx="1208">
                  <c:v>2.69</c:v>
                </c:pt>
                <c:pt idx="1209">
                  <c:v>2.73</c:v>
                </c:pt>
                <c:pt idx="1210">
                  <c:v>2.71</c:v>
                </c:pt>
                <c:pt idx="1211">
                  <c:v>2.76</c:v>
                </c:pt>
                <c:pt idx="1212">
                  <c:v>2.75</c:v>
                </c:pt>
                <c:pt idx="1213">
                  <c:v>2.8</c:v>
                </c:pt>
                <c:pt idx="1214">
                  <c:v>2.81</c:v>
                </c:pt>
                <c:pt idx="1215">
                  <c:v>2.8</c:v>
                </c:pt>
                <c:pt idx="1216">
                  <c:v>2.8</c:v>
                </c:pt>
                <c:pt idx="1217">
                  <c:v>2.83</c:v>
                </c:pt>
                <c:pt idx="1218">
                  <c:v>2.84</c:v>
                </c:pt>
                <c:pt idx="1219">
                  <c:v>2.81</c:v>
                </c:pt>
                <c:pt idx="1220">
                  <c:v>2.78</c:v>
                </c:pt>
                <c:pt idx="1221">
                  <c:v>2.74</c:v>
                </c:pt>
                <c:pt idx="1222">
                  <c:v>2.76</c:v>
                </c:pt>
                <c:pt idx="1223">
                  <c:v>2.75</c:v>
                </c:pt>
                <c:pt idx="1224">
                  <c:v>2.77</c:v>
                </c:pt>
                <c:pt idx="1225">
                  <c:v>2.8</c:v>
                </c:pt>
                <c:pt idx="1226">
                  <c:v>2.8</c:v>
                </c:pt>
                <c:pt idx="1227">
                  <c:v>2.8</c:v>
                </c:pt>
                <c:pt idx="1228">
                  <c:v>2.77</c:v>
                </c:pt>
                <c:pt idx="1229">
                  <c:v>2.83</c:v>
                </c:pt>
                <c:pt idx="1230">
                  <c:v>2.89</c:v>
                </c:pt>
                <c:pt idx="1231">
                  <c:v>2.91</c:v>
                </c:pt>
                <c:pt idx="1232">
                  <c:v>2.93</c:v>
                </c:pt>
                <c:pt idx="1233">
                  <c:v>2.93</c:v>
                </c:pt>
                <c:pt idx="1234">
                  <c:v>2.95</c:v>
                </c:pt>
                <c:pt idx="1235">
                  <c:v>2.95</c:v>
                </c:pt>
                <c:pt idx="1236">
                  <c:v>2.91</c:v>
                </c:pt>
                <c:pt idx="1237">
                  <c:v>2.91</c:v>
                </c:pt>
                <c:pt idx="1238">
                  <c:v>2.9</c:v>
                </c:pt>
                <c:pt idx="1239">
                  <c:v>2.93</c:v>
                </c:pt>
                <c:pt idx="1240">
                  <c:v>2.94</c:v>
                </c:pt>
                <c:pt idx="1241">
                  <c:v>2.95</c:v>
                </c:pt>
                <c:pt idx="1242">
                  <c:v>2.97</c:v>
                </c:pt>
                <c:pt idx="1243">
                  <c:v>2.92</c:v>
                </c:pt>
                <c:pt idx="1244">
                  <c:v>2.93</c:v>
                </c:pt>
                <c:pt idx="1245">
                  <c:v>2.9</c:v>
                </c:pt>
                <c:pt idx="1246">
                  <c:v>2.86</c:v>
                </c:pt>
                <c:pt idx="1247">
                  <c:v>2.81</c:v>
                </c:pt>
                <c:pt idx="1248">
                  <c:v>2.79</c:v>
                </c:pt>
                <c:pt idx="1249">
                  <c:v>2.79</c:v>
                </c:pt>
                <c:pt idx="1250">
                  <c:v>2.78</c:v>
                </c:pt>
                <c:pt idx="1251">
                  <c:v>2.79</c:v>
                </c:pt>
                <c:pt idx="1252">
                  <c:v>2.77</c:v>
                </c:pt>
                <c:pt idx="1253">
                  <c:v>2.74</c:v>
                </c:pt>
                <c:pt idx="1254">
                  <c:v>2.75</c:v>
                </c:pt>
                <c:pt idx="1255">
                  <c:v>2.79</c:v>
                </c:pt>
                <c:pt idx="1256">
                  <c:v>2.78</c:v>
                </c:pt>
                <c:pt idx="1257">
                  <c:v>2.77</c:v>
                </c:pt>
                <c:pt idx="1258">
                  <c:v>2.77</c:v>
                </c:pt>
                <c:pt idx="1259">
                  <c:v>2.8</c:v>
                </c:pt>
                <c:pt idx="1260">
                  <c:v>2.82</c:v>
                </c:pt>
                <c:pt idx="1261">
                  <c:v>2.84</c:v>
                </c:pt>
                <c:pt idx="1262">
                  <c:v>2.83</c:v>
                </c:pt>
                <c:pt idx="1263">
                  <c:v>2.84</c:v>
                </c:pt>
                <c:pt idx="1264">
                  <c:v>2.86</c:v>
                </c:pt>
                <c:pt idx="1265">
                  <c:v>2.88</c:v>
                </c:pt>
                <c:pt idx="1266">
                  <c:v>2.88</c:v>
                </c:pt>
                <c:pt idx="1267">
                  <c:v>2.89</c:v>
                </c:pt>
                <c:pt idx="1268">
                  <c:v>2.9</c:v>
                </c:pt>
                <c:pt idx="1269">
                  <c:v>2.94</c:v>
                </c:pt>
                <c:pt idx="1270">
                  <c:v>2.96</c:v>
                </c:pt>
                <c:pt idx="1271">
                  <c:v>2.96</c:v>
                </c:pt>
                <c:pt idx="1272">
                  <c:v>2.93</c:v>
                </c:pt>
                <c:pt idx="1273">
                  <c:v>2.92</c:v>
                </c:pt>
                <c:pt idx="1274">
                  <c:v>2.96</c:v>
                </c:pt>
                <c:pt idx="1275">
                  <c:v>2.92</c:v>
                </c:pt>
                <c:pt idx="1276">
                  <c:v>2.92</c:v>
                </c:pt>
                <c:pt idx="1277">
                  <c:v>2.9</c:v>
                </c:pt>
                <c:pt idx="1278">
                  <c:v>2.93</c:v>
                </c:pt>
                <c:pt idx="1279">
                  <c:v>2.94</c:v>
                </c:pt>
                <c:pt idx="1280">
                  <c:v>2.97</c:v>
                </c:pt>
                <c:pt idx="1281">
                  <c:v>3.05</c:v>
                </c:pt>
                <c:pt idx="1282">
                  <c:v>3.05</c:v>
                </c:pt>
                <c:pt idx="1283">
                  <c:v>3.06</c:v>
                </c:pt>
                <c:pt idx="1284">
                  <c:v>3.06</c:v>
                </c:pt>
                <c:pt idx="1285">
                  <c:v>3.09</c:v>
                </c:pt>
                <c:pt idx="1286">
                  <c:v>3.11</c:v>
                </c:pt>
                <c:pt idx="1287">
                  <c:v>3.1</c:v>
                </c:pt>
                <c:pt idx="1288">
                  <c:v>3.12</c:v>
                </c:pt>
                <c:pt idx="1289">
                  <c:v>3.09</c:v>
                </c:pt>
                <c:pt idx="1290">
                  <c:v>3.1</c:v>
                </c:pt>
                <c:pt idx="1291">
                  <c:v>3.07</c:v>
                </c:pt>
                <c:pt idx="1292">
                  <c:v>3.06</c:v>
                </c:pt>
                <c:pt idx="1293">
                  <c:v>3.06</c:v>
                </c:pt>
                <c:pt idx="1294">
                  <c:v>3.05</c:v>
                </c:pt>
                <c:pt idx="1295">
                  <c:v>3.08</c:v>
                </c:pt>
                <c:pt idx="1296">
                  <c:v>3.08</c:v>
                </c:pt>
                <c:pt idx="1297">
                  <c:v>3.04</c:v>
                </c:pt>
                <c:pt idx="1298">
                  <c:v>3.04</c:v>
                </c:pt>
                <c:pt idx="1299">
                  <c:v>3.04</c:v>
                </c:pt>
                <c:pt idx="1300">
                  <c:v>3.04</c:v>
                </c:pt>
                <c:pt idx="1301">
                  <c:v>3</c:v>
                </c:pt>
                <c:pt idx="1302">
                  <c:v>3</c:v>
                </c:pt>
                <c:pt idx="1303">
                  <c:v>3</c:v>
                </c:pt>
              </c:numCache>
            </c:numRef>
          </c:val>
          <c:smooth val="0"/>
          <c:extLst>
            <c:ext xmlns:c16="http://schemas.microsoft.com/office/drawing/2014/chart" uri="{C3380CC4-5D6E-409C-BE32-E72D297353CC}">
              <c16:uniqueId val="{0000000B-2451-445B-BF3E-7C25A3310044}"/>
            </c:ext>
          </c:extLst>
        </c:ser>
        <c:ser>
          <c:idx val="1"/>
          <c:order val="1"/>
          <c:tx>
            <c:strRef>
              <c:f>Statsformat!$C$8</c:f>
              <c:strCache>
                <c:ptCount val="1"/>
                <c:pt idx="0">
                  <c:v>Statsobligation 10 år</c:v>
                </c:pt>
              </c:strCache>
            </c:strRef>
          </c:tx>
          <c:spPr>
            <a:ln w="25400">
              <a:solidFill>
                <a:srgbClr val="000000"/>
              </a:solidFill>
              <a:prstDash val="solid"/>
            </a:ln>
          </c:spPr>
          <c:marker>
            <c:symbol val="none"/>
          </c:marker>
          <c:cat>
            <c:numRef>
              <c:f>Statsformat!$A$2618:$A$3921</c:f>
              <c:numCache>
                <c:formatCode>m/d/yyyy</c:formatCode>
                <c:ptCount val="1304"/>
                <c:pt idx="0">
                  <c:v>44197</c:v>
                </c:pt>
                <c:pt idx="1">
                  <c:v>44200</c:v>
                </c:pt>
                <c:pt idx="2">
                  <c:v>44201</c:v>
                </c:pt>
                <c:pt idx="3">
                  <c:v>44202</c:v>
                </c:pt>
                <c:pt idx="4">
                  <c:v>44203</c:v>
                </c:pt>
                <c:pt idx="5">
                  <c:v>44204</c:v>
                </c:pt>
                <c:pt idx="6">
                  <c:v>44207</c:v>
                </c:pt>
                <c:pt idx="7">
                  <c:v>44208</c:v>
                </c:pt>
                <c:pt idx="8">
                  <c:v>44209</c:v>
                </c:pt>
                <c:pt idx="9">
                  <c:v>44210</c:v>
                </c:pt>
                <c:pt idx="10">
                  <c:v>44211</c:v>
                </c:pt>
                <c:pt idx="11">
                  <c:v>44214</c:v>
                </c:pt>
                <c:pt idx="12">
                  <c:v>44215</c:v>
                </c:pt>
                <c:pt idx="13">
                  <c:v>44216</c:v>
                </c:pt>
                <c:pt idx="14">
                  <c:v>44217</c:v>
                </c:pt>
                <c:pt idx="15">
                  <c:v>44218</c:v>
                </c:pt>
                <c:pt idx="16">
                  <c:v>44221</c:v>
                </c:pt>
                <c:pt idx="17">
                  <c:v>44222</c:v>
                </c:pt>
                <c:pt idx="18">
                  <c:v>44223</c:v>
                </c:pt>
                <c:pt idx="19">
                  <c:v>44224</c:v>
                </c:pt>
                <c:pt idx="20">
                  <c:v>44225</c:v>
                </c:pt>
                <c:pt idx="21">
                  <c:v>44228</c:v>
                </c:pt>
                <c:pt idx="22">
                  <c:v>44229</c:v>
                </c:pt>
                <c:pt idx="23">
                  <c:v>44230</c:v>
                </c:pt>
                <c:pt idx="24">
                  <c:v>44231</c:v>
                </c:pt>
                <c:pt idx="25">
                  <c:v>44232</c:v>
                </c:pt>
                <c:pt idx="26">
                  <c:v>44235</c:v>
                </c:pt>
                <c:pt idx="27">
                  <c:v>44236</c:v>
                </c:pt>
                <c:pt idx="28">
                  <c:v>44237</c:v>
                </c:pt>
                <c:pt idx="29">
                  <c:v>44238</c:v>
                </c:pt>
                <c:pt idx="30">
                  <c:v>44239</c:v>
                </c:pt>
                <c:pt idx="31">
                  <c:v>44242</c:v>
                </c:pt>
                <c:pt idx="32">
                  <c:v>44243</c:v>
                </c:pt>
                <c:pt idx="33">
                  <c:v>44244</c:v>
                </c:pt>
                <c:pt idx="34">
                  <c:v>44245</c:v>
                </c:pt>
                <c:pt idx="35">
                  <c:v>44246</c:v>
                </c:pt>
                <c:pt idx="36">
                  <c:v>44249</c:v>
                </c:pt>
                <c:pt idx="37">
                  <c:v>44250</c:v>
                </c:pt>
                <c:pt idx="38">
                  <c:v>44251</c:v>
                </c:pt>
                <c:pt idx="39">
                  <c:v>44252</c:v>
                </c:pt>
                <c:pt idx="40">
                  <c:v>44253</c:v>
                </c:pt>
                <c:pt idx="41">
                  <c:v>44256</c:v>
                </c:pt>
                <c:pt idx="42">
                  <c:v>44257</c:v>
                </c:pt>
                <c:pt idx="43">
                  <c:v>44258</c:v>
                </c:pt>
                <c:pt idx="44">
                  <c:v>44259</c:v>
                </c:pt>
                <c:pt idx="45">
                  <c:v>44260</c:v>
                </c:pt>
                <c:pt idx="46">
                  <c:v>44263</c:v>
                </c:pt>
                <c:pt idx="47">
                  <c:v>44264</c:v>
                </c:pt>
                <c:pt idx="48">
                  <c:v>44265</c:v>
                </c:pt>
                <c:pt idx="49">
                  <c:v>44266</c:v>
                </c:pt>
                <c:pt idx="50">
                  <c:v>44267</c:v>
                </c:pt>
                <c:pt idx="51">
                  <c:v>44270</c:v>
                </c:pt>
                <c:pt idx="52">
                  <c:v>44271</c:v>
                </c:pt>
                <c:pt idx="53">
                  <c:v>44272</c:v>
                </c:pt>
                <c:pt idx="54">
                  <c:v>44273</c:v>
                </c:pt>
                <c:pt idx="55">
                  <c:v>44274</c:v>
                </c:pt>
                <c:pt idx="56">
                  <c:v>44277</c:v>
                </c:pt>
                <c:pt idx="57">
                  <c:v>44278</c:v>
                </c:pt>
                <c:pt idx="58">
                  <c:v>44279</c:v>
                </c:pt>
                <c:pt idx="59">
                  <c:v>44280</c:v>
                </c:pt>
                <c:pt idx="60">
                  <c:v>44281</c:v>
                </c:pt>
                <c:pt idx="61">
                  <c:v>44284</c:v>
                </c:pt>
                <c:pt idx="62">
                  <c:v>44285</c:v>
                </c:pt>
                <c:pt idx="63">
                  <c:v>44286</c:v>
                </c:pt>
                <c:pt idx="64">
                  <c:v>44287</c:v>
                </c:pt>
                <c:pt idx="65">
                  <c:v>44288</c:v>
                </c:pt>
                <c:pt idx="66">
                  <c:v>44291</c:v>
                </c:pt>
                <c:pt idx="67">
                  <c:v>44292</c:v>
                </c:pt>
                <c:pt idx="68">
                  <c:v>44293</c:v>
                </c:pt>
                <c:pt idx="69">
                  <c:v>44294</c:v>
                </c:pt>
                <c:pt idx="70">
                  <c:v>44295</c:v>
                </c:pt>
                <c:pt idx="71">
                  <c:v>44298</c:v>
                </c:pt>
                <c:pt idx="72">
                  <c:v>44299</c:v>
                </c:pt>
                <c:pt idx="73">
                  <c:v>44300</c:v>
                </c:pt>
                <c:pt idx="74">
                  <c:v>44301</c:v>
                </c:pt>
                <c:pt idx="75">
                  <c:v>44302</c:v>
                </c:pt>
                <c:pt idx="76">
                  <c:v>44305</c:v>
                </c:pt>
                <c:pt idx="77">
                  <c:v>44306</c:v>
                </c:pt>
                <c:pt idx="78">
                  <c:v>44307</c:v>
                </c:pt>
                <c:pt idx="79">
                  <c:v>44308</c:v>
                </c:pt>
                <c:pt idx="80">
                  <c:v>44309</c:v>
                </c:pt>
                <c:pt idx="81">
                  <c:v>44312</c:v>
                </c:pt>
                <c:pt idx="82">
                  <c:v>44313</c:v>
                </c:pt>
                <c:pt idx="83">
                  <c:v>44314</c:v>
                </c:pt>
                <c:pt idx="84">
                  <c:v>44315</c:v>
                </c:pt>
                <c:pt idx="85">
                  <c:v>44316</c:v>
                </c:pt>
                <c:pt idx="86">
                  <c:v>44319</c:v>
                </c:pt>
                <c:pt idx="87">
                  <c:v>44320</c:v>
                </c:pt>
                <c:pt idx="88">
                  <c:v>44321</c:v>
                </c:pt>
                <c:pt idx="89">
                  <c:v>44322</c:v>
                </c:pt>
                <c:pt idx="90">
                  <c:v>44323</c:v>
                </c:pt>
                <c:pt idx="91">
                  <c:v>44326</c:v>
                </c:pt>
                <c:pt idx="92">
                  <c:v>44327</c:v>
                </c:pt>
                <c:pt idx="93">
                  <c:v>44328</c:v>
                </c:pt>
                <c:pt idx="94">
                  <c:v>44329</c:v>
                </c:pt>
                <c:pt idx="95">
                  <c:v>44330</c:v>
                </c:pt>
                <c:pt idx="96">
                  <c:v>44333</c:v>
                </c:pt>
                <c:pt idx="97">
                  <c:v>44334</c:v>
                </c:pt>
                <c:pt idx="98">
                  <c:v>44335</c:v>
                </c:pt>
                <c:pt idx="99">
                  <c:v>44336</c:v>
                </c:pt>
                <c:pt idx="100">
                  <c:v>44337</c:v>
                </c:pt>
                <c:pt idx="101">
                  <c:v>44340</c:v>
                </c:pt>
                <c:pt idx="102">
                  <c:v>44341</c:v>
                </c:pt>
                <c:pt idx="103">
                  <c:v>44342</c:v>
                </c:pt>
                <c:pt idx="104">
                  <c:v>44343</c:v>
                </c:pt>
                <c:pt idx="105">
                  <c:v>44344</c:v>
                </c:pt>
                <c:pt idx="106">
                  <c:v>44347</c:v>
                </c:pt>
                <c:pt idx="107">
                  <c:v>44348</c:v>
                </c:pt>
                <c:pt idx="108">
                  <c:v>44349</c:v>
                </c:pt>
                <c:pt idx="109">
                  <c:v>44350</c:v>
                </c:pt>
                <c:pt idx="110">
                  <c:v>44351</c:v>
                </c:pt>
                <c:pt idx="111">
                  <c:v>44354</c:v>
                </c:pt>
                <c:pt idx="112">
                  <c:v>44355</c:v>
                </c:pt>
                <c:pt idx="113">
                  <c:v>44356</c:v>
                </c:pt>
                <c:pt idx="114">
                  <c:v>44357</c:v>
                </c:pt>
                <c:pt idx="115">
                  <c:v>44358</c:v>
                </c:pt>
                <c:pt idx="116">
                  <c:v>44361</c:v>
                </c:pt>
                <c:pt idx="117">
                  <c:v>44362</c:v>
                </c:pt>
                <c:pt idx="118">
                  <c:v>44363</c:v>
                </c:pt>
                <c:pt idx="119">
                  <c:v>44364</c:v>
                </c:pt>
                <c:pt idx="120">
                  <c:v>44365</c:v>
                </c:pt>
                <c:pt idx="121">
                  <c:v>44368</c:v>
                </c:pt>
                <c:pt idx="122">
                  <c:v>44369</c:v>
                </c:pt>
                <c:pt idx="123">
                  <c:v>44370</c:v>
                </c:pt>
                <c:pt idx="124">
                  <c:v>44371</c:v>
                </c:pt>
                <c:pt idx="125">
                  <c:v>44372</c:v>
                </c:pt>
                <c:pt idx="126">
                  <c:v>44375</c:v>
                </c:pt>
                <c:pt idx="127">
                  <c:v>44376</c:v>
                </c:pt>
                <c:pt idx="128">
                  <c:v>44377</c:v>
                </c:pt>
                <c:pt idx="129">
                  <c:v>44378</c:v>
                </c:pt>
                <c:pt idx="130">
                  <c:v>44379</c:v>
                </c:pt>
                <c:pt idx="131">
                  <c:v>44382</c:v>
                </c:pt>
                <c:pt idx="132">
                  <c:v>44383</c:v>
                </c:pt>
                <c:pt idx="133">
                  <c:v>44384</c:v>
                </c:pt>
                <c:pt idx="134">
                  <c:v>44385</c:v>
                </c:pt>
                <c:pt idx="135">
                  <c:v>44386</c:v>
                </c:pt>
                <c:pt idx="136">
                  <c:v>44389</c:v>
                </c:pt>
                <c:pt idx="137">
                  <c:v>44390</c:v>
                </c:pt>
                <c:pt idx="138">
                  <c:v>44391</c:v>
                </c:pt>
                <c:pt idx="139">
                  <c:v>44392</c:v>
                </c:pt>
                <c:pt idx="140">
                  <c:v>44393</c:v>
                </c:pt>
                <c:pt idx="141">
                  <c:v>44396</c:v>
                </c:pt>
                <c:pt idx="142">
                  <c:v>44397</c:v>
                </c:pt>
                <c:pt idx="143">
                  <c:v>44398</c:v>
                </c:pt>
                <c:pt idx="144">
                  <c:v>44399</c:v>
                </c:pt>
                <c:pt idx="145">
                  <c:v>44400</c:v>
                </c:pt>
                <c:pt idx="146">
                  <c:v>44403</c:v>
                </c:pt>
                <c:pt idx="147">
                  <c:v>44404</c:v>
                </c:pt>
                <c:pt idx="148">
                  <c:v>44405</c:v>
                </c:pt>
                <c:pt idx="149">
                  <c:v>44406</c:v>
                </c:pt>
                <c:pt idx="150">
                  <c:v>44407</c:v>
                </c:pt>
                <c:pt idx="151">
                  <c:v>44410</c:v>
                </c:pt>
                <c:pt idx="152">
                  <c:v>44411</c:v>
                </c:pt>
                <c:pt idx="153">
                  <c:v>44412</c:v>
                </c:pt>
                <c:pt idx="154">
                  <c:v>44413</c:v>
                </c:pt>
                <c:pt idx="155">
                  <c:v>44414</c:v>
                </c:pt>
                <c:pt idx="156">
                  <c:v>44417</c:v>
                </c:pt>
                <c:pt idx="157">
                  <c:v>44418</c:v>
                </c:pt>
                <c:pt idx="158">
                  <c:v>44419</c:v>
                </c:pt>
                <c:pt idx="159">
                  <c:v>44420</c:v>
                </c:pt>
                <c:pt idx="160">
                  <c:v>44421</c:v>
                </c:pt>
                <c:pt idx="161">
                  <c:v>44424</c:v>
                </c:pt>
                <c:pt idx="162">
                  <c:v>44425</c:v>
                </c:pt>
                <c:pt idx="163">
                  <c:v>44426</c:v>
                </c:pt>
                <c:pt idx="164">
                  <c:v>44427</c:v>
                </c:pt>
                <c:pt idx="165">
                  <c:v>44428</c:v>
                </c:pt>
                <c:pt idx="166">
                  <c:v>44431</c:v>
                </c:pt>
                <c:pt idx="167">
                  <c:v>44432</c:v>
                </c:pt>
                <c:pt idx="168">
                  <c:v>44433</c:v>
                </c:pt>
                <c:pt idx="169">
                  <c:v>44434</c:v>
                </c:pt>
                <c:pt idx="170">
                  <c:v>44435</c:v>
                </c:pt>
                <c:pt idx="171">
                  <c:v>44438</c:v>
                </c:pt>
                <c:pt idx="172">
                  <c:v>44439</c:v>
                </c:pt>
                <c:pt idx="173">
                  <c:v>44440</c:v>
                </c:pt>
                <c:pt idx="174">
                  <c:v>44441</c:v>
                </c:pt>
                <c:pt idx="175">
                  <c:v>44442</c:v>
                </c:pt>
                <c:pt idx="176">
                  <c:v>44445</c:v>
                </c:pt>
                <c:pt idx="177">
                  <c:v>44446</c:v>
                </c:pt>
                <c:pt idx="178">
                  <c:v>44447</c:v>
                </c:pt>
                <c:pt idx="179">
                  <c:v>44448</c:v>
                </c:pt>
                <c:pt idx="180">
                  <c:v>44449</c:v>
                </c:pt>
                <c:pt idx="181">
                  <c:v>44452</c:v>
                </c:pt>
                <c:pt idx="182">
                  <c:v>44453</c:v>
                </c:pt>
                <c:pt idx="183">
                  <c:v>44454</c:v>
                </c:pt>
                <c:pt idx="184">
                  <c:v>44455</c:v>
                </c:pt>
                <c:pt idx="185">
                  <c:v>44456</c:v>
                </c:pt>
                <c:pt idx="186">
                  <c:v>44459</c:v>
                </c:pt>
                <c:pt idx="187">
                  <c:v>44460</c:v>
                </c:pt>
                <c:pt idx="188">
                  <c:v>44461</c:v>
                </c:pt>
                <c:pt idx="189">
                  <c:v>44462</c:v>
                </c:pt>
                <c:pt idx="190">
                  <c:v>44463</c:v>
                </c:pt>
                <c:pt idx="191">
                  <c:v>44466</c:v>
                </c:pt>
                <c:pt idx="192">
                  <c:v>44467</c:v>
                </c:pt>
                <c:pt idx="193">
                  <c:v>44468</c:v>
                </c:pt>
                <c:pt idx="194">
                  <c:v>44469</c:v>
                </c:pt>
                <c:pt idx="195">
                  <c:v>44470</c:v>
                </c:pt>
                <c:pt idx="196">
                  <c:v>44473</c:v>
                </c:pt>
                <c:pt idx="197">
                  <c:v>44474</c:v>
                </c:pt>
                <c:pt idx="198">
                  <c:v>44475</c:v>
                </c:pt>
                <c:pt idx="199">
                  <c:v>44476</c:v>
                </c:pt>
                <c:pt idx="200">
                  <c:v>44477</c:v>
                </c:pt>
                <c:pt idx="201">
                  <c:v>44480</c:v>
                </c:pt>
                <c:pt idx="202">
                  <c:v>44481</c:v>
                </c:pt>
                <c:pt idx="203">
                  <c:v>44482</c:v>
                </c:pt>
                <c:pt idx="204">
                  <c:v>44483</c:v>
                </c:pt>
                <c:pt idx="205">
                  <c:v>44484</c:v>
                </c:pt>
                <c:pt idx="206">
                  <c:v>44487</c:v>
                </c:pt>
                <c:pt idx="207">
                  <c:v>44488</c:v>
                </c:pt>
                <c:pt idx="208">
                  <c:v>44489</c:v>
                </c:pt>
                <c:pt idx="209">
                  <c:v>44490</c:v>
                </c:pt>
                <c:pt idx="210">
                  <c:v>44491</c:v>
                </c:pt>
                <c:pt idx="211">
                  <c:v>44494</c:v>
                </c:pt>
                <c:pt idx="212">
                  <c:v>44495</c:v>
                </c:pt>
                <c:pt idx="213">
                  <c:v>44496</c:v>
                </c:pt>
                <c:pt idx="214">
                  <c:v>44497</c:v>
                </c:pt>
                <c:pt idx="215">
                  <c:v>44498</c:v>
                </c:pt>
                <c:pt idx="216">
                  <c:v>44501</c:v>
                </c:pt>
                <c:pt idx="217">
                  <c:v>44502</c:v>
                </c:pt>
                <c:pt idx="218">
                  <c:v>44503</c:v>
                </c:pt>
                <c:pt idx="219">
                  <c:v>44504</c:v>
                </c:pt>
                <c:pt idx="220">
                  <c:v>44505</c:v>
                </c:pt>
                <c:pt idx="221">
                  <c:v>44508</c:v>
                </c:pt>
                <c:pt idx="222">
                  <c:v>44509</c:v>
                </c:pt>
                <c:pt idx="223">
                  <c:v>44510</c:v>
                </c:pt>
                <c:pt idx="224">
                  <c:v>44511</c:v>
                </c:pt>
                <c:pt idx="225">
                  <c:v>44512</c:v>
                </c:pt>
                <c:pt idx="226">
                  <c:v>44515</c:v>
                </c:pt>
                <c:pt idx="227">
                  <c:v>44516</c:v>
                </c:pt>
                <c:pt idx="228">
                  <c:v>44517</c:v>
                </c:pt>
                <c:pt idx="229">
                  <c:v>44518</c:v>
                </c:pt>
                <c:pt idx="230">
                  <c:v>44519</c:v>
                </c:pt>
                <c:pt idx="231">
                  <c:v>44522</c:v>
                </c:pt>
                <c:pt idx="232">
                  <c:v>44523</c:v>
                </c:pt>
                <c:pt idx="233">
                  <c:v>44524</c:v>
                </c:pt>
                <c:pt idx="234">
                  <c:v>44525</c:v>
                </c:pt>
                <c:pt idx="235">
                  <c:v>44526</c:v>
                </c:pt>
                <c:pt idx="236">
                  <c:v>44529</c:v>
                </c:pt>
                <c:pt idx="237">
                  <c:v>44530</c:v>
                </c:pt>
                <c:pt idx="238">
                  <c:v>44531</c:v>
                </c:pt>
                <c:pt idx="239">
                  <c:v>44532</c:v>
                </c:pt>
                <c:pt idx="240">
                  <c:v>44533</c:v>
                </c:pt>
                <c:pt idx="241">
                  <c:v>44536</c:v>
                </c:pt>
                <c:pt idx="242">
                  <c:v>44537</c:v>
                </c:pt>
                <c:pt idx="243">
                  <c:v>44538</c:v>
                </c:pt>
                <c:pt idx="244">
                  <c:v>44539</c:v>
                </c:pt>
                <c:pt idx="245">
                  <c:v>44540</c:v>
                </c:pt>
                <c:pt idx="246">
                  <c:v>44543</c:v>
                </c:pt>
                <c:pt idx="247">
                  <c:v>44544</c:v>
                </c:pt>
                <c:pt idx="248">
                  <c:v>44545</c:v>
                </c:pt>
                <c:pt idx="249">
                  <c:v>44546</c:v>
                </c:pt>
                <c:pt idx="250">
                  <c:v>44547</c:v>
                </c:pt>
                <c:pt idx="251">
                  <c:v>44550</c:v>
                </c:pt>
                <c:pt idx="252">
                  <c:v>44551</c:v>
                </c:pt>
                <c:pt idx="253">
                  <c:v>44552</c:v>
                </c:pt>
                <c:pt idx="254">
                  <c:v>44553</c:v>
                </c:pt>
                <c:pt idx="255">
                  <c:v>44554</c:v>
                </c:pt>
                <c:pt idx="256">
                  <c:v>44557</c:v>
                </c:pt>
                <c:pt idx="257">
                  <c:v>44558</c:v>
                </c:pt>
                <c:pt idx="258">
                  <c:v>44559</c:v>
                </c:pt>
                <c:pt idx="259">
                  <c:v>44560</c:v>
                </c:pt>
                <c:pt idx="260">
                  <c:v>44561</c:v>
                </c:pt>
                <c:pt idx="261">
                  <c:v>44564</c:v>
                </c:pt>
                <c:pt idx="262">
                  <c:v>44565</c:v>
                </c:pt>
                <c:pt idx="263">
                  <c:v>44566</c:v>
                </c:pt>
                <c:pt idx="264">
                  <c:v>44567</c:v>
                </c:pt>
                <c:pt idx="265">
                  <c:v>44568</c:v>
                </c:pt>
                <c:pt idx="266">
                  <c:v>44571</c:v>
                </c:pt>
                <c:pt idx="267">
                  <c:v>44572</c:v>
                </c:pt>
                <c:pt idx="268">
                  <c:v>44573</c:v>
                </c:pt>
                <c:pt idx="269">
                  <c:v>44574</c:v>
                </c:pt>
                <c:pt idx="270">
                  <c:v>44575</c:v>
                </c:pt>
                <c:pt idx="271">
                  <c:v>44578</c:v>
                </c:pt>
                <c:pt idx="272">
                  <c:v>44579</c:v>
                </c:pt>
                <c:pt idx="273">
                  <c:v>44580</c:v>
                </c:pt>
                <c:pt idx="274">
                  <c:v>44581</c:v>
                </c:pt>
                <c:pt idx="275">
                  <c:v>44582</c:v>
                </c:pt>
                <c:pt idx="276">
                  <c:v>44585</c:v>
                </c:pt>
                <c:pt idx="277">
                  <c:v>44586</c:v>
                </c:pt>
                <c:pt idx="278">
                  <c:v>44587</c:v>
                </c:pt>
                <c:pt idx="279">
                  <c:v>44588</c:v>
                </c:pt>
                <c:pt idx="280">
                  <c:v>44589</c:v>
                </c:pt>
                <c:pt idx="281">
                  <c:v>44592</c:v>
                </c:pt>
                <c:pt idx="282">
                  <c:v>44593</c:v>
                </c:pt>
                <c:pt idx="283">
                  <c:v>44594</c:v>
                </c:pt>
                <c:pt idx="284">
                  <c:v>44595</c:v>
                </c:pt>
                <c:pt idx="285">
                  <c:v>44596</c:v>
                </c:pt>
                <c:pt idx="286">
                  <c:v>44599</c:v>
                </c:pt>
                <c:pt idx="287">
                  <c:v>44600</c:v>
                </c:pt>
                <c:pt idx="288">
                  <c:v>44601</c:v>
                </c:pt>
                <c:pt idx="289">
                  <c:v>44602</c:v>
                </c:pt>
                <c:pt idx="290">
                  <c:v>44603</c:v>
                </c:pt>
                <c:pt idx="291">
                  <c:v>44606</c:v>
                </c:pt>
                <c:pt idx="292">
                  <c:v>44607</c:v>
                </c:pt>
                <c:pt idx="293">
                  <c:v>44608</c:v>
                </c:pt>
                <c:pt idx="294">
                  <c:v>44609</c:v>
                </c:pt>
                <c:pt idx="295">
                  <c:v>44610</c:v>
                </c:pt>
                <c:pt idx="296">
                  <c:v>44613</c:v>
                </c:pt>
                <c:pt idx="297">
                  <c:v>44614</c:v>
                </c:pt>
                <c:pt idx="298">
                  <c:v>44615</c:v>
                </c:pt>
                <c:pt idx="299">
                  <c:v>44616</c:v>
                </c:pt>
                <c:pt idx="300">
                  <c:v>44617</c:v>
                </c:pt>
                <c:pt idx="301">
                  <c:v>44620</c:v>
                </c:pt>
                <c:pt idx="302">
                  <c:v>44621</c:v>
                </c:pt>
                <c:pt idx="303">
                  <c:v>44622</c:v>
                </c:pt>
                <c:pt idx="304">
                  <c:v>44623</c:v>
                </c:pt>
                <c:pt idx="305">
                  <c:v>44624</c:v>
                </c:pt>
                <c:pt idx="306">
                  <c:v>44627</c:v>
                </c:pt>
                <c:pt idx="307">
                  <c:v>44628</c:v>
                </c:pt>
                <c:pt idx="308">
                  <c:v>44629</c:v>
                </c:pt>
                <c:pt idx="309">
                  <c:v>44630</c:v>
                </c:pt>
                <c:pt idx="310">
                  <c:v>44631</c:v>
                </c:pt>
                <c:pt idx="311">
                  <c:v>44634</c:v>
                </c:pt>
                <c:pt idx="312">
                  <c:v>44635</c:v>
                </c:pt>
                <c:pt idx="313">
                  <c:v>44636</c:v>
                </c:pt>
                <c:pt idx="314">
                  <c:v>44637</c:v>
                </c:pt>
                <c:pt idx="315">
                  <c:v>44638</c:v>
                </c:pt>
                <c:pt idx="316">
                  <c:v>44641</c:v>
                </c:pt>
                <c:pt idx="317">
                  <c:v>44642</c:v>
                </c:pt>
                <c:pt idx="318">
                  <c:v>44643</c:v>
                </c:pt>
                <c:pt idx="319">
                  <c:v>44644</c:v>
                </c:pt>
                <c:pt idx="320">
                  <c:v>44645</c:v>
                </c:pt>
                <c:pt idx="321">
                  <c:v>44648</c:v>
                </c:pt>
                <c:pt idx="322">
                  <c:v>44649</c:v>
                </c:pt>
                <c:pt idx="323">
                  <c:v>44650</c:v>
                </c:pt>
                <c:pt idx="324">
                  <c:v>44651</c:v>
                </c:pt>
                <c:pt idx="325">
                  <c:v>44652</c:v>
                </c:pt>
                <c:pt idx="326">
                  <c:v>44655</c:v>
                </c:pt>
                <c:pt idx="327">
                  <c:v>44656</c:v>
                </c:pt>
                <c:pt idx="328">
                  <c:v>44657</c:v>
                </c:pt>
                <c:pt idx="329">
                  <c:v>44658</c:v>
                </c:pt>
                <c:pt idx="330">
                  <c:v>44659</c:v>
                </c:pt>
                <c:pt idx="331">
                  <c:v>44662</c:v>
                </c:pt>
                <c:pt idx="332">
                  <c:v>44663</c:v>
                </c:pt>
                <c:pt idx="333">
                  <c:v>44664</c:v>
                </c:pt>
                <c:pt idx="334">
                  <c:v>44665</c:v>
                </c:pt>
                <c:pt idx="335">
                  <c:v>44666</c:v>
                </c:pt>
                <c:pt idx="336">
                  <c:v>44669</c:v>
                </c:pt>
                <c:pt idx="337">
                  <c:v>44670</c:v>
                </c:pt>
                <c:pt idx="338">
                  <c:v>44671</c:v>
                </c:pt>
                <c:pt idx="339">
                  <c:v>44672</c:v>
                </c:pt>
                <c:pt idx="340">
                  <c:v>44673</c:v>
                </c:pt>
                <c:pt idx="341">
                  <c:v>44676</c:v>
                </c:pt>
                <c:pt idx="342">
                  <c:v>44677</c:v>
                </c:pt>
                <c:pt idx="343">
                  <c:v>44678</c:v>
                </c:pt>
                <c:pt idx="344">
                  <c:v>44679</c:v>
                </c:pt>
                <c:pt idx="345">
                  <c:v>44680</c:v>
                </c:pt>
                <c:pt idx="346">
                  <c:v>44683</c:v>
                </c:pt>
                <c:pt idx="347">
                  <c:v>44684</c:v>
                </c:pt>
                <c:pt idx="348">
                  <c:v>44685</c:v>
                </c:pt>
                <c:pt idx="349">
                  <c:v>44686</c:v>
                </c:pt>
                <c:pt idx="350">
                  <c:v>44687</c:v>
                </c:pt>
                <c:pt idx="351">
                  <c:v>44690</c:v>
                </c:pt>
                <c:pt idx="352">
                  <c:v>44691</c:v>
                </c:pt>
                <c:pt idx="353">
                  <c:v>44692</c:v>
                </c:pt>
                <c:pt idx="354">
                  <c:v>44693</c:v>
                </c:pt>
                <c:pt idx="355">
                  <c:v>44694</c:v>
                </c:pt>
                <c:pt idx="356">
                  <c:v>44697</c:v>
                </c:pt>
                <c:pt idx="357">
                  <c:v>44698</c:v>
                </c:pt>
                <c:pt idx="358">
                  <c:v>44699</c:v>
                </c:pt>
                <c:pt idx="359">
                  <c:v>44700</c:v>
                </c:pt>
                <c:pt idx="360">
                  <c:v>44701</c:v>
                </c:pt>
                <c:pt idx="361">
                  <c:v>44704</c:v>
                </c:pt>
                <c:pt idx="362">
                  <c:v>44705</c:v>
                </c:pt>
                <c:pt idx="363">
                  <c:v>44706</c:v>
                </c:pt>
                <c:pt idx="364">
                  <c:v>44707</c:v>
                </c:pt>
                <c:pt idx="365">
                  <c:v>44708</c:v>
                </c:pt>
                <c:pt idx="366">
                  <c:v>44711</c:v>
                </c:pt>
                <c:pt idx="367">
                  <c:v>44712</c:v>
                </c:pt>
                <c:pt idx="368">
                  <c:v>44713</c:v>
                </c:pt>
                <c:pt idx="369">
                  <c:v>44714</c:v>
                </c:pt>
                <c:pt idx="370">
                  <c:v>44715</c:v>
                </c:pt>
                <c:pt idx="371">
                  <c:v>44718</c:v>
                </c:pt>
                <c:pt idx="372">
                  <c:v>44719</c:v>
                </c:pt>
                <c:pt idx="373">
                  <c:v>44720</c:v>
                </c:pt>
                <c:pt idx="374">
                  <c:v>44721</c:v>
                </c:pt>
                <c:pt idx="375">
                  <c:v>44722</c:v>
                </c:pt>
                <c:pt idx="376">
                  <c:v>44725</c:v>
                </c:pt>
                <c:pt idx="377">
                  <c:v>44726</c:v>
                </c:pt>
                <c:pt idx="378">
                  <c:v>44727</c:v>
                </c:pt>
                <c:pt idx="379">
                  <c:v>44728</c:v>
                </c:pt>
                <c:pt idx="380">
                  <c:v>44729</c:v>
                </c:pt>
                <c:pt idx="381">
                  <c:v>44732</c:v>
                </c:pt>
                <c:pt idx="382">
                  <c:v>44733</c:v>
                </c:pt>
                <c:pt idx="383">
                  <c:v>44734</c:v>
                </c:pt>
                <c:pt idx="384">
                  <c:v>44735</c:v>
                </c:pt>
                <c:pt idx="385">
                  <c:v>44736</c:v>
                </c:pt>
                <c:pt idx="386">
                  <c:v>44739</c:v>
                </c:pt>
                <c:pt idx="387">
                  <c:v>44740</c:v>
                </c:pt>
                <c:pt idx="388">
                  <c:v>44741</c:v>
                </c:pt>
                <c:pt idx="389">
                  <c:v>44742</c:v>
                </c:pt>
                <c:pt idx="390">
                  <c:v>44743</c:v>
                </c:pt>
                <c:pt idx="391">
                  <c:v>44746</c:v>
                </c:pt>
                <c:pt idx="392">
                  <c:v>44747</c:v>
                </c:pt>
                <c:pt idx="393">
                  <c:v>44748</c:v>
                </c:pt>
                <c:pt idx="394">
                  <c:v>44749</c:v>
                </c:pt>
                <c:pt idx="395">
                  <c:v>44750</c:v>
                </c:pt>
                <c:pt idx="396">
                  <c:v>44753</c:v>
                </c:pt>
                <c:pt idx="397">
                  <c:v>44754</c:v>
                </c:pt>
                <c:pt idx="398">
                  <c:v>44755</c:v>
                </c:pt>
                <c:pt idx="399">
                  <c:v>44756</c:v>
                </c:pt>
                <c:pt idx="400">
                  <c:v>44757</c:v>
                </c:pt>
                <c:pt idx="401">
                  <c:v>44760</c:v>
                </c:pt>
                <c:pt idx="402">
                  <c:v>44761</c:v>
                </c:pt>
                <c:pt idx="403">
                  <c:v>44762</c:v>
                </c:pt>
                <c:pt idx="404">
                  <c:v>44763</c:v>
                </c:pt>
                <c:pt idx="405">
                  <c:v>44764</c:v>
                </c:pt>
                <c:pt idx="406">
                  <c:v>44767</c:v>
                </c:pt>
                <c:pt idx="407">
                  <c:v>44768</c:v>
                </c:pt>
                <c:pt idx="408">
                  <c:v>44769</c:v>
                </c:pt>
                <c:pt idx="409">
                  <c:v>44770</c:v>
                </c:pt>
                <c:pt idx="410">
                  <c:v>44771</c:v>
                </c:pt>
                <c:pt idx="411">
                  <c:v>44774</c:v>
                </c:pt>
                <c:pt idx="412">
                  <c:v>44775</c:v>
                </c:pt>
                <c:pt idx="413">
                  <c:v>44776</c:v>
                </c:pt>
                <c:pt idx="414">
                  <c:v>44777</c:v>
                </c:pt>
                <c:pt idx="415">
                  <c:v>44778</c:v>
                </c:pt>
                <c:pt idx="416">
                  <c:v>44781</c:v>
                </c:pt>
                <c:pt idx="417">
                  <c:v>44782</c:v>
                </c:pt>
                <c:pt idx="418">
                  <c:v>44783</c:v>
                </c:pt>
                <c:pt idx="419">
                  <c:v>44784</c:v>
                </c:pt>
                <c:pt idx="420">
                  <c:v>44785</c:v>
                </c:pt>
                <c:pt idx="421">
                  <c:v>44788</c:v>
                </c:pt>
                <c:pt idx="422">
                  <c:v>44789</c:v>
                </c:pt>
                <c:pt idx="423">
                  <c:v>44790</c:v>
                </c:pt>
                <c:pt idx="424">
                  <c:v>44791</c:v>
                </c:pt>
                <c:pt idx="425">
                  <c:v>44792</c:v>
                </c:pt>
                <c:pt idx="426">
                  <c:v>44795</c:v>
                </c:pt>
                <c:pt idx="427">
                  <c:v>44796</c:v>
                </c:pt>
                <c:pt idx="428">
                  <c:v>44797</c:v>
                </c:pt>
                <c:pt idx="429">
                  <c:v>44798</c:v>
                </c:pt>
                <c:pt idx="430">
                  <c:v>44799</c:v>
                </c:pt>
                <c:pt idx="431">
                  <c:v>44802</c:v>
                </c:pt>
                <c:pt idx="432">
                  <c:v>44803</c:v>
                </c:pt>
                <c:pt idx="433">
                  <c:v>44804</c:v>
                </c:pt>
                <c:pt idx="434">
                  <c:v>44805</c:v>
                </c:pt>
                <c:pt idx="435">
                  <c:v>44806</c:v>
                </c:pt>
                <c:pt idx="436">
                  <c:v>44809</c:v>
                </c:pt>
                <c:pt idx="437">
                  <c:v>44810</c:v>
                </c:pt>
                <c:pt idx="438">
                  <c:v>44811</c:v>
                </c:pt>
                <c:pt idx="439">
                  <c:v>44812</c:v>
                </c:pt>
                <c:pt idx="440">
                  <c:v>44813</c:v>
                </c:pt>
                <c:pt idx="441">
                  <c:v>44816</c:v>
                </c:pt>
                <c:pt idx="442">
                  <c:v>44817</c:v>
                </c:pt>
                <c:pt idx="443">
                  <c:v>44818</c:v>
                </c:pt>
                <c:pt idx="444">
                  <c:v>44819</c:v>
                </c:pt>
                <c:pt idx="445">
                  <c:v>44820</c:v>
                </c:pt>
                <c:pt idx="446">
                  <c:v>44823</c:v>
                </c:pt>
                <c:pt idx="447">
                  <c:v>44824</c:v>
                </c:pt>
                <c:pt idx="448">
                  <c:v>44825</c:v>
                </c:pt>
                <c:pt idx="449">
                  <c:v>44826</c:v>
                </c:pt>
                <c:pt idx="450">
                  <c:v>44827</c:v>
                </c:pt>
                <c:pt idx="451">
                  <c:v>44830</c:v>
                </c:pt>
                <c:pt idx="452">
                  <c:v>44831</c:v>
                </c:pt>
                <c:pt idx="453">
                  <c:v>44832</c:v>
                </c:pt>
                <c:pt idx="454">
                  <c:v>44833</c:v>
                </c:pt>
                <c:pt idx="455">
                  <c:v>44834</c:v>
                </c:pt>
                <c:pt idx="456">
                  <c:v>44837</c:v>
                </c:pt>
                <c:pt idx="457">
                  <c:v>44838</c:v>
                </c:pt>
                <c:pt idx="458">
                  <c:v>44839</c:v>
                </c:pt>
                <c:pt idx="459">
                  <c:v>44840</c:v>
                </c:pt>
                <c:pt idx="460">
                  <c:v>44841</c:v>
                </c:pt>
                <c:pt idx="461">
                  <c:v>44844</c:v>
                </c:pt>
                <c:pt idx="462">
                  <c:v>44845</c:v>
                </c:pt>
                <c:pt idx="463">
                  <c:v>44846</c:v>
                </c:pt>
                <c:pt idx="464">
                  <c:v>44847</c:v>
                </c:pt>
                <c:pt idx="465">
                  <c:v>44848</c:v>
                </c:pt>
                <c:pt idx="466">
                  <c:v>44851</c:v>
                </c:pt>
                <c:pt idx="467">
                  <c:v>44852</c:v>
                </c:pt>
                <c:pt idx="468">
                  <c:v>44853</c:v>
                </c:pt>
                <c:pt idx="469">
                  <c:v>44854</c:v>
                </c:pt>
                <c:pt idx="470">
                  <c:v>44855</c:v>
                </c:pt>
                <c:pt idx="471">
                  <c:v>44858</c:v>
                </c:pt>
                <c:pt idx="472">
                  <c:v>44859</c:v>
                </c:pt>
                <c:pt idx="473">
                  <c:v>44860</c:v>
                </c:pt>
                <c:pt idx="474">
                  <c:v>44861</c:v>
                </c:pt>
                <c:pt idx="475">
                  <c:v>44862</c:v>
                </c:pt>
                <c:pt idx="476">
                  <c:v>44865</c:v>
                </c:pt>
                <c:pt idx="477">
                  <c:v>44866</c:v>
                </c:pt>
                <c:pt idx="478">
                  <c:v>44867</c:v>
                </c:pt>
                <c:pt idx="479">
                  <c:v>44868</c:v>
                </c:pt>
                <c:pt idx="480">
                  <c:v>44869</c:v>
                </c:pt>
                <c:pt idx="481">
                  <c:v>44872</c:v>
                </c:pt>
                <c:pt idx="482">
                  <c:v>44873</c:v>
                </c:pt>
                <c:pt idx="483">
                  <c:v>44874</c:v>
                </c:pt>
                <c:pt idx="484">
                  <c:v>44875</c:v>
                </c:pt>
                <c:pt idx="485">
                  <c:v>44876</c:v>
                </c:pt>
                <c:pt idx="486">
                  <c:v>44879</c:v>
                </c:pt>
                <c:pt idx="487">
                  <c:v>44880</c:v>
                </c:pt>
                <c:pt idx="488">
                  <c:v>44881</c:v>
                </c:pt>
                <c:pt idx="489">
                  <c:v>44882</c:v>
                </c:pt>
                <c:pt idx="490">
                  <c:v>44883</c:v>
                </c:pt>
                <c:pt idx="491">
                  <c:v>44886</c:v>
                </c:pt>
                <c:pt idx="492">
                  <c:v>44887</c:v>
                </c:pt>
                <c:pt idx="493">
                  <c:v>44888</c:v>
                </c:pt>
                <c:pt idx="494">
                  <c:v>44889</c:v>
                </c:pt>
                <c:pt idx="495">
                  <c:v>44890</c:v>
                </c:pt>
                <c:pt idx="496">
                  <c:v>44893</c:v>
                </c:pt>
                <c:pt idx="497">
                  <c:v>44894</c:v>
                </c:pt>
                <c:pt idx="498">
                  <c:v>44895</c:v>
                </c:pt>
                <c:pt idx="499">
                  <c:v>44896</c:v>
                </c:pt>
                <c:pt idx="500">
                  <c:v>44897</c:v>
                </c:pt>
                <c:pt idx="501">
                  <c:v>44900</c:v>
                </c:pt>
                <c:pt idx="502">
                  <c:v>44901</c:v>
                </c:pt>
                <c:pt idx="503">
                  <c:v>44902</c:v>
                </c:pt>
                <c:pt idx="504">
                  <c:v>44903</c:v>
                </c:pt>
                <c:pt idx="505">
                  <c:v>44904</c:v>
                </c:pt>
                <c:pt idx="506">
                  <c:v>44907</c:v>
                </c:pt>
                <c:pt idx="507">
                  <c:v>44908</c:v>
                </c:pt>
                <c:pt idx="508">
                  <c:v>44909</c:v>
                </c:pt>
                <c:pt idx="509">
                  <c:v>44910</c:v>
                </c:pt>
                <c:pt idx="510">
                  <c:v>44911</c:v>
                </c:pt>
                <c:pt idx="511">
                  <c:v>44914</c:v>
                </c:pt>
                <c:pt idx="512">
                  <c:v>44915</c:v>
                </c:pt>
                <c:pt idx="513">
                  <c:v>44916</c:v>
                </c:pt>
                <c:pt idx="514">
                  <c:v>44917</c:v>
                </c:pt>
                <c:pt idx="515">
                  <c:v>44918</c:v>
                </c:pt>
                <c:pt idx="516">
                  <c:v>44921</c:v>
                </c:pt>
                <c:pt idx="517">
                  <c:v>44922</c:v>
                </c:pt>
                <c:pt idx="518">
                  <c:v>44923</c:v>
                </c:pt>
                <c:pt idx="519">
                  <c:v>44924</c:v>
                </c:pt>
                <c:pt idx="520">
                  <c:v>44925</c:v>
                </c:pt>
                <c:pt idx="521">
                  <c:v>44928</c:v>
                </c:pt>
                <c:pt idx="522">
                  <c:v>44929</c:v>
                </c:pt>
                <c:pt idx="523">
                  <c:v>44930</c:v>
                </c:pt>
                <c:pt idx="524">
                  <c:v>44931</c:v>
                </c:pt>
                <c:pt idx="525">
                  <c:v>44932</c:v>
                </c:pt>
                <c:pt idx="526">
                  <c:v>44935</c:v>
                </c:pt>
                <c:pt idx="527">
                  <c:v>44936</c:v>
                </c:pt>
                <c:pt idx="528">
                  <c:v>44937</c:v>
                </c:pt>
                <c:pt idx="529">
                  <c:v>44938</c:v>
                </c:pt>
                <c:pt idx="530">
                  <c:v>44939</c:v>
                </c:pt>
                <c:pt idx="531">
                  <c:v>44942</c:v>
                </c:pt>
                <c:pt idx="532">
                  <c:v>44943</c:v>
                </c:pt>
                <c:pt idx="533">
                  <c:v>44944</c:v>
                </c:pt>
                <c:pt idx="534">
                  <c:v>44945</c:v>
                </c:pt>
                <c:pt idx="535">
                  <c:v>44946</c:v>
                </c:pt>
                <c:pt idx="536">
                  <c:v>44949</c:v>
                </c:pt>
                <c:pt idx="537">
                  <c:v>44950</c:v>
                </c:pt>
                <c:pt idx="538">
                  <c:v>44951</c:v>
                </c:pt>
                <c:pt idx="539">
                  <c:v>44952</c:v>
                </c:pt>
                <c:pt idx="540">
                  <c:v>44953</c:v>
                </c:pt>
                <c:pt idx="541">
                  <c:v>44956</c:v>
                </c:pt>
                <c:pt idx="542">
                  <c:v>44957</c:v>
                </c:pt>
                <c:pt idx="543">
                  <c:v>44958</c:v>
                </c:pt>
                <c:pt idx="544">
                  <c:v>44959</c:v>
                </c:pt>
                <c:pt idx="545">
                  <c:v>44960</c:v>
                </c:pt>
                <c:pt idx="546">
                  <c:v>44963</c:v>
                </c:pt>
                <c:pt idx="547">
                  <c:v>44964</c:v>
                </c:pt>
                <c:pt idx="548">
                  <c:v>44965</c:v>
                </c:pt>
                <c:pt idx="549">
                  <c:v>44966</c:v>
                </c:pt>
                <c:pt idx="550">
                  <c:v>44967</c:v>
                </c:pt>
                <c:pt idx="551">
                  <c:v>44970</c:v>
                </c:pt>
                <c:pt idx="552">
                  <c:v>44971</c:v>
                </c:pt>
                <c:pt idx="553">
                  <c:v>44972</c:v>
                </c:pt>
                <c:pt idx="554">
                  <c:v>44973</c:v>
                </c:pt>
                <c:pt idx="555">
                  <c:v>44974</c:v>
                </c:pt>
                <c:pt idx="556">
                  <c:v>44977</c:v>
                </c:pt>
                <c:pt idx="557">
                  <c:v>44978</c:v>
                </c:pt>
                <c:pt idx="558">
                  <c:v>44979</c:v>
                </c:pt>
                <c:pt idx="559">
                  <c:v>44980</c:v>
                </c:pt>
                <c:pt idx="560">
                  <c:v>44981</c:v>
                </c:pt>
                <c:pt idx="561">
                  <c:v>44984</c:v>
                </c:pt>
                <c:pt idx="562">
                  <c:v>44985</c:v>
                </c:pt>
                <c:pt idx="563">
                  <c:v>44986</c:v>
                </c:pt>
                <c:pt idx="564">
                  <c:v>44987</c:v>
                </c:pt>
                <c:pt idx="565">
                  <c:v>44988</c:v>
                </c:pt>
                <c:pt idx="566">
                  <c:v>44991</c:v>
                </c:pt>
                <c:pt idx="567">
                  <c:v>44992</c:v>
                </c:pt>
                <c:pt idx="568">
                  <c:v>44993</c:v>
                </c:pt>
                <c:pt idx="569">
                  <c:v>44994</c:v>
                </c:pt>
                <c:pt idx="570">
                  <c:v>44995</c:v>
                </c:pt>
                <c:pt idx="571">
                  <c:v>44998</c:v>
                </c:pt>
                <c:pt idx="572">
                  <c:v>44999</c:v>
                </c:pt>
                <c:pt idx="573">
                  <c:v>45000</c:v>
                </c:pt>
                <c:pt idx="574">
                  <c:v>45001</c:v>
                </c:pt>
                <c:pt idx="575">
                  <c:v>45002</c:v>
                </c:pt>
                <c:pt idx="576">
                  <c:v>45005</c:v>
                </c:pt>
                <c:pt idx="577">
                  <c:v>45006</c:v>
                </c:pt>
                <c:pt idx="578">
                  <c:v>45007</c:v>
                </c:pt>
                <c:pt idx="579">
                  <c:v>45008</c:v>
                </c:pt>
                <c:pt idx="580">
                  <c:v>45009</c:v>
                </c:pt>
                <c:pt idx="581">
                  <c:v>45012</c:v>
                </c:pt>
                <c:pt idx="582">
                  <c:v>45013</c:v>
                </c:pt>
                <c:pt idx="583">
                  <c:v>45014</c:v>
                </c:pt>
                <c:pt idx="584">
                  <c:v>45015</c:v>
                </c:pt>
                <c:pt idx="585">
                  <c:v>45016</c:v>
                </c:pt>
                <c:pt idx="586">
                  <c:v>45019</c:v>
                </c:pt>
                <c:pt idx="587">
                  <c:v>45020</c:v>
                </c:pt>
                <c:pt idx="588">
                  <c:v>45021</c:v>
                </c:pt>
                <c:pt idx="589">
                  <c:v>45022</c:v>
                </c:pt>
                <c:pt idx="590">
                  <c:v>45023</c:v>
                </c:pt>
                <c:pt idx="591">
                  <c:v>45026</c:v>
                </c:pt>
                <c:pt idx="592">
                  <c:v>45027</c:v>
                </c:pt>
                <c:pt idx="593">
                  <c:v>45028</c:v>
                </c:pt>
                <c:pt idx="594">
                  <c:v>45029</c:v>
                </c:pt>
                <c:pt idx="595">
                  <c:v>45030</c:v>
                </c:pt>
                <c:pt idx="596">
                  <c:v>45033</c:v>
                </c:pt>
                <c:pt idx="597">
                  <c:v>45034</c:v>
                </c:pt>
                <c:pt idx="598">
                  <c:v>45035</c:v>
                </c:pt>
                <c:pt idx="599">
                  <c:v>45036</c:v>
                </c:pt>
                <c:pt idx="600">
                  <c:v>45037</c:v>
                </c:pt>
                <c:pt idx="601">
                  <c:v>45040</c:v>
                </c:pt>
                <c:pt idx="602">
                  <c:v>45041</c:v>
                </c:pt>
                <c:pt idx="603">
                  <c:v>45042</c:v>
                </c:pt>
                <c:pt idx="604">
                  <c:v>45043</c:v>
                </c:pt>
                <c:pt idx="605">
                  <c:v>45044</c:v>
                </c:pt>
                <c:pt idx="606">
                  <c:v>45047</c:v>
                </c:pt>
                <c:pt idx="607">
                  <c:v>45048</c:v>
                </c:pt>
                <c:pt idx="608">
                  <c:v>45049</c:v>
                </c:pt>
                <c:pt idx="609">
                  <c:v>45050</c:v>
                </c:pt>
                <c:pt idx="610">
                  <c:v>45051</c:v>
                </c:pt>
                <c:pt idx="611">
                  <c:v>45054</c:v>
                </c:pt>
                <c:pt idx="612">
                  <c:v>45055</c:v>
                </c:pt>
                <c:pt idx="613">
                  <c:v>45056</c:v>
                </c:pt>
                <c:pt idx="614">
                  <c:v>45057</c:v>
                </c:pt>
                <c:pt idx="615">
                  <c:v>45058</c:v>
                </c:pt>
                <c:pt idx="616">
                  <c:v>45061</c:v>
                </c:pt>
                <c:pt idx="617">
                  <c:v>45062</c:v>
                </c:pt>
                <c:pt idx="618">
                  <c:v>45063</c:v>
                </c:pt>
                <c:pt idx="619">
                  <c:v>45064</c:v>
                </c:pt>
                <c:pt idx="620">
                  <c:v>45065</c:v>
                </c:pt>
                <c:pt idx="621">
                  <c:v>45068</c:v>
                </c:pt>
                <c:pt idx="622">
                  <c:v>45069</c:v>
                </c:pt>
                <c:pt idx="623">
                  <c:v>45070</c:v>
                </c:pt>
                <c:pt idx="624">
                  <c:v>45071</c:v>
                </c:pt>
                <c:pt idx="625">
                  <c:v>45072</c:v>
                </c:pt>
                <c:pt idx="626">
                  <c:v>45075</c:v>
                </c:pt>
                <c:pt idx="627">
                  <c:v>45076</c:v>
                </c:pt>
                <c:pt idx="628">
                  <c:v>45077</c:v>
                </c:pt>
                <c:pt idx="629">
                  <c:v>45078</c:v>
                </c:pt>
                <c:pt idx="630">
                  <c:v>45079</c:v>
                </c:pt>
                <c:pt idx="631">
                  <c:v>45082</c:v>
                </c:pt>
                <c:pt idx="632">
                  <c:v>45083</c:v>
                </c:pt>
                <c:pt idx="633">
                  <c:v>45084</c:v>
                </c:pt>
                <c:pt idx="634">
                  <c:v>45085</c:v>
                </c:pt>
                <c:pt idx="635">
                  <c:v>45086</c:v>
                </c:pt>
                <c:pt idx="636">
                  <c:v>45089</c:v>
                </c:pt>
                <c:pt idx="637">
                  <c:v>45090</c:v>
                </c:pt>
                <c:pt idx="638">
                  <c:v>45091</c:v>
                </c:pt>
                <c:pt idx="639">
                  <c:v>45092</c:v>
                </c:pt>
                <c:pt idx="640">
                  <c:v>45093</c:v>
                </c:pt>
                <c:pt idx="641">
                  <c:v>45096</c:v>
                </c:pt>
                <c:pt idx="642">
                  <c:v>45097</c:v>
                </c:pt>
                <c:pt idx="643">
                  <c:v>45098</c:v>
                </c:pt>
                <c:pt idx="644">
                  <c:v>45099</c:v>
                </c:pt>
                <c:pt idx="645">
                  <c:v>45100</c:v>
                </c:pt>
                <c:pt idx="646">
                  <c:v>45103</c:v>
                </c:pt>
                <c:pt idx="647">
                  <c:v>45104</c:v>
                </c:pt>
                <c:pt idx="648">
                  <c:v>45105</c:v>
                </c:pt>
                <c:pt idx="649">
                  <c:v>45106</c:v>
                </c:pt>
                <c:pt idx="650">
                  <c:v>45107</c:v>
                </c:pt>
                <c:pt idx="651">
                  <c:v>45110</c:v>
                </c:pt>
                <c:pt idx="652">
                  <c:v>45111</c:v>
                </c:pt>
                <c:pt idx="653">
                  <c:v>45112</c:v>
                </c:pt>
                <c:pt idx="654">
                  <c:v>45113</c:v>
                </c:pt>
                <c:pt idx="655">
                  <c:v>45114</c:v>
                </c:pt>
                <c:pt idx="656">
                  <c:v>45117</c:v>
                </c:pt>
                <c:pt idx="657">
                  <c:v>45118</c:v>
                </c:pt>
                <c:pt idx="658">
                  <c:v>45119</c:v>
                </c:pt>
                <c:pt idx="659">
                  <c:v>45120</c:v>
                </c:pt>
                <c:pt idx="660">
                  <c:v>45121</c:v>
                </c:pt>
                <c:pt idx="661">
                  <c:v>45124</c:v>
                </c:pt>
                <c:pt idx="662">
                  <c:v>45125</c:v>
                </c:pt>
                <c:pt idx="663">
                  <c:v>45126</c:v>
                </c:pt>
                <c:pt idx="664">
                  <c:v>45127</c:v>
                </c:pt>
                <c:pt idx="665">
                  <c:v>45128</c:v>
                </c:pt>
                <c:pt idx="666">
                  <c:v>45131</c:v>
                </c:pt>
                <c:pt idx="667">
                  <c:v>45132</c:v>
                </c:pt>
                <c:pt idx="668">
                  <c:v>45133</c:v>
                </c:pt>
                <c:pt idx="669">
                  <c:v>45134</c:v>
                </c:pt>
                <c:pt idx="670">
                  <c:v>45135</c:v>
                </c:pt>
                <c:pt idx="671">
                  <c:v>45138</c:v>
                </c:pt>
                <c:pt idx="672">
                  <c:v>45139</c:v>
                </c:pt>
                <c:pt idx="673">
                  <c:v>45140</c:v>
                </c:pt>
                <c:pt idx="674">
                  <c:v>45141</c:v>
                </c:pt>
                <c:pt idx="675">
                  <c:v>45142</c:v>
                </c:pt>
                <c:pt idx="676">
                  <c:v>45145</c:v>
                </c:pt>
                <c:pt idx="677">
                  <c:v>45146</c:v>
                </c:pt>
                <c:pt idx="678">
                  <c:v>45147</c:v>
                </c:pt>
                <c:pt idx="679">
                  <c:v>45148</c:v>
                </c:pt>
                <c:pt idx="680">
                  <c:v>45149</c:v>
                </c:pt>
                <c:pt idx="681">
                  <c:v>45152</c:v>
                </c:pt>
                <c:pt idx="682">
                  <c:v>45153</c:v>
                </c:pt>
                <c:pt idx="683">
                  <c:v>45154</c:v>
                </c:pt>
                <c:pt idx="684">
                  <c:v>45155</c:v>
                </c:pt>
                <c:pt idx="685">
                  <c:v>45156</c:v>
                </c:pt>
                <c:pt idx="686">
                  <c:v>45159</c:v>
                </c:pt>
                <c:pt idx="687">
                  <c:v>45160</c:v>
                </c:pt>
                <c:pt idx="688">
                  <c:v>45161</c:v>
                </c:pt>
                <c:pt idx="689">
                  <c:v>45162</c:v>
                </c:pt>
                <c:pt idx="690">
                  <c:v>45163</c:v>
                </c:pt>
                <c:pt idx="691">
                  <c:v>45166</c:v>
                </c:pt>
                <c:pt idx="692">
                  <c:v>45167</c:v>
                </c:pt>
                <c:pt idx="693">
                  <c:v>45168</c:v>
                </c:pt>
                <c:pt idx="694">
                  <c:v>45169</c:v>
                </c:pt>
                <c:pt idx="695">
                  <c:v>45170</c:v>
                </c:pt>
                <c:pt idx="696">
                  <c:v>45173</c:v>
                </c:pt>
                <c:pt idx="697">
                  <c:v>45174</c:v>
                </c:pt>
                <c:pt idx="698">
                  <c:v>45175</c:v>
                </c:pt>
                <c:pt idx="699">
                  <c:v>45176</c:v>
                </c:pt>
                <c:pt idx="700">
                  <c:v>45177</c:v>
                </c:pt>
                <c:pt idx="701">
                  <c:v>45180</c:v>
                </c:pt>
                <c:pt idx="702">
                  <c:v>45181</c:v>
                </c:pt>
                <c:pt idx="703">
                  <c:v>45182</c:v>
                </c:pt>
                <c:pt idx="704">
                  <c:v>45183</c:v>
                </c:pt>
                <c:pt idx="705">
                  <c:v>45184</c:v>
                </c:pt>
                <c:pt idx="706">
                  <c:v>45187</c:v>
                </c:pt>
                <c:pt idx="707">
                  <c:v>45188</c:v>
                </c:pt>
                <c:pt idx="708">
                  <c:v>45189</c:v>
                </c:pt>
                <c:pt idx="709">
                  <c:v>45190</c:v>
                </c:pt>
                <c:pt idx="710">
                  <c:v>45191</c:v>
                </c:pt>
                <c:pt idx="711">
                  <c:v>45194</c:v>
                </c:pt>
                <c:pt idx="712">
                  <c:v>45195</c:v>
                </c:pt>
                <c:pt idx="713">
                  <c:v>45196</c:v>
                </c:pt>
                <c:pt idx="714">
                  <c:v>45197</c:v>
                </c:pt>
                <c:pt idx="715">
                  <c:v>45198</c:v>
                </c:pt>
                <c:pt idx="716">
                  <c:v>45201</c:v>
                </c:pt>
                <c:pt idx="717">
                  <c:v>45202</c:v>
                </c:pt>
                <c:pt idx="718">
                  <c:v>45203</c:v>
                </c:pt>
                <c:pt idx="719">
                  <c:v>45204</c:v>
                </c:pt>
                <c:pt idx="720">
                  <c:v>45205</c:v>
                </c:pt>
                <c:pt idx="721">
                  <c:v>45208</c:v>
                </c:pt>
                <c:pt idx="722">
                  <c:v>45209</c:v>
                </c:pt>
                <c:pt idx="723">
                  <c:v>45210</c:v>
                </c:pt>
                <c:pt idx="724">
                  <c:v>45211</c:v>
                </c:pt>
                <c:pt idx="725">
                  <c:v>45212</c:v>
                </c:pt>
                <c:pt idx="726">
                  <c:v>45215</c:v>
                </c:pt>
                <c:pt idx="727">
                  <c:v>45216</c:v>
                </c:pt>
                <c:pt idx="728">
                  <c:v>45217</c:v>
                </c:pt>
                <c:pt idx="729">
                  <c:v>45218</c:v>
                </c:pt>
                <c:pt idx="730">
                  <c:v>45219</c:v>
                </c:pt>
                <c:pt idx="731">
                  <c:v>45222</c:v>
                </c:pt>
                <c:pt idx="732">
                  <c:v>45223</c:v>
                </c:pt>
                <c:pt idx="733">
                  <c:v>45224</c:v>
                </c:pt>
                <c:pt idx="734">
                  <c:v>45225</c:v>
                </c:pt>
                <c:pt idx="735">
                  <c:v>45226</c:v>
                </c:pt>
                <c:pt idx="736">
                  <c:v>45229</c:v>
                </c:pt>
                <c:pt idx="737">
                  <c:v>45230</c:v>
                </c:pt>
                <c:pt idx="738">
                  <c:v>45231</c:v>
                </c:pt>
                <c:pt idx="739">
                  <c:v>45232</c:v>
                </c:pt>
                <c:pt idx="740">
                  <c:v>45233</c:v>
                </c:pt>
                <c:pt idx="741">
                  <c:v>45236</c:v>
                </c:pt>
                <c:pt idx="742">
                  <c:v>45237</c:v>
                </c:pt>
                <c:pt idx="743">
                  <c:v>45238</c:v>
                </c:pt>
                <c:pt idx="744">
                  <c:v>45239</c:v>
                </c:pt>
                <c:pt idx="745">
                  <c:v>45240</c:v>
                </c:pt>
                <c:pt idx="746">
                  <c:v>45243</c:v>
                </c:pt>
                <c:pt idx="747">
                  <c:v>45244</c:v>
                </c:pt>
                <c:pt idx="748">
                  <c:v>45245</c:v>
                </c:pt>
                <c:pt idx="749">
                  <c:v>45246</c:v>
                </c:pt>
                <c:pt idx="750">
                  <c:v>45247</c:v>
                </c:pt>
                <c:pt idx="751">
                  <c:v>45250</c:v>
                </c:pt>
                <c:pt idx="752">
                  <c:v>45251</c:v>
                </c:pt>
                <c:pt idx="753">
                  <c:v>45252</c:v>
                </c:pt>
                <c:pt idx="754">
                  <c:v>45253</c:v>
                </c:pt>
                <c:pt idx="755">
                  <c:v>45254</c:v>
                </c:pt>
                <c:pt idx="756">
                  <c:v>45257</c:v>
                </c:pt>
                <c:pt idx="757">
                  <c:v>45258</c:v>
                </c:pt>
                <c:pt idx="758">
                  <c:v>45259</c:v>
                </c:pt>
                <c:pt idx="759">
                  <c:v>45260</c:v>
                </c:pt>
                <c:pt idx="760">
                  <c:v>45261</c:v>
                </c:pt>
                <c:pt idx="761">
                  <c:v>45264</c:v>
                </c:pt>
                <c:pt idx="762">
                  <c:v>45265</c:v>
                </c:pt>
                <c:pt idx="763">
                  <c:v>45266</c:v>
                </c:pt>
                <c:pt idx="764">
                  <c:v>45267</c:v>
                </c:pt>
                <c:pt idx="765">
                  <c:v>45268</c:v>
                </c:pt>
                <c:pt idx="766">
                  <c:v>45271</c:v>
                </c:pt>
                <c:pt idx="767">
                  <c:v>45272</c:v>
                </c:pt>
                <c:pt idx="768">
                  <c:v>45273</c:v>
                </c:pt>
                <c:pt idx="769">
                  <c:v>45274</c:v>
                </c:pt>
                <c:pt idx="770">
                  <c:v>45275</c:v>
                </c:pt>
                <c:pt idx="771">
                  <c:v>45278</c:v>
                </c:pt>
                <c:pt idx="772">
                  <c:v>45279</c:v>
                </c:pt>
                <c:pt idx="773">
                  <c:v>45280</c:v>
                </c:pt>
                <c:pt idx="774">
                  <c:v>45281</c:v>
                </c:pt>
                <c:pt idx="775">
                  <c:v>45282</c:v>
                </c:pt>
                <c:pt idx="776">
                  <c:v>45285</c:v>
                </c:pt>
                <c:pt idx="777">
                  <c:v>45286</c:v>
                </c:pt>
                <c:pt idx="778">
                  <c:v>45287</c:v>
                </c:pt>
                <c:pt idx="779">
                  <c:v>45288</c:v>
                </c:pt>
                <c:pt idx="780">
                  <c:v>45289</c:v>
                </c:pt>
                <c:pt idx="781">
                  <c:v>45292</c:v>
                </c:pt>
                <c:pt idx="782">
                  <c:v>45293</c:v>
                </c:pt>
                <c:pt idx="783">
                  <c:v>45294</c:v>
                </c:pt>
                <c:pt idx="784">
                  <c:v>45295</c:v>
                </c:pt>
                <c:pt idx="785">
                  <c:v>45296</c:v>
                </c:pt>
                <c:pt idx="786">
                  <c:v>45299</c:v>
                </c:pt>
                <c:pt idx="787">
                  <c:v>45300</c:v>
                </c:pt>
                <c:pt idx="788">
                  <c:v>45301</c:v>
                </c:pt>
                <c:pt idx="789">
                  <c:v>45302</c:v>
                </c:pt>
                <c:pt idx="790">
                  <c:v>45303</c:v>
                </c:pt>
                <c:pt idx="791">
                  <c:v>45306</c:v>
                </c:pt>
                <c:pt idx="792">
                  <c:v>45307</c:v>
                </c:pt>
                <c:pt idx="793">
                  <c:v>45308</c:v>
                </c:pt>
                <c:pt idx="794">
                  <c:v>45309</c:v>
                </c:pt>
                <c:pt idx="795">
                  <c:v>45310</c:v>
                </c:pt>
                <c:pt idx="796">
                  <c:v>45313</c:v>
                </c:pt>
                <c:pt idx="797">
                  <c:v>45314</c:v>
                </c:pt>
                <c:pt idx="798">
                  <c:v>45315</c:v>
                </c:pt>
                <c:pt idx="799">
                  <c:v>45316</c:v>
                </c:pt>
                <c:pt idx="800">
                  <c:v>45317</c:v>
                </c:pt>
                <c:pt idx="801">
                  <c:v>45320</c:v>
                </c:pt>
                <c:pt idx="802">
                  <c:v>45321</c:v>
                </c:pt>
                <c:pt idx="803">
                  <c:v>45322</c:v>
                </c:pt>
                <c:pt idx="804">
                  <c:v>45323</c:v>
                </c:pt>
                <c:pt idx="805">
                  <c:v>45324</c:v>
                </c:pt>
                <c:pt idx="806">
                  <c:v>45327</c:v>
                </c:pt>
                <c:pt idx="807">
                  <c:v>45328</c:v>
                </c:pt>
                <c:pt idx="808">
                  <c:v>45329</c:v>
                </c:pt>
                <c:pt idx="809">
                  <c:v>45330</c:v>
                </c:pt>
                <c:pt idx="810">
                  <c:v>45331</c:v>
                </c:pt>
                <c:pt idx="811">
                  <c:v>45334</c:v>
                </c:pt>
                <c:pt idx="812">
                  <c:v>45335</c:v>
                </c:pt>
                <c:pt idx="813">
                  <c:v>45336</c:v>
                </c:pt>
                <c:pt idx="814">
                  <c:v>45337</c:v>
                </c:pt>
                <c:pt idx="815">
                  <c:v>45338</c:v>
                </c:pt>
                <c:pt idx="816">
                  <c:v>45341</c:v>
                </c:pt>
                <c:pt idx="817">
                  <c:v>45342</c:v>
                </c:pt>
                <c:pt idx="818">
                  <c:v>45343</c:v>
                </c:pt>
                <c:pt idx="819">
                  <c:v>45344</c:v>
                </c:pt>
                <c:pt idx="820">
                  <c:v>45345</c:v>
                </c:pt>
                <c:pt idx="821">
                  <c:v>45348</c:v>
                </c:pt>
                <c:pt idx="822">
                  <c:v>45349</c:v>
                </c:pt>
                <c:pt idx="823">
                  <c:v>45350</c:v>
                </c:pt>
                <c:pt idx="824">
                  <c:v>45351</c:v>
                </c:pt>
                <c:pt idx="825">
                  <c:v>45352</c:v>
                </c:pt>
                <c:pt idx="826">
                  <c:v>45355</c:v>
                </c:pt>
                <c:pt idx="827">
                  <c:v>45356</c:v>
                </c:pt>
                <c:pt idx="828">
                  <c:v>45357</c:v>
                </c:pt>
                <c:pt idx="829">
                  <c:v>45358</c:v>
                </c:pt>
                <c:pt idx="830">
                  <c:v>45359</c:v>
                </c:pt>
                <c:pt idx="831">
                  <c:v>45362</c:v>
                </c:pt>
                <c:pt idx="832">
                  <c:v>45363</c:v>
                </c:pt>
                <c:pt idx="833">
                  <c:v>45364</c:v>
                </c:pt>
                <c:pt idx="834">
                  <c:v>45365</c:v>
                </c:pt>
                <c:pt idx="835">
                  <c:v>45366</c:v>
                </c:pt>
                <c:pt idx="836">
                  <c:v>45369</c:v>
                </c:pt>
                <c:pt idx="837">
                  <c:v>45370</c:v>
                </c:pt>
                <c:pt idx="838">
                  <c:v>45371</c:v>
                </c:pt>
                <c:pt idx="839">
                  <c:v>45372</c:v>
                </c:pt>
                <c:pt idx="840">
                  <c:v>45373</c:v>
                </c:pt>
                <c:pt idx="841">
                  <c:v>45376</c:v>
                </c:pt>
                <c:pt idx="842">
                  <c:v>45377</c:v>
                </c:pt>
                <c:pt idx="843">
                  <c:v>45378</c:v>
                </c:pt>
                <c:pt idx="844">
                  <c:v>45379</c:v>
                </c:pt>
                <c:pt idx="845">
                  <c:v>45380</c:v>
                </c:pt>
                <c:pt idx="846">
                  <c:v>45383</c:v>
                </c:pt>
                <c:pt idx="847">
                  <c:v>45384</c:v>
                </c:pt>
                <c:pt idx="848">
                  <c:v>45385</c:v>
                </c:pt>
                <c:pt idx="849">
                  <c:v>45386</c:v>
                </c:pt>
                <c:pt idx="850">
                  <c:v>45387</c:v>
                </c:pt>
                <c:pt idx="851">
                  <c:v>45390</c:v>
                </c:pt>
                <c:pt idx="852">
                  <c:v>45391</c:v>
                </c:pt>
                <c:pt idx="853">
                  <c:v>45392</c:v>
                </c:pt>
                <c:pt idx="854">
                  <c:v>45393</c:v>
                </c:pt>
                <c:pt idx="855">
                  <c:v>45394</c:v>
                </c:pt>
                <c:pt idx="856">
                  <c:v>45397</c:v>
                </c:pt>
                <c:pt idx="857">
                  <c:v>45398</c:v>
                </c:pt>
                <c:pt idx="858">
                  <c:v>45399</c:v>
                </c:pt>
                <c:pt idx="859">
                  <c:v>45400</c:v>
                </c:pt>
                <c:pt idx="860">
                  <c:v>45401</c:v>
                </c:pt>
                <c:pt idx="861">
                  <c:v>45404</c:v>
                </c:pt>
                <c:pt idx="862">
                  <c:v>45405</c:v>
                </c:pt>
                <c:pt idx="863">
                  <c:v>45406</c:v>
                </c:pt>
                <c:pt idx="864">
                  <c:v>45407</c:v>
                </c:pt>
                <c:pt idx="865">
                  <c:v>45408</c:v>
                </c:pt>
                <c:pt idx="866">
                  <c:v>45411</c:v>
                </c:pt>
                <c:pt idx="867">
                  <c:v>45412</c:v>
                </c:pt>
                <c:pt idx="868">
                  <c:v>45413</c:v>
                </c:pt>
                <c:pt idx="869">
                  <c:v>45414</c:v>
                </c:pt>
                <c:pt idx="870">
                  <c:v>45415</c:v>
                </c:pt>
                <c:pt idx="871">
                  <c:v>45418</c:v>
                </c:pt>
                <c:pt idx="872">
                  <c:v>45419</c:v>
                </c:pt>
                <c:pt idx="873">
                  <c:v>45420</c:v>
                </c:pt>
                <c:pt idx="874">
                  <c:v>45421</c:v>
                </c:pt>
                <c:pt idx="875">
                  <c:v>45422</c:v>
                </c:pt>
                <c:pt idx="876">
                  <c:v>45425</c:v>
                </c:pt>
                <c:pt idx="877">
                  <c:v>45426</c:v>
                </c:pt>
                <c:pt idx="878">
                  <c:v>45427</c:v>
                </c:pt>
                <c:pt idx="879">
                  <c:v>45428</c:v>
                </c:pt>
                <c:pt idx="880">
                  <c:v>45429</c:v>
                </c:pt>
                <c:pt idx="881">
                  <c:v>45432</c:v>
                </c:pt>
                <c:pt idx="882">
                  <c:v>45433</c:v>
                </c:pt>
                <c:pt idx="883">
                  <c:v>45434</c:v>
                </c:pt>
                <c:pt idx="884">
                  <c:v>45435</c:v>
                </c:pt>
                <c:pt idx="885">
                  <c:v>45436</c:v>
                </c:pt>
                <c:pt idx="886">
                  <c:v>45439</c:v>
                </c:pt>
                <c:pt idx="887">
                  <c:v>45440</c:v>
                </c:pt>
                <c:pt idx="888">
                  <c:v>45441</c:v>
                </c:pt>
                <c:pt idx="889">
                  <c:v>45442</c:v>
                </c:pt>
                <c:pt idx="890">
                  <c:v>45443</c:v>
                </c:pt>
                <c:pt idx="891">
                  <c:v>45446</c:v>
                </c:pt>
                <c:pt idx="892">
                  <c:v>45447</c:v>
                </c:pt>
                <c:pt idx="893">
                  <c:v>45448</c:v>
                </c:pt>
                <c:pt idx="894">
                  <c:v>45449</c:v>
                </c:pt>
                <c:pt idx="895">
                  <c:v>45450</c:v>
                </c:pt>
                <c:pt idx="896">
                  <c:v>45453</c:v>
                </c:pt>
                <c:pt idx="897">
                  <c:v>45454</c:v>
                </c:pt>
                <c:pt idx="898">
                  <c:v>45455</c:v>
                </c:pt>
                <c:pt idx="899">
                  <c:v>45456</c:v>
                </c:pt>
                <c:pt idx="900">
                  <c:v>45457</c:v>
                </c:pt>
                <c:pt idx="901">
                  <c:v>45460</c:v>
                </c:pt>
                <c:pt idx="902">
                  <c:v>45461</c:v>
                </c:pt>
                <c:pt idx="903">
                  <c:v>45462</c:v>
                </c:pt>
                <c:pt idx="904">
                  <c:v>45463</c:v>
                </c:pt>
                <c:pt idx="905">
                  <c:v>45464</c:v>
                </c:pt>
                <c:pt idx="906">
                  <c:v>45467</c:v>
                </c:pt>
                <c:pt idx="907">
                  <c:v>45468</c:v>
                </c:pt>
                <c:pt idx="908">
                  <c:v>45469</c:v>
                </c:pt>
                <c:pt idx="909">
                  <c:v>45470</c:v>
                </c:pt>
                <c:pt idx="910">
                  <c:v>45471</c:v>
                </c:pt>
                <c:pt idx="911">
                  <c:v>45474</c:v>
                </c:pt>
                <c:pt idx="912">
                  <c:v>45475</c:v>
                </c:pt>
                <c:pt idx="913">
                  <c:v>45476</c:v>
                </c:pt>
                <c:pt idx="914">
                  <c:v>45477</c:v>
                </c:pt>
                <c:pt idx="915">
                  <c:v>45478</c:v>
                </c:pt>
                <c:pt idx="916">
                  <c:v>45481</c:v>
                </c:pt>
                <c:pt idx="917">
                  <c:v>45482</c:v>
                </c:pt>
                <c:pt idx="918">
                  <c:v>45483</c:v>
                </c:pt>
                <c:pt idx="919">
                  <c:v>45484</c:v>
                </c:pt>
                <c:pt idx="920">
                  <c:v>45485</c:v>
                </c:pt>
                <c:pt idx="921">
                  <c:v>45488</c:v>
                </c:pt>
                <c:pt idx="922">
                  <c:v>45489</c:v>
                </c:pt>
                <c:pt idx="923">
                  <c:v>45490</c:v>
                </c:pt>
                <c:pt idx="924">
                  <c:v>45491</c:v>
                </c:pt>
                <c:pt idx="925">
                  <c:v>45492</c:v>
                </c:pt>
                <c:pt idx="926">
                  <c:v>45495</c:v>
                </c:pt>
                <c:pt idx="927">
                  <c:v>45496</c:v>
                </c:pt>
                <c:pt idx="928">
                  <c:v>45497</c:v>
                </c:pt>
                <c:pt idx="929">
                  <c:v>45498</c:v>
                </c:pt>
                <c:pt idx="930">
                  <c:v>45499</c:v>
                </c:pt>
                <c:pt idx="931">
                  <c:v>45502</c:v>
                </c:pt>
                <c:pt idx="932">
                  <c:v>45503</c:v>
                </c:pt>
                <c:pt idx="933">
                  <c:v>45504</c:v>
                </c:pt>
                <c:pt idx="934">
                  <c:v>45505</c:v>
                </c:pt>
                <c:pt idx="935">
                  <c:v>45506</c:v>
                </c:pt>
                <c:pt idx="936">
                  <c:v>45509</c:v>
                </c:pt>
                <c:pt idx="937">
                  <c:v>45510</c:v>
                </c:pt>
                <c:pt idx="938">
                  <c:v>45511</c:v>
                </c:pt>
                <c:pt idx="939">
                  <c:v>45512</c:v>
                </c:pt>
                <c:pt idx="940">
                  <c:v>45513</c:v>
                </c:pt>
                <c:pt idx="941">
                  <c:v>45516</c:v>
                </c:pt>
                <c:pt idx="942">
                  <c:v>45517</c:v>
                </c:pt>
                <c:pt idx="943">
                  <c:v>45518</c:v>
                </c:pt>
                <c:pt idx="944">
                  <c:v>45519</c:v>
                </c:pt>
                <c:pt idx="945">
                  <c:v>45520</c:v>
                </c:pt>
                <c:pt idx="946">
                  <c:v>45523</c:v>
                </c:pt>
                <c:pt idx="947">
                  <c:v>45524</c:v>
                </c:pt>
                <c:pt idx="948">
                  <c:v>45525</c:v>
                </c:pt>
                <c:pt idx="949">
                  <c:v>45526</c:v>
                </c:pt>
                <c:pt idx="950">
                  <c:v>45527</c:v>
                </c:pt>
                <c:pt idx="951">
                  <c:v>45530</c:v>
                </c:pt>
                <c:pt idx="952">
                  <c:v>45531</c:v>
                </c:pt>
                <c:pt idx="953">
                  <c:v>45532</c:v>
                </c:pt>
                <c:pt idx="954">
                  <c:v>45533</c:v>
                </c:pt>
                <c:pt idx="955">
                  <c:v>45534</c:v>
                </c:pt>
                <c:pt idx="956">
                  <c:v>45537</c:v>
                </c:pt>
                <c:pt idx="957">
                  <c:v>45538</c:v>
                </c:pt>
                <c:pt idx="958">
                  <c:v>45539</c:v>
                </c:pt>
                <c:pt idx="959">
                  <c:v>45540</c:v>
                </c:pt>
                <c:pt idx="960">
                  <c:v>45541</c:v>
                </c:pt>
                <c:pt idx="961">
                  <c:v>45544</c:v>
                </c:pt>
                <c:pt idx="962">
                  <c:v>45545</c:v>
                </c:pt>
                <c:pt idx="963">
                  <c:v>45546</c:v>
                </c:pt>
                <c:pt idx="964">
                  <c:v>45547</c:v>
                </c:pt>
                <c:pt idx="965">
                  <c:v>45548</c:v>
                </c:pt>
                <c:pt idx="966">
                  <c:v>45551</c:v>
                </c:pt>
                <c:pt idx="967">
                  <c:v>45552</c:v>
                </c:pt>
                <c:pt idx="968">
                  <c:v>45553</c:v>
                </c:pt>
                <c:pt idx="969">
                  <c:v>45554</c:v>
                </c:pt>
                <c:pt idx="970">
                  <c:v>45555</c:v>
                </c:pt>
                <c:pt idx="971">
                  <c:v>45558</c:v>
                </c:pt>
                <c:pt idx="972">
                  <c:v>45559</c:v>
                </c:pt>
                <c:pt idx="973">
                  <c:v>45560</c:v>
                </c:pt>
                <c:pt idx="974">
                  <c:v>45561</c:v>
                </c:pt>
                <c:pt idx="975">
                  <c:v>45562</c:v>
                </c:pt>
                <c:pt idx="976">
                  <c:v>45565</c:v>
                </c:pt>
                <c:pt idx="977">
                  <c:v>45566</c:v>
                </c:pt>
                <c:pt idx="978">
                  <c:v>45567</c:v>
                </c:pt>
                <c:pt idx="979">
                  <c:v>45568</c:v>
                </c:pt>
                <c:pt idx="980">
                  <c:v>45569</c:v>
                </c:pt>
                <c:pt idx="981">
                  <c:v>45572</c:v>
                </c:pt>
                <c:pt idx="982">
                  <c:v>45573</c:v>
                </c:pt>
                <c:pt idx="983">
                  <c:v>45574</c:v>
                </c:pt>
                <c:pt idx="984">
                  <c:v>45575</c:v>
                </c:pt>
                <c:pt idx="985">
                  <c:v>45576</c:v>
                </c:pt>
                <c:pt idx="986">
                  <c:v>45579</c:v>
                </c:pt>
                <c:pt idx="987">
                  <c:v>45580</c:v>
                </c:pt>
                <c:pt idx="988">
                  <c:v>45581</c:v>
                </c:pt>
                <c:pt idx="989">
                  <c:v>45582</c:v>
                </c:pt>
                <c:pt idx="990">
                  <c:v>45583</c:v>
                </c:pt>
                <c:pt idx="991">
                  <c:v>45586</c:v>
                </c:pt>
                <c:pt idx="992">
                  <c:v>45587</c:v>
                </c:pt>
                <c:pt idx="993">
                  <c:v>45588</c:v>
                </c:pt>
                <c:pt idx="994">
                  <c:v>45589</c:v>
                </c:pt>
                <c:pt idx="995">
                  <c:v>45590</c:v>
                </c:pt>
                <c:pt idx="996">
                  <c:v>45593</c:v>
                </c:pt>
                <c:pt idx="997">
                  <c:v>45594</c:v>
                </c:pt>
                <c:pt idx="998">
                  <c:v>45595</c:v>
                </c:pt>
                <c:pt idx="999">
                  <c:v>45596</c:v>
                </c:pt>
                <c:pt idx="1000">
                  <c:v>45597</c:v>
                </c:pt>
                <c:pt idx="1001">
                  <c:v>45600</c:v>
                </c:pt>
                <c:pt idx="1002">
                  <c:v>45601</c:v>
                </c:pt>
                <c:pt idx="1003">
                  <c:v>45602</c:v>
                </c:pt>
                <c:pt idx="1004">
                  <c:v>45603</c:v>
                </c:pt>
                <c:pt idx="1005">
                  <c:v>45604</c:v>
                </c:pt>
                <c:pt idx="1006">
                  <c:v>45607</c:v>
                </c:pt>
                <c:pt idx="1007">
                  <c:v>45608</c:v>
                </c:pt>
                <c:pt idx="1008">
                  <c:v>45609</c:v>
                </c:pt>
                <c:pt idx="1009">
                  <c:v>45610</c:v>
                </c:pt>
                <c:pt idx="1010">
                  <c:v>45611</c:v>
                </c:pt>
                <c:pt idx="1011">
                  <c:v>45614</c:v>
                </c:pt>
                <c:pt idx="1012">
                  <c:v>45615</c:v>
                </c:pt>
                <c:pt idx="1013">
                  <c:v>45616</c:v>
                </c:pt>
                <c:pt idx="1014">
                  <c:v>45617</c:v>
                </c:pt>
                <c:pt idx="1015">
                  <c:v>45618</c:v>
                </c:pt>
                <c:pt idx="1016">
                  <c:v>45621</c:v>
                </c:pt>
                <c:pt idx="1017">
                  <c:v>45622</c:v>
                </c:pt>
                <c:pt idx="1018">
                  <c:v>45623</c:v>
                </c:pt>
                <c:pt idx="1019">
                  <c:v>45624</c:v>
                </c:pt>
                <c:pt idx="1020">
                  <c:v>45625</c:v>
                </c:pt>
                <c:pt idx="1021">
                  <c:v>45628</c:v>
                </c:pt>
                <c:pt idx="1022">
                  <c:v>45629</c:v>
                </c:pt>
                <c:pt idx="1023">
                  <c:v>45630</c:v>
                </c:pt>
                <c:pt idx="1024">
                  <c:v>45631</c:v>
                </c:pt>
                <c:pt idx="1025">
                  <c:v>45632</c:v>
                </c:pt>
                <c:pt idx="1026">
                  <c:v>45635</c:v>
                </c:pt>
                <c:pt idx="1027">
                  <c:v>45636</c:v>
                </c:pt>
                <c:pt idx="1028">
                  <c:v>45637</c:v>
                </c:pt>
                <c:pt idx="1029">
                  <c:v>45638</c:v>
                </c:pt>
                <c:pt idx="1030">
                  <c:v>45639</c:v>
                </c:pt>
                <c:pt idx="1031">
                  <c:v>45642</c:v>
                </c:pt>
                <c:pt idx="1032">
                  <c:v>45643</c:v>
                </c:pt>
                <c:pt idx="1033">
                  <c:v>45644</c:v>
                </c:pt>
                <c:pt idx="1034">
                  <c:v>45645</c:v>
                </c:pt>
                <c:pt idx="1035">
                  <c:v>45646</c:v>
                </c:pt>
                <c:pt idx="1036">
                  <c:v>45649</c:v>
                </c:pt>
                <c:pt idx="1037">
                  <c:v>45650</c:v>
                </c:pt>
                <c:pt idx="1038">
                  <c:v>45651</c:v>
                </c:pt>
                <c:pt idx="1039">
                  <c:v>45652</c:v>
                </c:pt>
                <c:pt idx="1040">
                  <c:v>45653</c:v>
                </c:pt>
                <c:pt idx="1041">
                  <c:v>45656</c:v>
                </c:pt>
                <c:pt idx="1042">
                  <c:v>45657</c:v>
                </c:pt>
                <c:pt idx="1043">
                  <c:v>45658</c:v>
                </c:pt>
                <c:pt idx="1044">
                  <c:v>45659</c:v>
                </c:pt>
                <c:pt idx="1045">
                  <c:v>45660</c:v>
                </c:pt>
                <c:pt idx="1046">
                  <c:v>45663</c:v>
                </c:pt>
                <c:pt idx="1047">
                  <c:v>45664</c:v>
                </c:pt>
                <c:pt idx="1048">
                  <c:v>45665</c:v>
                </c:pt>
                <c:pt idx="1049">
                  <c:v>45666</c:v>
                </c:pt>
                <c:pt idx="1050">
                  <c:v>45667</c:v>
                </c:pt>
                <c:pt idx="1051">
                  <c:v>45670</c:v>
                </c:pt>
                <c:pt idx="1052">
                  <c:v>45671</c:v>
                </c:pt>
                <c:pt idx="1053">
                  <c:v>45672</c:v>
                </c:pt>
                <c:pt idx="1054">
                  <c:v>45673</c:v>
                </c:pt>
                <c:pt idx="1055">
                  <c:v>45674</c:v>
                </c:pt>
                <c:pt idx="1056">
                  <c:v>45677</c:v>
                </c:pt>
                <c:pt idx="1057">
                  <c:v>45678</c:v>
                </c:pt>
                <c:pt idx="1058">
                  <c:v>45679</c:v>
                </c:pt>
                <c:pt idx="1059">
                  <c:v>45680</c:v>
                </c:pt>
                <c:pt idx="1060">
                  <c:v>45681</c:v>
                </c:pt>
                <c:pt idx="1061">
                  <c:v>45684</c:v>
                </c:pt>
                <c:pt idx="1062">
                  <c:v>45685</c:v>
                </c:pt>
                <c:pt idx="1063">
                  <c:v>45686</c:v>
                </c:pt>
                <c:pt idx="1064">
                  <c:v>45687</c:v>
                </c:pt>
                <c:pt idx="1065">
                  <c:v>45688</c:v>
                </c:pt>
                <c:pt idx="1066">
                  <c:v>45691</c:v>
                </c:pt>
                <c:pt idx="1067">
                  <c:v>45692</c:v>
                </c:pt>
                <c:pt idx="1068">
                  <c:v>45693</c:v>
                </c:pt>
                <c:pt idx="1069">
                  <c:v>45694</c:v>
                </c:pt>
                <c:pt idx="1070">
                  <c:v>45695</c:v>
                </c:pt>
                <c:pt idx="1071">
                  <c:v>45698</c:v>
                </c:pt>
                <c:pt idx="1072">
                  <c:v>45699</c:v>
                </c:pt>
                <c:pt idx="1073">
                  <c:v>45700</c:v>
                </c:pt>
                <c:pt idx="1074">
                  <c:v>45701</c:v>
                </c:pt>
                <c:pt idx="1075">
                  <c:v>45702</c:v>
                </c:pt>
                <c:pt idx="1076">
                  <c:v>45705</c:v>
                </c:pt>
                <c:pt idx="1077">
                  <c:v>45706</c:v>
                </c:pt>
                <c:pt idx="1078">
                  <c:v>45707</c:v>
                </c:pt>
                <c:pt idx="1079">
                  <c:v>45708</c:v>
                </c:pt>
                <c:pt idx="1080">
                  <c:v>45709</c:v>
                </c:pt>
                <c:pt idx="1081">
                  <c:v>45712</c:v>
                </c:pt>
                <c:pt idx="1082">
                  <c:v>45713</c:v>
                </c:pt>
                <c:pt idx="1083">
                  <c:v>45714</c:v>
                </c:pt>
                <c:pt idx="1084">
                  <c:v>45715</c:v>
                </c:pt>
                <c:pt idx="1085">
                  <c:v>45716</c:v>
                </c:pt>
                <c:pt idx="1086">
                  <c:v>45719</c:v>
                </c:pt>
                <c:pt idx="1087">
                  <c:v>45720</c:v>
                </c:pt>
                <c:pt idx="1088">
                  <c:v>45721</c:v>
                </c:pt>
                <c:pt idx="1089">
                  <c:v>45722</c:v>
                </c:pt>
                <c:pt idx="1090">
                  <c:v>45723</c:v>
                </c:pt>
                <c:pt idx="1091">
                  <c:v>45726</c:v>
                </c:pt>
                <c:pt idx="1092">
                  <c:v>45727</c:v>
                </c:pt>
                <c:pt idx="1093">
                  <c:v>45728</c:v>
                </c:pt>
                <c:pt idx="1094">
                  <c:v>45729</c:v>
                </c:pt>
                <c:pt idx="1095">
                  <c:v>45730</c:v>
                </c:pt>
                <c:pt idx="1096">
                  <c:v>45733</c:v>
                </c:pt>
                <c:pt idx="1097">
                  <c:v>45734</c:v>
                </c:pt>
                <c:pt idx="1098">
                  <c:v>45735</c:v>
                </c:pt>
                <c:pt idx="1099">
                  <c:v>45736</c:v>
                </c:pt>
                <c:pt idx="1100">
                  <c:v>45737</c:v>
                </c:pt>
                <c:pt idx="1101">
                  <c:v>45740</c:v>
                </c:pt>
                <c:pt idx="1102">
                  <c:v>45741</c:v>
                </c:pt>
                <c:pt idx="1103">
                  <c:v>45742</c:v>
                </c:pt>
                <c:pt idx="1104">
                  <c:v>45743</c:v>
                </c:pt>
                <c:pt idx="1105">
                  <c:v>45744</c:v>
                </c:pt>
                <c:pt idx="1106">
                  <c:v>45747</c:v>
                </c:pt>
                <c:pt idx="1107">
                  <c:v>45748</c:v>
                </c:pt>
                <c:pt idx="1108">
                  <c:v>45749</c:v>
                </c:pt>
                <c:pt idx="1109">
                  <c:v>45750</c:v>
                </c:pt>
                <c:pt idx="1110">
                  <c:v>45751</c:v>
                </c:pt>
                <c:pt idx="1111">
                  <c:v>45754</c:v>
                </c:pt>
                <c:pt idx="1112">
                  <c:v>45755</c:v>
                </c:pt>
                <c:pt idx="1113">
                  <c:v>45756</c:v>
                </c:pt>
                <c:pt idx="1114">
                  <c:v>45757</c:v>
                </c:pt>
                <c:pt idx="1115">
                  <c:v>45758</c:v>
                </c:pt>
                <c:pt idx="1116">
                  <c:v>45761</c:v>
                </c:pt>
                <c:pt idx="1117">
                  <c:v>45762</c:v>
                </c:pt>
                <c:pt idx="1118">
                  <c:v>45763</c:v>
                </c:pt>
                <c:pt idx="1119">
                  <c:v>45764</c:v>
                </c:pt>
                <c:pt idx="1120">
                  <c:v>45765</c:v>
                </c:pt>
                <c:pt idx="1121">
                  <c:v>45768</c:v>
                </c:pt>
                <c:pt idx="1122">
                  <c:v>45769</c:v>
                </c:pt>
                <c:pt idx="1123">
                  <c:v>45770</c:v>
                </c:pt>
                <c:pt idx="1124">
                  <c:v>45771</c:v>
                </c:pt>
                <c:pt idx="1125">
                  <c:v>45772</c:v>
                </c:pt>
                <c:pt idx="1126">
                  <c:v>45775</c:v>
                </c:pt>
                <c:pt idx="1127">
                  <c:v>45776</c:v>
                </c:pt>
                <c:pt idx="1128">
                  <c:v>45777</c:v>
                </c:pt>
                <c:pt idx="1129">
                  <c:v>45778</c:v>
                </c:pt>
                <c:pt idx="1130">
                  <c:v>45779</c:v>
                </c:pt>
                <c:pt idx="1131">
                  <c:v>45782</c:v>
                </c:pt>
                <c:pt idx="1132">
                  <c:v>45783</c:v>
                </c:pt>
                <c:pt idx="1133">
                  <c:v>45784</c:v>
                </c:pt>
                <c:pt idx="1134">
                  <c:v>45785</c:v>
                </c:pt>
                <c:pt idx="1135">
                  <c:v>45786</c:v>
                </c:pt>
                <c:pt idx="1136">
                  <c:v>45789</c:v>
                </c:pt>
                <c:pt idx="1137">
                  <c:v>45790</c:v>
                </c:pt>
                <c:pt idx="1138">
                  <c:v>45791</c:v>
                </c:pt>
                <c:pt idx="1139">
                  <c:v>45792</c:v>
                </c:pt>
                <c:pt idx="1140">
                  <c:v>45793</c:v>
                </c:pt>
                <c:pt idx="1141">
                  <c:v>45796</c:v>
                </c:pt>
                <c:pt idx="1142">
                  <c:v>45797</c:v>
                </c:pt>
                <c:pt idx="1143">
                  <c:v>45798</c:v>
                </c:pt>
                <c:pt idx="1144">
                  <c:v>45799</c:v>
                </c:pt>
                <c:pt idx="1145">
                  <c:v>45800</c:v>
                </c:pt>
                <c:pt idx="1146">
                  <c:v>45803</c:v>
                </c:pt>
                <c:pt idx="1147">
                  <c:v>45804</c:v>
                </c:pt>
                <c:pt idx="1148">
                  <c:v>45805</c:v>
                </c:pt>
                <c:pt idx="1149">
                  <c:v>45806</c:v>
                </c:pt>
                <c:pt idx="1150">
                  <c:v>45807</c:v>
                </c:pt>
                <c:pt idx="1151">
                  <c:v>45810</c:v>
                </c:pt>
                <c:pt idx="1152">
                  <c:v>45811</c:v>
                </c:pt>
                <c:pt idx="1153">
                  <c:v>45812</c:v>
                </c:pt>
                <c:pt idx="1154">
                  <c:v>45813</c:v>
                </c:pt>
                <c:pt idx="1155">
                  <c:v>45814</c:v>
                </c:pt>
                <c:pt idx="1156">
                  <c:v>45817</c:v>
                </c:pt>
                <c:pt idx="1157">
                  <c:v>45818</c:v>
                </c:pt>
                <c:pt idx="1158">
                  <c:v>45819</c:v>
                </c:pt>
                <c:pt idx="1159">
                  <c:v>45820</c:v>
                </c:pt>
                <c:pt idx="1160">
                  <c:v>45821</c:v>
                </c:pt>
                <c:pt idx="1161">
                  <c:v>45824</c:v>
                </c:pt>
                <c:pt idx="1162">
                  <c:v>45825</c:v>
                </c:pt>
                <c:pt idx="1163">
                  <c:v>45826</c:v>
                </c:pt>
                <c:pt idx="1164">
                  <c:v>45827</c:v>
                </c:pt>
                <c:pt idx="1165">
                  <c:v>45828</c:v>
                </c:pt>
                <c:pt idx="1166">
                  <c:v>45831</c:v>
                </c:pt>
                <c:pt idx="1167">
                  <c:v>45832</c:v>
                </c:pt>
                <c:pt idx="1168">
                  <c:v>45833</c:v>
                </c:pt>
                <c:pt idx="1169">
                  <c:v>45834</c:v>
                </c:pt>
                <c:pt idx="1170">
                  <c:v>45835</c:v>
                </c:pt>
                <c:pt idx="1171">
                  <c:v>45838</c:v>
                </c:pt>
                <c:pt idx="1172">
                  <c:v>45839</c:v>
                </c:pt>
                <c:pt idx="1173">
                  <c:v>45840</c:v>
                </c:pt>
                <c:pt idx="1174">
                  <c:v>45841</c:v>
                </c:pt>
                <c:pt idx="1175">
                  <c:v>45842</c:v>
                </c:pt>
                <c:pt idx="1176">
                  <c:v>45845</c:v>
                </c:pt>
                <c:pt idx="1177">
                  <c:v>45846</c:v>
                </c:pt>
                <c:pt idx="1178">
                  <c:v>45847</c:v>
                </c:pt>
                <c:pt idx="1179">
                  <c:v>45848</c:v>
                </c:pt>
                <c:pt idx="1180">
                  <c:v>45849</c:v>
                </c:pt>
                <c:pt idx="1181">
                  <c:v>45852</c:v>
                </c:pt>
                <c:pt idx="1182">
                  <c:v>45853</c:v>
                </c:pt>
                <c:pt idx="1183">
                  <c:v>45854</c:v>
                </c:pt>
                <c:pt idx="1184">
                  <c:v>45855</c:v>
                </c:pt>
                <c:pt idx="1185">
                  <c:v>45856</c:v>
                </c:pt>
                <c:pt idx="1186">
                  <c:v>45859</c:v>
                </c:pt>
                <c:pt idx="1187">
                  <c:v>45860</c:v>
                </c:pt>
                <c:pt idx="1188">
                  <c:v>45861</c:v>
                </c:pt>
                <c:pt idx="1189">
                  <c:v>45862</c:v>
                </c:pt>
                <c:pt idx="1190">
                  <c:v>45863</c:v>
                </c:pt>
                <c:pt idx="1191">
                  <c:v>45866</c:v>
                </c:pt>
                <c:pt idx="1192">
                  <c:v>45867</c:v>
                </c:pt>
                <c:pt idx="1193">
                  <c:v>45868</c:v>
                </c:pt>
                <c:pt idx="1194">
                  <c:v>45869</c:v>
                </c:pt>
                <c:pt idx="1195">
                  <c:v>45870</c:v>
                </c:pt>
                <c:pt idx="1196">
                  <c:v>45873</c:v>
                </c:pt>
                <c:pt idx="1197">
                  <c:v>45874</c:v>
                </c:pt>
                <c:pt idx="1198">
                  <c:v>45875</c:v>
                </c:pt>
                <c:pt idx="1199">
                  <c:v>45876</c:v>
                </c:pt>
                <c:pt idx="1200">
                  <c:v>45877</c:v>
                </c:pt>
                <c:pt idx="1201">
                  <c:v>45880</c:v>
                </c:pt>
                <c:pt idx="1202">
                  <c:v>45881</c:v>
                </c:pt>
                <c:pt idx="1203">
                  <c:v>45882</c:v>
                </c:pt>
                <c:pt idx="1204">
                  <c:v>45883</c:v>
                </c:pt>
                <c:pt idx="1205">
                  <c:v>45884</c:v>
                </c:pt>
                <c:pt idx="1206">
                  <c:v>45887</c:v>
                </c:pt>
                <c:pt idx="1207">
                  <c:v>45888</c:v>
                </c:pt>
                <c:pt idx="1208">
                  <c:v>45889</c:v>
                </c:pt>
                <c:pt idx="1209">
                  <c:v>45890</c:v>
                </c:pt>
                <c:pt idx="1210">
                  <c:v>45891</c:v>
                </c:pt>
                <c:pt idx="1211">
                  <c:v>45894</c:v>
                </c:pt>
                <c:pt idx="1212">
                  <c:v>45895</c:v>
                </c:pt>
                <c:pt idx="1213">
                  <c:v>45896</c:v>
                </c:pt>
                <c:pt idx="1214">
                  <c:v>45897</c:v>
                </c:pt>
                <c:pt idx="1215">
                  <c:v>45898</c:v>
                </c:pt>
                <c:pt idx="1216">
                  <c:v>45901</c:v>
                </c:pt>
                <c:pt idx="1217">
                  <c:v>45902</c:v>
                </c:pt>
                <c:pt idx="1218">
                  <c:v>45903</c:v>
                </c:pt>
                <c:pt idx="1219">
                  <c:v>45904</c:v>
                </c:pt>
                <c:pt idx="1220">
                  <c:v>45905</c:v>
                </c:pt>
                <c:pt idx="1221">
                  <c:v>45908</c:v>
                </c:pt>
                <c:pt idx="1222">
                  <c:v>45909</c:v>
                </c:pt>
                <c:pt idx="1223">
                  <c:v>45910</c:v>
                </c:pt>
                <c:pt idx="1224">
                  <c:v>45911</c:v>
                </c:pt>
                <c:pt idx="1225">
                  <c:v>45912</c:v>
                </c:pt>
                <c:pt idx="1226">
                  <c:v>45915</c:v>
                </c:pt>
                <c:pt idx="1227">
                  <c:v>45916</c:v>
                </c:pt>
                <c:pt idx="1228">
                  <c:v>45917</c:v>
                </c:pt>
                <c:pt idx="1229">
                  <c:v>45918</c:v>
                </c:pt>
                <c:pt idx="1230">
                  <c:v>45919</c:v>
                </c:pt>
                <c:pt idx="1231">
                  <c:v>45922</c:v>
                </c:pt>
                <c:pt idx="1232">
                  <c:v>45923</c:v>
                </c:pt>
                <c:pt idx="1233">
                  <c:v>45924</c:v>
                </c:pt>
                <c:pt idx="1234">
                  <c:v>45925</c:v>
                </c:pt>
                <c:pt idx="1235">
                  <c:v>45926</c:v>
                </c:pt>
                <c:pt idx="1236">
                  <c:v>45929</c:v>
                </c:pt>
                <c:pt idx="1237">
                  <c:v>45930</c:v>
                </c:pt>
                <c:pt idx="1238">
                  <c:v>45931</c:v>
                </c:pt>
                <c:pt idx="1239">
                  <c:v>45932</c:v>
                </c:pt>
                <c:pt idx="1240">
                  <c:v>45933</c:v>
                </c:pt>
                <c:pt idx="1241">
                  <c:v>45936</c:v>
                </c:pt>
                <c:pt idx="1242">
                  <c:v>45937</c:v>
                </c:pt>
                <c:pt idx="1243">
                  <c:v>45938</c:v>
                </c:pt>
                <c:pt idx="1244">
                  <c:v>45939</c:v>
                </c:pt>
                <c:pt idx="1245">
                  <c:v>45940</c:v>
                </c:pt>
                <c:pt idx="1246">
                  <c:v>45943</c:v>
                </c:pt>
                <c:pt idx="1247">
                  <c:v>45944</c:v>
                </c:pt>
                <c:pt idx="1248">
                  <c:v>45945</c:v>
                </c:pt>
                <c:pt idx="1249">
                  <c:v>45946</c:v>
                </c:pt>
                <c:pt idx="1250">
                  <c:v>45947</c:v>
                </c:pt>
                <c:pt idx="1251">
                  <c:v>45950</c:v>
                </c:pt>
                <c:pt idx="1252">
                  <c:v>45951</c:v>
                </c:pt>
                <c:pt idx="1253">
                  <c:v>45952</c:v>
                </c:pt>
                <c:pt idx="1254">
                  <c:v>45953</c:v>
                </c:pt>
                <c:pt idx="1255">
                  <c:v>45954</c:v>
                </c:pt>
                <c:pt idx="1256">
                  <c:v>45957</c:v>
                </c:pt>
                <c:pt idx="1257">
                  <c:v>45958</c:v>
                </c:pt>
                <c:pt idx="1258">
                  <c:v>45959</c:v>
                </c:pt>
                <c:pt idx="1259">
                  <c:v>45960</c:v>
                </c:pt>
                <c:pt idx="1260">
                  <c:v>45961</c:v>
                </c:pt>
                <c:pt idx="1261">
                  <c:v>45964</c:v>
                </c:pt>
                <c:pt idx="1262">
                  <c:v>45965</c:v>
                </c:pt>
                <c:pt idx="1263">
                  <c:v>45966</c:v>
                </c:pt>
                <c:pt idx="1264">
                  <c:v>45967</c:v>
                </c:pt>
                <c:pt idx="1265">
                  <c:v>45968</c:v>
                </c:pt>
                <c:pt idx="1266">
                  <c:v>45971</c:v>
                </c:pt>
                <c:pt idx="1267">
                  <c:v>45972</c:v>
                </c:pt>
                <c:pt idx="1268">
                  <c:v>45973</c:v>
                </c:pt>
                <c:pt idx="1269">
                  <c:v>45974</c:v>
                </c:pt>
                <c:pt idx="1270">
                  <c:v>45975</c:v>
                </c:pt>
                <c:pt idx="1271">
                  <c:v>45978</c:v>
                </c:pt>
                <c:pt idx="1272">
                  <c:v>45979</c:v>
                </c:pt>
                <c:pt idx="1273">
                  <c:v>45980</c:v>
                </c:pt>
                <c:pt idx="1274">
                  <c:v>45981</c:v>
                </c:pt>
                <c:pt idx="1275">
                  <c:v>45982</c:v>
                </c:pt>
                <c:pt idx="1276">
                  <c:v>45985</c:v>
                </c:pt>
                <c:pt idx="1277">
                  <c:v>45986</c:v>
                </c:pt>
                <c:pt idx="1278">
                  <c:v>45987</c:v>
                </c:pt>
                <c:pt idx="1279">
                  <c:v>45988</c:v>
                </c:pt>
                <c:pt idx="1280">
                  <c:v>45989</c:v>
                </c:pt>
                <c:pt idx="1281">
                  <c:v>45992</c:v>
                </c:pt>
                <c:pt idx="1282">
                  <c:v>45993</c:v>
                </c:pt>
                <c:pt idx="1283">
                  <c:v>45994</c:v>
                </c:pt>
                <c:pt idx="1284">
                  <c:v>45995</c:v>
                </c:pt>
                <c:pt idx="1285">
                  <c:v>45996</c:v>
                </c:pt>
                <c:pt idx="1286">
                  <c:v>45999</c:v>
                </c:pt>
                <c:pt idx="1287">
                  <c:v>46000</c:v>
                </c:pt>
                <c:pt idx="1288">
                  <c:v>46001</c:v>
                </c:pt>
                <c:pt idx="1289">
                  <c:v>46002</c:v>
                </c:pt>
                <c:pt idx="1290">
                  <c:v>46003</c:v>
                </c:pt>
                <c:pt idx="1291">
                  <c:v>46006</c:v>
                </c:pt>
                <c:pt idx="1292">
                  <c:v>46007</c:v>
                </c:pt>
                <c:pt idx="1293">
                  <c:v>46008</c:v>
                </c:pt>
                <c:pt idx="1294">
                  <c:v>46009</c:v>
                </c:pt>
                <c:pt idx="1295">
                  <c:v>46010</c:v>
                </c:pt>
                <c:pt idx="1296">
                  <c:v>46013</c:v>
                </c:pt>
                <c:pt idx="1297">
                  <c:v>46014</c:v>
                </c:pt>
                <c:pt idx="1298">
                  <c:v>46015</c:v>
                </c:pt>
                <c:pt idx="1299">
                  <c:v>46016</c:v>
                </c:pt>
                <c:pt idx="1300">
                  <c:v>46017</c:v>
                </c:pt>
                <c:pt idx="1301">
                  <c:v>46020</c:v>
                </c:pt>
                <c:pt idx="1302">
                  <c:v>46021</c:v>
                </c:pt>
                <c:pt idx="1303">
                  <c:v>46022</c:v>
                </c:pt>
              </c:numCache>
            </c:numRef>
          </c:cat>
          <c:val>
            <c:numRef>
              <c:f>Statsformat!$C$2618:$C$3921</c:f>
              <c:numCache>
                <c:formatCode>General</c:formatCode>
                <c:ptCount val="1304"/>
                <c:pt idx="0">
                  <c:v>0.03</c:v>
                </c:pt>
                <c:pt idx="1">
                  <c:v>-0.01</c:v>
                </c:pt>
                <c:pt idx="2">
                  <c:v>0</c:v>
                </c:pt>
                <c:pt idx="3">
                  <c:v>0</c:v>
                </c:pt>
                <c:pt idx="4">
                  <c:v>0.05</c:v>
                </c:pt>
                <c:pt idx="5">
                  <c:v>7.0000000000000007E-2</c:v>
                </c:pt>
                <c:pt idx="6">
                  <c:v>0.08</c:v>
                </c:pt>
                <c:pt idx="7">
                  <c:v>0.11</c:v>
                </c:pt>
                <c:pt idx="8">
                  <c:v>0.06</c:v>
                </c:pt>
                <c:pt idx="9">
                  <c:v>0.03</c:v>
                </c:pt>
                <c:pt idx="10">
                  <c:v>0.04</c:v>
                </c:pt>
                <c:pt idx="11">
                  <c:v>0.05</c:v>
                </c:pt>
                <c:pt idx="12">
                  <c:v>0.06</c:v>
                </c:pt>
                <c:pt idx="13">
                  <c:v>7.0000000000000007E-2</c:v>
                </c:pt>
                <c:pt idx="14">
                  <c:v>0.11</c:v>
                </c:pt>
                <c:pt idx="15">
                  <c:v>0.09</c:v>
                </c:pt>
                <c:pt idx="16">
                  <c:v>0.06</c:v>
                </c:pt>
                <c:pt idx="17">
                  <c:v>7.0000000000000007E-2</c:v>
                </c:pt>
                <c:pt idx="18">
                  <c:v>0.06</c:v>
                </c:pt>
                <c:pt idx="19">
                  <c:v>0.05</c:v>
                </c:pt>
                <c:pt idx="20">
                  <c:v>0.09</c:v>
                </c:pt>
                <c:pt idx="21">
                  <c:v>0.09</c:v>
                </c:pt>
                <c:pt idx="22">
                  <c:v>0.11</c:v>
                </c:pt>
                <c:pt idx="23">
                  <c:v>0.13</c:v>
                </c:pt>
                <c:pt idx="24">
                  <c:v>0.14000000000000001</c:v>
                </c:pt>
                <c:pt idx="25">
                  <c:v>0.14000000000000001</c:v>
                </c:pt>
                <c:pt idx="26">
                  <c:v>0.16</c:v>
                </c:pt>
                <c:pt idx="27">
                  <c:v>0.17</c:v>
                </c:pt>
                <c:pt idx="28">
                  <c:v>0.17</c:v>
                </c:pt>
                <c:pt idx="29">
                  <c:v>0.15</c:v>
                </c:pt>
                <c:pt idx="30">
                  <c:v>0.19</c:v>
                </c:pt>
                <c:pt idx="31">
                  <c:v>0.24</c:v>
                </c:pt>
                <c:pt idx="32">
                  <c:v>0.28999999999999998</c:v>
                </c:pt>
                <c:pt idx="33">
                  <c:v>0.28000000000000003</c:v>
                </c:pt>
                <c:pt idx="34">
                  <c:v>0.31</c:v>
                </c:pt>
                <c:pt idx="35">
                  <c:v>0.33</c:v>
                </c:pt>
                <c:pt idx="36">
                  <c:v>0.28999999999999998</c:v>
                </c:pt>
                <c:pt idx="37">
                  <c:v>0.32</c:v>
                </c:pt>
                <c:pt idx="38">
                  <c:v>0.33</c:v>
                </c:pt>
                <c:pt idx="39">
                  <c:v>0.46</c:v>
                </c:pt>
                <c:pt idx="40">
                  <c:v>0.39</c:v>
                </c:pt>
                <c:pt idx="41">
                  <c:v>0.33</c:v>
                </c:pt>
                <c:pt idx="42">
                  <c:v>0.34</c:v>
                </c:pt>
                <c:pt idx="43">
                  <c:v>0.4</c:v>
                </c:pt>
                <c:pt idx="44">
                  <c:v>0.42</c:v>
                </c:pt>
                <c:pt idx="45">
                  <c:v>0.44</c:v>
                </c:pt>
                <c:pt idx="46">
                  <c:v>0.45</c:v>
                </c:pt>
                <c:pt idx="47">
                  <c:v>0.42</c:v>
                </c:pt>
                <c:pt idx="48">
                  <c:v>0.39</c:v>
                </c:pt>
                <c:pt idx="49">
                  <c:v>0.35</c:v>
                </c:pt>
                <c:pt idx="50">
                  <c:v>0.39</c:v>
                </c:pt>
                <c:pt idx="51">
                  <c:v>0.37</c:v>
                </c:pt>
                <c:pt idx="52">
                  <c:v>0.37</c:v>
                </c:pt>
                <c:pt idx="53">
                  <c:v>0.43</c:v>
                </c:pt>
                <c:pt idx="54">
                  <c:v>0.45</c:v>
                </c:pt>
                <c:pt idx="55">
                  <c:v>0.41</c:v>
                </c:pt>
                <c:pt idx="56">
                  <c:v>0.4</c:v>
                </c:pt>
                <c:pt idx="57">
                  <c:v>0.37</c:v>
                </c:pt>
                <c:pt idx="58">
                  <c:v>0.35</c:v>
                </c:pt>
                <c:pt idx="59">
                  <c:v>0.32</c:v>
                </c:pt>
                <c:pt idx="60">
                  <c:v>0.35</c:v>
                </c:pt>
                <c:pt idx="61">
                  <c:v>0.38</c:v>
                </c:pt>
                <c:pt idx="62">
                  <c:v>0.41</c:v>
                </c:pt>
                <c:pt idx="63">
                  <c:v>0.38</c:v>
                </c:pt>
                <c:pt idx="64">
                  <c:v>0.35</c:v>
                </c:pt>
                <c:pt idx="65">
                  <c:v>0.35</c:v>
                </c:pt>
                <c:pt idx="66">
                  <c:v>0.35</c:v>
                </c:pt>
                <c:pt idx="67">
                  <c:v>0.36</c:v>
                </c:pt>
                <c:pt idx="68">
                  <c:v>0.34</c:v>
                </c:pt>
                <c:pt idx="69">
                  <c:v>0.33</c:v>
                </c:pt>
                <c:pt idx="70">
                  <c:v>0.34</c:v>
                </c:pt>
                <c:pt idx="71">
                  <c:v>0.34</c:v>
                </c:pt>
                <c:pt idx="72">
                  <c:v>0.35</c:v>
                </c:pt>
                <c:pt idx="73">
                  <c:v>0.37</c:v>
                </c:pt>
                <c:pt idx="74">
                  <c:v>0.34</c:v>
                </c:pt>
                <c:pt idx="75">
                  <c:v>0.36</c:v>
                </c:pt>
                <c:pt idx="76">
                  <c:v>0.38</c:v>
                </c:pt>
                <c:pt idx="77">
                  <c:v>0.37</c:v>
                </c:pt>
                <c:pt idx="78">
                  <c:v>0.34</c:v>
                </c:pt>
                <c:pt idx="79">
                  <c:v>0.35</c:v>
                </c:pt>
                <c:pt idx="80">
                  <c:v>0.35</c:v>
                </c:pt>
                <c:pt idx="81">
                  <c:v>0.36</c:v>
                </c:pt>
                <c:pt idx="82">
                  <c:v>0.36</c:v>
                </c:pt>
                <c:pt idx="83">
                  <c:v>0.38</c:v>
                </c:pt>
                <c:pt idx="84">
                  <c:v>0.41</c:v>
                </c:pt>
                <c:pt idx="85">
                  <c:v>0.4</c:v>
                </c:pt>
                <c:pt idx="86">
                  <c:v>0.39</c:v>
                </c:pt>
                <c:pt idx="87">
                  <c:v>0.38</c:v>
                </c:pt>
                <c:pt idx="88">
                  <c:v>0.38</c:v>
                </c:pt>
                <c:pt idx="89">
                  <c:v>0.37</c:v>
                </c:pt>
                <c:pt idx="90">
                  <c:v>0.37</c:v>
                </c:pt>
                <c:pt idx="91">
                  <c:v>0.38</c:v>
                </c:pt>
                <c:pt idx="92">
                  <c:v>0.41</c:v>
                </c:pt>
                <c:pt idx="93">
                  <c:v>0.44</c:v>
                </c:pt>
                <c:pt idx="94">
                  <c:v>0.44</c:v>
                </c:pt>
                <c:pt idx="95">
                  <c:v>0.44</c:v>
                </c:pt>
                <c:pt idx="96">
                  <c:v>0.44</c:v>
                </c:pt>
                <c:pt idx="97">
                  <c:v>0.45</c:v>
                </c:pt>
                <c:pt idx="98">
                  <c:v>0.44</c:v>
                </c:pt>
                <c:pt idx="99">
                  <c:v>0.46</c:v>
                </c:pt>
                <c:pt idx="100">
                  <c:v>0.43</c:v>
                </c:pt>
                <c:pt idx="101">
                  <c:v>0.42</c:v>
                </c:pt>
                <c:pt idx="102">
                  <c:v>0.39</c:v>
                </c:pt>
                <c:pt idx="103">
                  <c:v>0.34</c:v>
                </c:pt>
                <c:pt idx="104">
                  <c:v>0.41</c:v>
                </c:pt>
                <c:pt idx="105">
                  <c:v>0.41</c:v>
                </c:pt>
                <c:pt idx="106">
                  <c:v>0.41</c:v>
                </c:pt>
                <c:pt idx="107">
                  <c:v>0.43</c:v>
                </c:pt>
                <c:pt idx="108">
                  <c:v>0.41</c:v>
                </c:pt>
                <c:pt idx="109">
                  <c:v>0.42</c:v>
                </c:pt>
                <c:pt idx="110">
                  <c:v>0.4</c:v>
                </c:pt>
                <c:pt idx="111">
                  <c:v>0.4</c:v>
                </c:pt>
                <c:pt idx="112">
                  <c:v>0.36</c:v>
                </c:pt>
                <c:pt idx="113">
                  <c:v>0.32</c:v>
                </c:pt>
                <c:pt idx="114">
                  <c:v>0.33</c:v>
                </c:pt>
                <c:pt idx="115">
                  <c:v>0.3</c:v>
                </c:pt>
                <c:pt idx="116">
                  <c:v>0.3</c:v>
                </c:pt>
                <c:pt idx="117">
                  <c:v>0.35</c:v>
                </c:pt>
                <c:pt idx="118">
                  <c:v>0.32</c:v>
                </c:pt>
                <c:pt idx="119">
                  <c:v>0.34</c:v>
                </c:pt>
                <c:pt idx="120">
                  <c:v>0.32</c:v>
                </c:pt>
                <c:pt idx="121">
                  <c:v>0.34</c:v>
                </c:pt>
                <c:pt idx="122">
                  <c:v>0.34</c:v>
                </c:pt>
                <c:pt idx="123">
                  <c:v>0.32</c:v>
                </c:pt>
                <c:pt idx="124">
                  <c:v>0.32</c:v>
                </c:pt>
                <c:pt idx="125">
                  <c:v>0.32</c:v>
                </c:pt>
                <c:pt idx="126">
                  <c:v>0.33</c:v>
                </c:pt>
                <c:pt idx="127">
                  <c:v>0.33</c:v>
                </c:pt>
                <c:pt idx="128">
                  <c:v>0.31</c:v>
                </c:pt>
                <c:pt idx="129">
                  <c:v>0.3</c:v>
                </c:pt>
                <c:pt idx="130">
                  <c:v>0.28000000000000003</c:v>
                </c:pt>
                <c:pt idx="131">
                  <c:v>0.28999999999999998</c:v>
                </c:pt>
                <c:pt idx="132">
                  <c:v>0.25</c:v>
                </c:pt>
                <c:pt idx="133">
                  <c:v>0.2</c:v>
                </c:pt>
                <c:pt idx="134">
                  <c:v>0.17</c:v>
                </c:pt>
                <c:pt idx="135">
                  <c:v>0.2</c:v>
                </c:pt>
                <c:pt idx="136">
                  <c:v>0.18</c:v>
                </c:pt>
                <c:pt idx="137">
                  <c:v>0.17</c:v>
                </c:pt>
                <c:pt idx="138">
                  <c:v>0.18</c:v>
                </c:pt>
                <c:pt idx="139">
                  <c:v>0.18</c:v>
                </c:pt>
                <c:pt idx="140">
                  <c:v>0.15</c:v>
                </c:pt>
                <c:pt idx="141">
                  <c:v>0.1</c:v>
                </c:pt>
                <c:pt idx="142">
                  <c:v>0.09</c:v>
                </c:pt>
                <c:pt idx="143">
                  <c:v>0.13</c:v>
                </c:pt>
                <c:pt idx="144">
                  <c:v>0.11</c:v>
                </c:pt>
                <c:pt idx="145">
                  <c:v>0.12</c:v>
                </c:pt>
                <c:pt idx="146">
                  <c:v>0.12</c:v>
                </c:pt>
                <c:pt idx="147">
                  <c:v>0.11</c:v>
                </c:pt>
                <c:pt idx="148">
                  <c:v>0.09</c:v>
                </c:pt>
                <c:pt idx="149">
                  <c:v>0.1</c:v>
                </c:pt>
                <c:pt idx="150">
                  <c:v>0.09</c:v>
                </c:pt>
                <c:pt idx="151">
                  <c:v>7.0000000000000007E-2</c:v>
                </c:pt>
                <c:pt idx="152">
                  <c:v>0.06</c:v>
                </c:pt>
                <c:pt idx="153">
                  <c:v>0.06</c:v>
                </c:pt>
                <c:pt idx="154">
                  <c:v>0.05</c:v>
                </c:pt>
                <c:pt idx="155">
                  <c:v>0.09</c:v>
                </c:pt>
                <c:pt idx="156">
                  <c:v>0.08</c:v>
                </c:pt>
                <c:pt idx="157">
                  <c:v>0.08</c:v>
                </c:pt>
                <c:pt idx="158">
                  <c:v>0.11</c:v>
                </c:pt>
                <c:pt idx="159">
                  <c:v>0.12</c:v>
                </c:pt>
                <c:pt idx="160">
                  <c:v>0.12</c:v>
                </c:pt>
                <c:pt idx="161">
                  <c:v>0.13</c:v>
                </c:pt>
                <c:pt idx="162">
                  <c:v>0.09</c:v>
                </c:pt>
                <c:pt idx="163">
                  <c:v>7.0000000000000007E-2</c:v>
                </c:pt>
                <c:pt idx="164">
                  <c:v>0.06</c:v>
                </c:pt>
                <c:pt idx="165">
                  <c:v>0.06</c:v>
                </c:pt>
                <c:pt idx="166">
                  <c:v>0.08</c:v>
                </c:pt>
                <c:pt idx="167">
                  <c:v>0.08</c:v>
                </c:pt>
                <c:pt idx="168">
                  <c:v>0.14000000000000001</c:v>
                </c:pt>
                <c:pt idx="169">
                  <c:v>0.16</c:v>
                </c:pt>
                <c:pt idx="170">
                  <c:v>0.15</c:v>
                </c:pt>
                <c:pt idx="171">
                  <c:v>0.16</c:v>
                </c:pt>
                <c:pt idx="172">
                  <c:v>0.17</c:v>
                </c:pt>
                <c:pt idx="173">
                  <c:v>0.19</c:v>
                </c:pt>
                <c:pt idx="174">
                  <c:v>0.18</c:v>
                </c:pt>
                <c:pt idx="175">
                  <c:v>0.2</c:v>
                </c:pt>
                <c:pt idx="176">
                  <c:v>0.19</c:v>
                </c:pt>
                <c:pt idx="177">
                  <c:v>0.25</c:v>
                </c:pt>
                <c:pt idx="178">
                  <c:v>0.23</c:v>
                </c:pt>
                <c:pt idx="179">
                  <c:v>0.18</c:v>
                </c:pt>
                <c:pt idx="180">
                  <c:v>0.19</c:v>
                </c:pt>
                <c:pt idx="181">
                  <c:v>0.2</c:v>
                </c:pt>
                <c:pt idx="182">
                  <c:v>0.23</c:v>
                </c:pt>
                <c:pt idx="183">
                  <c:v>0.25</c:v>
                </c:pt>
                <c:pt idx="184">
                  <c:v>0.27</c:v>
                </c:pt>
                <c:pt idx="185">
                  <c:v>0.31</c:v>
                </c:pt>
                <c:pt idx="186">
                  <c:v>0.26</c:v>
                </c:pt>
                <c:pt idx="187">
                  <c:v>0.24</c:v>
                </c:pt>
                <c:pt idx="188">
                  <c:v>0.25</c:v>
                </c:pt>
                <c:pt idx="189">
                  <c:v>0.3</c:v>
                </c:pt>
                <c:pt idx="190">
                  <c:v>0.32</c:v>
                </c:pt>
                <c:pt idx="191">
                  <c:v>0.33</c:v>
                </c:pt>
                <c:pt idx="192">
                  <c:v>0.37</c:v>
                </c:pt>
                <c:pt idx="193">
                  <c:v>0.35</c:v>
                </c:pt>
                <c:pt idx="194">
                  <c:v>0.38</c:v>
                </c:pt>
                <c:pt idx="195">
                  <c:v>0.35</c:v>
                </c:pt>
                <c:pt idx="196">
                  <c:v>0.36</c:v>
                </c:pt>
                <c:pt idx="197">
                  <c:v>0.39</c:v>
                </c:pt>
                <c:pt idx="198">
                  <c:v>0.36</c:v>
                </c:pt>
                <c:pt idx="199">
                  <c:v>0.36</c:v>
                </c:pt>
                <c:pt idx="200">
                  <c:v>0.38</c:v>
                </c:pt>
                <c:pt idx="201">
                  <c:v>0.4</c:v>
                </c:pt>
                <c:pt idx="202">
                  <c:v>0.4</c:v>
                </c:pt>
                <c:pt idx="203">
                  <c:v>0.36</c:v>
                </c:pt>
                <c:pt idx="204">
                  <c:v>0.31</c:v>
                </c:pt>
                <c:pt idx="205">
                  <c:v>0.33</c:v>
                </c:pt>
                <c:pt idx="206">
                  <c:v>0.37</c:v>
                </c:pt>
                <c:pt idx="207">
                  <c:v>0.39</c:v>
                </c:pt>
                <c:pt idx="208">
                  <c:v>0.37</c:v>
                </c:pt>
                <c:pt idx="209">
                  <c:v>0.4</c:v>
                </c:pt>
                <c:pt idx="210">
                  <c:v>0.4</c:v>
                </c:pt>
                <c:pt idx="211">
                  <c:v>0.38</c:v>
                </c:pt>
                <c:pt idx="212">
                  <c:v>0.37</c:v>
                </c:pt>
                <c:pt idx="213">
                  <c:v>0.28999999999999998</c:v>
                </c:pt>
                <c:pt idx="214">
                  <c:v>0.32</c:v>
                </c:pt>
                <c:pt idx="215">
                  <c:v>0.39</c:v>
                </c:pt>
                <c:pt idx="216">
                  <c:v>0.36</c:v>
                </c:pt>
                <c:pt idx="217">
                  <c:v>0.28999999999999998</c:v>
                </c:pt>
                <c:pt idx="218">
                  <c:v>0.31</c:v>
                </c:pt>
                <c:pt idx="219">
                  <c:v>0.3</c:v>
                </c:pt>
                <c:pt idx="220">
                  <c:v>0.25</c:v>
                </c:pt>
                <c:pt idx="221">
                  <c:v>0.26</c:v>
                </c:pt>
                <c:pt idx="222">
                  <c:v>0.24</c:v>
                </c:pt>
                <c:pt idx="223">
                  <c:v>0.28000000000000003</c:v>
                </c:pt>
                <c:pt idx="224">
                  <c:v>0.31</c:v>
                </c:pt>
                <c:pt idx="225">
                  <c:v>0.28999999999999998</c:v>
                </c:pt>
                <c:pt idx="226">
                  <c:v>0.32</c:v>
                </c:pt>
                <c:pt idx="227">
                  <c:v>0.34</c:v>
                </c:pt>
                <c:pt idx="228">
                  <c:v>0.34</c:v>
                </c:pt>
                <c:pt idx="229">
                  <c:v>0.3</c:v>
                </c:pt>
                <c:pt idx="230">
                  <c:v>0.22</c:v>
                </c:pt>
                <c:pt idx="231">
                  <c:v>0.26</c:v>
                </c:pt>
                <c:pt idx="232">
                  <c:v>0.31</c:v>
                </c:pt>
                <c:pt idx="233">
                  <c:v>0.32</c:v>
                </c:pt>
                <c:pt idx="234">
                  <c:v>0.28999999999999998</c:v>
                </c:pt>
                <c:pt idx="235">
                  <c:v>0.21</c:v>
                </c:pt>
                <c:pt idx="236">
                  <c:v>0.23</c:v>
                </c:pt>
                <c:pt idx="237">
                  <c:v>0.17</c:v>
                </c:pt>
                <c:pt idx="238">
                  <c:v>0.2</c:v>
                </c:pt>
                <c:pt idx="239">
                  <c:v>0.13</c:v>
                </c:pt>
                <c:pt idx="240">
                  <c:v>0.13</c:v>
                </c:pt>
                <c:pt idx="241">
                  <c:v>0.11</c:v>
                </c:pt>
                <c:pt idx="242">
                  <c:v>0.11</c:v>
                </c:pt>
                <c:pt idx="243">
                  <c:v>0.14000000000000001</c:v>
                </c:pt>
                <c:pt idx="244">
                  <c:v>0.1</c:v>
                </c:pt>
                <c:pt idx="245">
                  <c:v>0.12</c:v>
                </c:pt>
                <c:pt idx="246">
                  <c:v>0.11</c:v>
                </c:pt>
                <c:pt idx="247">
                  <c:v>0.14000000000000001</c:v>
                </c:pt>
                <c:pt idx="248">
                  <c:v>0.13</c:v>
                </c:pt>
                <c:pt idx="249">
                  <c:v>0.16</c:v>
                </c:pt>
                <c:pt idx="250">
                  <c:v>0.14000000000000001</c:v>
                </c:pt>
                <c:pt idx="251">
                  <c:v>0.14000000000000001</c:v>
                </c:pt>
                <c:pt idx="252">
                  <c:v>0.18</c:v>
                </c:pt>
                <c:pt idx="253">
                  <c:v>0.2</c:v>
                </c:pt>
                <c:pt idx="254">
                  <c:v>0.22</c:v>
                </c:pt>
                <c:pt idx="255">
                  <c:v>0.22</c:v>
                </c:pt>
                <c:pt idx="256">
                  <c:v>0.25</c:v>
                </c:pt>
                <c:pt idx="257">
                  <c:v>0.24</c:v>
                </c:pt>
                <c:pt idx="258">
                  <c:v>0.28999999999999998</c:v>
                </c:pt>
                <c:pt idx="259">
                  <c:v>0.28999999999999998</c:v>
                </c:pt>
                <c:pt idx="260">
                  <c:v>0.28999999999999998</c:v>
                </c:pt>
                <c:pt idx="261">
                  <c:v>0.35</c:v>
                </c:pt>
                <c:pt idx="262">
                  <c:v>0.35</c:v>
                </c:pt>
                <c:pt idx="263">
                  <c:v>0.37</c:v>
                </c:pt>
                <c:pt idx="264">
                  <c:v>0.37</c:v>
                </c:pt>
                <c:pt idx="265">
                  <c:v>0.42</c:v>
                </c:pt>
                <c:pt idx="266">
                  <c:v>0.45</c:v>
                </c:pt>
                <c:pt idx="267">
                  <c:v>0.46</c:v>
                </c:pt>
                <c:pt idx="268">
                  <c:v>0.42</c:v>
                </c:pt>
                <c:pt idx="269">
                  <c:v>0.39</c:v>
                </c:pt>
                <c:pt idx="270">
                  <c:v>0.4</c:v>
                </c:pt>
                <c:pt idx="271">
                  <c:v>0.41</c:v>
                </c:pt>
                <c:pt idx="272">
                  <c:v>0.41</c:v>
                </c:pt>
                <c:pt idx="273">
                  <c:v>0.42</c:v>
                </c:pt>
                <c:pt idx="274">
                  <c:v>0.38</c:v>
                </c:pt>
                <c:pt idx="275">
                  <c:v>0.34</c:v>
                </c:pt>
                <c:pt idx="276">
                  <c:v>0.32</c:v>
                </c:pt>
                <c:pt idx="277">
                  <c:v>0.32</c:v>
                </c:pt>
                <c:pt idx="278">
                  <c:v>0.33</c:v>
                </c:pt>
                <c:pt idx="279">
                  <c:v>0.35</c:v>
                </c:pt>
                <c:pt idx="280">
                  <c:v>0.37</c:v>
                </c:pt>
                <c:pt idx="281">
                  <c:v>0.4</c:v>
                </c:pt>
                <c:pt idx="282">
                  <c:v>0.41</c:v>
                </c:pt>
                <c:pt idx="283">
                  <c:v>0.43</c:v>
                </c:pt>
                <c:pt idx="284">
                  <c:v>0.53</c:v>
                </c:pt>
                <c:pt idx="285">
                  <c:v>0.61</c:v>
                </c:pt>
                <c:pt idx="286">
                  <c:v>0.67</c:v>
                </c:pt>
                <c:pt idx="287">
                  <c:v>0.7</c:v>
                </c:pt>
                <c:pt idx="288">
                  <c:v>0.67</c:v>
                </c:pt>
                <c:pt idx="289">
                  <c:v>0.67</c:v>
                </c:pt>
                <c:pt idx="290">
                  <c:v>0.65</c:v>
                </c:pt>
                <c:pt idx="291">
                  <c:v>0.63</c:v>
                </c:pt>
                <c:pt idx="292">
                  <c:v>0.66</c:v>
                </c:pt>
                <c:pt idx="293">
                  <c:v>0.6</c:v>
                </c:pt>
                <c:pt idx="294">
                  <c:v>0.56000000000000005</c:v>
                </c:pt>
                <c:pt idx="295">
                  <c:v>0.56999999999999995</c:v>
                </c:pt>
                <c:pt idx="296">
                  <c:v>0.6</c:v>
                </c:pt>
                <c:pt idx="297">
                  <c:v>0.66</c:v>
                </c:pt>
                <c:pt idx="298">
                  <c:v>0.66</c:v>
                </c:pt>
                <c:pt idx="299">
                  <c:v>0.56000000000000005</c:v>
                </c:pt>
                <c:pt idx="300">
                  <c:v>0.61</c:v>
                </c:pt>
                <c:pt idx="301">
                  <c:v>0.54</c:v>
                </c:pt>
                <c:pt idx="302">
                  <c:v>0.38</c:v>
                </c:pt>
                <c:pt idx="303">
                  <c:v>0.4</c:v>
                </c:pt>
                <c:pt idx="304">
                  <c:v>0.47</c:v>
                </c:pt>
                <c:pt idx="305">
                  <c:v>0.41</c:v>
                </c:pt>
                <c:pt idx="306">
                  <c:v>0.46</c:v>
                </c:pt>
                <c:pt idx="307">
                  <c:v>0.56000000000000005</c:v>
                </c:pt>
                <c:pt idx="308">
                  <c:v>0.62</c:v>
                </c:pt>
                <c:pt idx="309">
                  <c:v>0.68</c:v>
                </c:pt>
                <c:pt idx="310">
                  <c:v>0.68</c:v>
                </c:pt>
                <c:pt idx="311">
                  <c:v>0.79</c:v>
                </c:pt>
                <c:pt idx="312">
                  <c:v>0.77</c:v>
                </c:pt>
                <c:pt idx="313">
                  <c:v>0.84</c:v>
                </c:pt>
                <c:pt idx="314">
                  <c:v>0.85</c:v>
                </c:pt>
                <c:pt idx="315">
                  <c:v>0.84</c:v>
                </c:pt>
                <c:pt idx="316">
                  <c:v>0.92</c:v>
                </c:pt>
                <c:pt idx="317">
                  <c:v>1.01</c:v>
                </c:pt>
                <c:pt idx="318">
                  <c:v>1.05</c:v>
                </c:pt>
                <c:pt idx="319">
                  <c:v>1.1399999999999999</c:v>
                </c:pt>
                <c:pt idx="320">
                  <c:v>1.18</c:v>
                </c:pt>
                <c:pt idx="321">
                  <c:v>1.21</c:v>
                </c:pt>
                <c:pt idx="322">
                  <c:v>1.27</c:v>
                </c:pt>
                <c:pt idx="323">
                  <c:v>1.31</c:v>
                </c:pt>
                <c:pt idx="324">
                  <c:v>1.2</c:v>
                </c:pt>
                <c:pt idx="325">
                  <c:v>1.18</c:v>
                </c:pt>
                <c:pt idx="326">
                  <c:v>1.1299999999999999</c:v>
                </c:pt>
                <c:pt idx="327">
                  <c:v>1.22</c:v>
                </c:pt>
                <c:pt idx="328">
                  <c:v>1.34</c:v>
                </c:pt>
                <c:pt idx="329">
                  <c:v>1.37</c:v>
                </c:pt>
                <c:pt idx="330">
                  <c:v>1.43</c:v>
                </c:pt>
                <c:pt idx="331">
                  <c:v>1.52</c:v>
                </c:pt>
                <c:pt idx="332">
                  <c:v>1.51</c:v>
                </c:pt>
                <c:pt idx="333">
                  <c:v>1.47</c:v>
                </c:pt>
                <c:pt idx="334">
                  <c:v>1.52</c:v>
                </c:pt>
                <c:pt idx="335">
                  <c:v>1.52</c:v>
                </c:pt>
                <c:pt idx="336">
                  <c:v>1.52</c:v>
                </c:pt>
                <c:pt idx="337">
                  <c:v>1.6</c:v>
                </c:pt>
                <c:pt idx="338">
                  <c:v>1.57</c:v>
                </c:pt>
                <c:pt idx="339">
                  <c:v>1.59</c:v>
                </c:pt>
                <c:pt idx="340">
                  <c:v>1.63</c:v>
                </c:pt>
                <c:pt idx="341">
                  <c:v>1.54</c:v>
                </c:pt>
                <c:pt idx="342">
                  <c:v>1.5</c:v>
                </c:pt>
                <c:pt idx="343">
                  <c:v>1.51</c:v>
                </c:pt>
                <c:pt idx="344">
                  <c:v>1.63</c:v>
                </c:pt>
                <c:pt idx="345">
                  <c:v>1.71</c:v>
                </c:pt>
                <c:pt idx="346">
                  <c:v>1.76</c:v>
                </c:pt>
                <c:pt idx="347">
                  <c:v>1.81</c:v>
                </c:pt>
                <c:pt idx="348">
                  <c:v>1.91</c:v>
                </c:pt>
                <c:pt idx="349">
                  <c:v>1.89</c:v>
                </c:pt>
                <c:pt idx="350">
                  <c:v>1.97</c:v>
                </c:pt>
                <c:pt idx="351">
                  <c:v>1.95</c:v>
                </c:pt>
                <c:pt idx="352">
                  <c:v>1.87</c:v>
                </c:pt>
                <c:pt idx="353">
                  <c:v>1.87</c:v>
                </c:pt>
                <c:pt idx="354">
                  <c:v>1.72</c:v>
                </c:pt>
                <c:pt idx="355">
                  <c:v>1.72</c:v>
                </c:pt>
                <c:pt idx="356">
                  <c:v>1.72</c:v>
                </c:pt>
                <c:pt idx="357">
                  <c:v>1.81</c:v>
                </c:pt>
                <c:pt idx="358">
                  <c:v>1.76</c:v>
                </c:pt>
                <c:pt idx="359">
                  <c:v>1.67</c:v>
                </c:pt>
                <c:pt idx="360">
                  <c:v>1.66</c:v>
                </c:pt>
                <c:pt idx="361">
                  <c:v>1.63</c:v>
                </c:pt>
                <c:pt idx="362">
                  <c:v>1.58</c:v>
                </c:pt>
                <c:pt idx="363">
                  <c:v>1.55</c:v>
                </c:pt>
                <c:pt idx="364">
                  <c:v>1.55</c:v>
                </c:pt>
                <c:pt idx="365">
                  <c:v>1.49</c:v>
                </c:pt>
                <c:pt idx="366">
                  <c:v>1.44</c:v>
                </c:pt>
                <c:pt idx="367">
                  <c:v>1.51</c:v>
                </c:pt>
                <c:pt idx="368">
                  <c:v>1.57</c:v>
                </c:pt>
                <c:pt idx="369">
                  <c:v>1.64</c:v>
                </c:pt>
                <c:pt idx="370">
                  <c:v>1.71</c:v>
                </c:pt>
                <c:pt idx="371">
                  <c:v>1.71</c:v>
                </c:pt>
                <c:pt idx="372">
                  <c:v>1.76</c:v>
                </c:pt>
                <c:pt idx="373">
                  <c:v>1.8</c:v>
                </c:pt>
                <c:pt idx="374">
                  <c:v>1.82</c:v>
                </c:pt>
                <c:pt idx="375">
                  <c:v>1.79</c:v>
                </c:pt>
                <c:pt idx="376">
                  <c:v>1.83</c:v>
                </c:pt>
                <c:pt idx="377">
                  <c:v>1.95</c:v>
                </c:pt>
                <c:pt idx="378">
                  <c:v>1.93</c:v>
                </c:pt>
                <c:pt idx="379">
                  <c:v>2.02</c:v>
                </c:pt>
                <c:pt idx="380">
                  <c:v>1.91</c:v>
                </c:pt>
                <c:pt idx="381">
                  <c:v>1.8</c:v>
                </c:pt>
                <c:pt idx="382">
                  <c:v>1.84</c:v>
                </c:pt>
                <c:pt idx="383">
                  <c:v>1.81</c:v>
                </c:pt>
                <c:pt idx="384">
                  <c:v>1.71</c:v>
                </c:pt>
                <c:pt idx="385">
                  <c:v>1.71</c:v>
                </c:pt>
                <c:pt idx="386">
                  <c:v>1.77</c:v>
                </c:pt>
                <c:pt idx="387">
                  <c:v>1.83</c:v>
                </c:pt>
                <c:pt idx="388">
                  <c:v>1.78</c:v>
                </c:pt>
                <c:pt idx="389">
                  <c:v>1.65</c:v>
                </c:pt>
                <c:pt idx="390">
                  <c:v>1.47</c:v>
                </c:pt>
                <c:pt idx="391">
                  <c:v>1.55</c:v>
                </c:pt>
                <c:pt idx="392">
                  <c:v>1.45</c:v>
                </c:pt>
                <c:pt idx="393">
                  <c:v>1.35</c:v>
                </c:pt>
                <c:pt idx="394">
                  <c:v>1.4</c:v>
                </c:pt>
                <c:pt idx="395">
                  <c:v>1.44</c:v>
                </c:pt>
                <c:pt idx="396">
                  <c:v>1.39</c:v>
                </c:pt>
                <c:pt idx="397">
                  <c:v>1.34</c:v>
                </c:pt>
                <c:pt idx="398">
                  <c:v>1.4</c:v>
                </c:pt>
                <c:pt idx="399">
                  <c:v>1.47</c:v>
                </c:pt>
                <c:pt idx="400">
                  <c:v>1.47</c:v>
                </c:pt>
                <c:pt idx="401">
                  <c:v>1.55</c:v>
                </c:pt>
                <c:pt idx="402">
                  <c:v>1.58</c:v>
                </c:pt>
                <c:pt idx="403">
                  <c:v>1.58</c:v>
                </c:pt>
                <c:pt idx="404">
                  <c:v>1.59</c:v>
                </c:pt>
                <c:pt idx="405">
                  <c:v>1.43</c:v>
                </c:pt>
                <c:pt idx="406">
                  <c:v>1.41</c:v>
                </c:pt>
                <c:pt idx="407">
                  <c:v>1.35</c:v>
                </c:pt>
                <c:pt idx="408">
                  <c:v>1.38</c:v>
                </c:pt>
                <c:pt idx="409">
                  <c:v>1.3</c:v>
                </c:pt>
                <c:pt idx="410">
                  <c:v>1.32</c:v>
                </c:pt>
                <c:pt idx="411">
                  <c:v>1.28</c:v>
                </c:pt>
                <c:pt idx="412">
                  <c:v>1.28</c:v>
                </c:pt>
                <c:pt idx="413">
                  <c:v>1.34</c:v>
                </c:pt>
                <c:pt idx="414">
                  <c:v>1.29</c:v>
                </c:pt>
                <c:pt idx="415">
                  <c:v>1.41</c:v>
                </c:pt>
                <c:pt idx="416">
                  <c:v>1.36</c:v>
                </c:pt>
                <c:pt idx="417">
                  <c:v>1.4</c:v>
                </c:pt>
                <c:pt idx="418">
                  <c:v>1.34</c:v>
                </c:pt>
                <c:pt idx="419">
                  <c:v>1.37</c:v>
                </c:pt>
                <c:pt idx="420">
                  <c:v>1.39</c:v>
                </c:pt>
                <c:pt idx="421">
                  <c:v>1.32</c:v>
                </c:pt>
                <c:pt idx="422">
                  <c:v>1.36</c:v>
                </c:pt>
                <c:pt idx="423">
                  <c:v>1.43</c:v>
                </c:pt>
                <c:pt idx="424">
                  <c:v>1.43</c:v>
                </c:pt>
                <c:pt idx="425">
                  <c:v>1.57</c:v>
                </c:pt>
                <c:pt idx="426">
                  <c:v>1.61</c:v>
                </c:pt>
                <c:pt idx="427">
                  <c:v>1.69</c:v>
                </c:pt>
                <c:pt idx="428">
                  <c:v>1.78</c:v>
                </c:pt>
                <c:pt idx="429">
                  <c:v>1.78</c:v>
                </c:pt>
                <c:pt idx="430">
                  <c:v>1.83</c:v>
                </c:pt>
                <c:pt idx="431">
                  <c:v>1.95</c:v>
                </c:pt>
                <c:pt idx="432">
                  <c:v>1.91</c:v>
                </c:pt>
                <c:pt idx="433">
                  <c:v>1.86</c:v>
                </c:pt>
                <c:pt idx="434">
                  <c:v>1.91</c:v>
                </c:pt>
                <c:pt idx="435">
                  <c:v>1.84</c:v>
                </c:pt>
                <c:pt idx="436">
                  <c:v>1.88</c:v>
                </c:pt>
                <c:pt idx="437">
                  <c:v>1.91</c:v>
                </c:pt>
                <c:pt idx="438">
                  <c:v>1.84</c:v>
                </c:pt>
                <c:pt idx="439">
                  <c:v>1.9</c:v>
                </c:pt>
                <c:pt idx="440">
                  <c:v>1.89</c:v>
                </c:pt>
                <c:pt idx="441">
                  <c:v>1.81</c:v>
                </c:pt>
                <c:pt idx="442">
                  <c:v>1.9</c:v>
                </c:pt>
                <c:pt idx="443">
                  <c:v>1.9</c:v>
                </c:pt>
                <c:pt idx="444">
                  <c:v>1.86</c:v>
                </c:pt>
                <c:pt idx="445">
                  <c:v>1.86</c:v>
                </c:pt>
                <c:pt idx="446">
                  <c:v>1.89</c:v>
                </c:pt>
                <c:pt idx="447">
                  <c:v>1.99</c:v>
                </c:pt>
                <c:pt idx="448">
                  <c:v>1.92</c:v>
                </c:pt>
                <c:pt idx="449">
                  <c:v>1.99</c:v>
                </c:pt>
                <c:pt idx="450">
                  <c:v>2.0699999999999998</c:v>
                </c:pt>
                <c:pt idx="451">
                  <c:v>2.11</c:v>
                </c:pt>
                <c:pt idx="452">
                  <c:v>2.17</c:v>
                </c:pt>
                <c:pt idx="453">
                  <c:v>2.13</c:v>
                </c:pt>
                <c:pt idx="454">
                  <c:v>2.17</c:v>
                </c:pt>
                <c:pt idx="455">
                  <c:v>2.11</c:v>
                </c:pt>
                <c:pt idx="456">
                  <c:v>2.0299999999999998</c:v>
                </c:pt>
                <c:pt idx="457">
                  <c:v>1.97</c:v>
                </c:pt>
                <c:pt idx="458">
                  <c:v>2.0499999999999998</c:v>
                </c:pt>
                <c:pt idx="459">
                  <c:v>2.0699999999999998</c:v>
                </c:pt>
                <c:pt idx="460">
                  <c:v>2.1800000000000002</c:v>
                </c:pt>
                <c:pt idx="461">
                  <c:v>2.2200000000000002</c:v>
                </c:pt>
                <c:pt idx="462">
                  <c:v>2.2400000000000002</c:v>
                </c:pt>
                <c:pt idx="463">
                  <c:v>2.2400000000000002</c:v>
                </c:pt>
                <c:pt idx="464">
                  <c:v>2.17</c:v>
                </c:pt>
                <c:pt idx="465">
                  <c:v>2.16</c:v>
                </c:pt>
                <c:pt idx="466">
                  <c:v>2.12</c:v>
                </c:pt>
                <c:pt idx="467">
                  <c:v>2.12</c:v>
                </c:pt>
                <c:pt idx="468">
                  <c:v>2.2000000000000002</c:v>
                </c:pt>
                <c:pt idx="469">
                  <c:v>2.2400000000000002</c:v>
                </c:pt>
                <c:pt idx="470">
                  <c:v>2.31</c:v>
                </c:pt>
                <c:pt idx="471">
                  <c:v>2.2400000000000002</c:v>
                </c:pt>
                <c:pt idx="472">
                  <c:v>2.14</c:v>
                </c:pt>
                <c:pt idx="473">
                  <c:v>2.13</c:v>
                </c:pt>
                <c:pt idx="474">
                  <c:v>2.06</c:v>
                </c:pt>
                <c:pt idx="475">
                  <c:v>2.11</c:v>
                </c:pt>
                <c:pt idx="476">
                  <c:v>2.17</c:v>
                </c:pt>
                <c:pt idx="477">
                  <c:v>2.13</c:v>
                </c:pt>
                <c:pt idx="478">
                  <c:v>2.12</c:v>
                </c:pt>
                <c:pt idx="479">
                  <c:v>2.16</c:v>
                </c:pt>
                <c:pt idx="480">
                  <c:v>2.17</c:v>
                </c:pt>
                <c:pt idx="481">
                  <c:v>2.16</c:v>
                </c:pt>
                <c:pt idx="482">
                  <c:v>2.13</c:v>
                </c:pt>
                <c:pt idx="483">
                  <c:v>2.1</c:v>
                </c:pt>
                <c:pt idx="484">
                  <c:v>1.96</c:v>
                </c:pt>
                <c:pt idx="485">
                  <c:v>2.02</c:v>
                </c:pt>
                <c:pt idx="486">
                  <c:v>2.0099999999999998</c:v>
                </c:pt>
                <c:pt idx="487">
                  <c:v>2.02</c:v>
                </c:pt>
                <c:pt idx="488">
                  <c:v>1.96</c:v>
                </c:pt>
                <c:pt idx="489">
                  <c:v>1.98</c:v>
                </c:pt>
                <c:pt idx="490">
                  <c:v>1.95</c:v>
                </c:pt>
                <c:pt idx="491">
                  <c:v>1.92</c:v>
                </c:pt>
                <c:pt idx="492">
                  <c:v>1.91</c:v>
                </c:pt>
                <c:pt idx="493">
                  <c:v>1.88</c:v>
                </c:pt>
                <c:pt idx="494">
                  <c:v>1.8</c:v>
                </c:pt>
                <c:pt idx="495">
                  <c:v>1.89</c:v>
                </c:pt>
                <c:pt idx="496">
                  <c:v>1.89</c:v>
                </c:pt>
                <c:pt idx="497">
                  <c:v>1.82</c:v>
                </c:pt>
                <c:pt idx="498">
                  <c:v>1.85</c:v>
                </c:pt>
                <c:pt idx="499">
                  <c:v>1.7</c:v>
                </c:pt>
                <c:pt idx="500">
                  <c:v>1.74</c:v>
                </c:pt>
                <c:pt idx="501">
                  <c:v>1.75</c:v>
                </c:pt>
                <c:pt idx="502">
                  <c:v>1.68</c:v>
                </c:pt>
                <c:pt idx="503">
                  <c:v>1.66</c:v>
                </c:pt>
                <c:pt idx="504">
                  <c:v>1.66</c:v>
                </c:pt>
                <c:pt idx="505">
                  <c:v>1.68</c:v>
                </c:pt>
                <c:pt idx="506">
                  <c:v>1.67</c:v>
                </c:pt>
                <c:pt idx="507">
                  <c:v>1.65</c:v>
                </c:pt>
                <c:pt idx="508">
                  <c:v>1.69</c:v>
                </c:pt>
                <c:pt idx="509">
                  <c:v>1.82</c:v>
                </c:pt>
                <c:pt idx="510">
                  <c:v>1.96</c:v>
                </c:pt>
                <c:pt idx="511">
                  <c:v>1.93</c:v>
                </c:pt>
                <c:pt idx="512">
                  <c:v>2.09</c:v>
                </c:pt>
                <c:pt idx="513">
                  <c:v>2.15</c:v>
                </c:pt>
                <c:pt idx="514">
                  <c:v>2.21</c:v>
                </c:pt>
                <c:pt idx="515">
                  <c:v>2.21</c:v>
                </c:pt>
                <c:pt idx="516">
                  <c:v>2.21</c:v>
                </c:pt>
                <c:pt idx="517">
                  <c:v>2.35</c:v>
                </c:pt>
                <c:pt idx="518">
                  <c:v>2.29</c:v>
                </c:pt>
                <c:pt idx="519">
                  <c:v>2.27</c:v>
                </c:pt>
                <c:pt idx="520">
                  <c:v>2.37</c:v>
                </c:pt>
                <c:pt idx="521">
                  <c:v>2.2400000000000002</c:v>
                </c:pt>
                <c:pt idx="522">
                  <c:v>2.21</c:v>
                </c:pt>
                <c:pt idx="523">
                  <c:v>2.12</c:v>
                </c:pt>
                <c:pt idx="524">
                  <c:v>2.14</c:v>
                </c:pt>
                <c:pt idx="525">
                  <c:v>2.14</c:v>
                </c:pt>
                <c:pt idx="526">
                  <c:v>2.06</c:v>
                </c:pt>
                <c:pt idx="527">
                  <c:v>2.0299999999999998</c:v>
                </c:pt>
                <c:pt idx="528">
                  <c:v>1.89</c:v>
                </c:pt>
                <c:pt idx="529">
                  <c:v>1.85</c:v>
                </c:pt>
                <c:pt idx="530">
                  <c:v>1.87</c:v>
                </c:pt>
                <c:pt idx="531">
                  <c:v>1.89</c:v>
                </c:pt>
                <c:pt idx="532">
                  <c:v>1.82</c:v>
                </c:pt>
                <c:pt idx="533">
                  <c:v>1.78</c:v>
                </c:pt>
                <c:pt idx="534">
                  <c:v>1.85</c:v>
                </c:pt>
                <c:pt idx="535">
                  <c:v>1.93</c:v>
                </c:pt>
                <c:pt idx="536">
                  <c:v>1.99</c:v>
                </c:pt>
                <c:pt idx="537">
                  <c:v>1.98</c:v>
                </c:pt>
                <c:pt idx="538">
                  <c:v>1.94</c:v>
                </c:pt>
                <c:pt idx="539">
                  <c:v>2</c:v>
                </c:pt>
                <c:pt idx="540">
                  <c:v>2.02</c:v>
                </c:pt>
                <c:pt idx="541">
                  <c:v>2.04</c:v>
                </c:pt>
                <c:pt idx="542">
                  <c:v>2.0099999999999998</c:v>
                </c:pt>
                <c:pt idx="543">
                  <c:v>2.0099999999999998</c:v>
                </c:pt>
                <c:pt idx="544">
                  <c:v>1.82</c:v>
                </c:pt>
                <c:pt idx="545">
                  <c:v>1.86</c:v>
                </c:pt>
                <c:pt idx="546">
                  <c:v>1.93</c:v>
                </c:pt>
                <c:pt idx="547">
                  <c:v>1.95</c:v>
                </c:pt>
                <c:pt idx="548">
                  <c:v>1.99</c:v>
                </c:pt>
                <c:pt idx="549">
                  <c:v>2.15</c:v>
                </c:pt>
                <c:pt idx="550">
                  <c:v>2.34</c:v>
                </c:pt>
                <c:pt idx="551">
                  <c:v>2.37</c:v>
                </c:pt>
                <c:pt idx="552">
                  <c:v>2.35</c:v>
                </c:pt>
                <c:pt idx="553">
                  <c:v>2.38</c:v>
                </c:pt>
                <c:pt idx="554">
                  <c:v>2.34</c:v>
                </c:pt>
                <c:pt idx="555">
                  <c:v>2.34</c:v>
                </c:pt>
                <c:pt idx="556">
                  <c:v>2.4500000000000002</c:v>
                </c:pt>
                <c:pt idx="557">
                  <c:v>2.64</c:v>
                </c:pt>
                <c:pt idx="558">
                  <c:v>2.56</c:v>
                </c:pt>
                <c:pt idx="559">
                  <c:v>2.5299999999999998</c:v>
                </c:pt>
                <c:pt idx="560">
                  <c:v>2.6</c:v>
                </c:pt>
                <c:pt idx="561">
                  <c:v>2.64</c:v>
                </c:pt>
                <c:pt idx="562">
                  <c:v>2.63</c:v>
                </c:pt>
                <c:pt idx="563">
                  <c:v>2.64</c:v>
                </c:pt>
                <c:pt idx="564">
                  <c:v>2.63</c:v>
                </c:pt>
                <c:pt idx="565">
                  <c:v>2.6</c:v>
                </c:pt>
                <c:pt idx="566">
                  <c:v>2.57</c:v>
                </c:pt>
                <c:pt idx="567">
                  <c:v>2.56</c:v>
                </c:pt>
                <c:pt idx="568">
                  <c:v>2.4900000000000002</c:v>
                </c:pt>
                <c:pt idx="569">
                  <c:v>2.5</c:v>
                </c:pt>
                <c:pt idx="570">
                  <c:v>2.37</c:v>
                </c:pt>
                <c:pt idx="571">
                  <c:v>2.11</c:v>
                </c:pt>
                <c:pt idx="572">
                  <c:v>2.2599999999999998</c:v>
                </c:pt>
                <c:pt idx="573">
                  <c:v>2.1800000000000002</c:v>
                </c:pt>
                <c:pt idx="574">
                  <c:v>2.23</c:v>
                </c:pt>
                <c:pt idx="575">
                  <c:v>2.14</c:v>
                </c:pt>
                <c:pt idx="576">
                  <c:v>2.12</c:v>
                </c:pt>
                <c:pt idx="577">
                  <c:v>2.2000000000000002</c:v>
                </c:pt>
                <c:pt idx="578">
                  <c:v>2.25</c:v>
                </c:pt>
                <c:pt idx="579">
                  <c:v>2.16</c:v>
                </c:pt>
                <c:pt idx="580">
                  <c:v>2.08</c:v>
                </c:pt>
                <c:pt idx="581">
                  <c:v>2.14</c:v>
                </c:pt>
                <c:pt idx="582">
                  <c:v>2.1800000000000002</c:v>
                </c:pt>
                <c:pt idx="583">
                  <c:v>2.1800000000000002</c:v>
                </c:pt>
                <c:pt idx="584">
                  <c:v>2.23</c:v>
                </c:pt>
                <c:pt idx="585">
                  <c:v>2.21</c:v>
                </c:pt>
                <c:pt idx="586">
                  <c:v>2.2000000000000002</c:v>
                </c:pt>
                <c:pt idx="587">
                  <c:v>2.25</c:v>
                </c:pt>
                <c:pt idx="588">
                  <c:v>2.19</c:v>
                </c:pt>
                <c:pt idx="589">
                  <c:v>2.2000000000000002</c:v>
                </c:pt>
                <c:pt idx="590">
                  <c:v>2.2000000000000002</c:v>
                </c:pt>
                <c:pt idx="591">
                  <c:v>2.2000000000000002</c:v>
                </c:pt>
                <c:pt idx="592">
                  <c:v>2.29</c:v>
                </c:pt>
                <c:pt idx="593">
                  <c:v>2.33</c:v>
                </c:pt>
                <c:pt idx="594">
                  <c:v>2.3199999999999998</c:v>
                </c:pt>
                <c:pt idx="595">
                  <c:v>2.37</c:v>
                </c:pt>
                <c:pt idx="596">
                  <c:v>2.44</c:v>
                </c:pt>
                <c:pt idx="597">
                  <c:v>2.4500000000000002</c:v>
                </c:pt>
                <c:pt idx="598">
                  <c:v>2.4900000000000002</c:v>
                </c:pt>
                <c:pt idx="599">
                  <c:v>2.46</c:v>
                </c:pt>
                <c:pt idx="600">
                  <c:v>2.48</c:v>
                </c:pt>
                <c:pt idx="601">
                  <c:v>2.4700000000000002</c:v>
                </c:pt>
                <c:pt idx="602">
                  <c:v>2.36</c:v>
                </c:pt>
                <c:pt idx="603">
                  <c:v>2.37</c:v>
                </c:pt>
                <c:pt idx="604">
                  <c:v>2.37</c:v>
                </c:pt>
                <c:pt idx="605">
                  <c:v>2.2999999999999998</c:v>
                </c:pt>
                <c:pt idx="606">
                  <c:v>2.2999999999999998</c:v>
                </c:pt>
                <c:pt idx="607">
                  <c:v>2.3199999999999998</c:v>
                </c:pt>
                <c:pt idx="608">
                  <c:v>2.29</c:v>
                </c:pt>
                <c:pt idx="609">
                  <c:v>2.27</c:v>
                </c:pt>
                <c:pt idx="610">
                  <c:v>2.29</c:v>
                </c:pt>
                <c:pt idx="611">
                  <c:v>2.2799999999999998</c:v>
                </c:pt>
                <c:pt idx="612">
                  <c:v>2.31</c:v>
                </c:pt>
                <c:pt idx="613">
                  <c:v>2.29</c:v>
                </c:pt>
                <c:pt idx="614">
                  <c:v>2.2000000000000002</c:v>
                </c:pt>
                <c:pt idx="615">
                  <c:v>2.21</c:v>
                </c:pt>
                <c:pt idx="616">
                  <c:v>2.2200000000000002</c:v>
                </c:pt>
                <c:pt idx="617">
                  <c:v>2.2400000000000002</c:v>
                </c:pt>
                <c:pt idx="618">
                  <c:v>2.2200000000000002</c:v>
                </c:pt>
                <c:pt idx="619">
                  <c:v>2.2200000000000002</c:v>
                </c:pt>
                <c:pt idx="620">
                  <c:v>2.34</c:v>
                </c:pt>
                <c:pt idx="621">
                  <c:v>2.3199999999999998</c:v>
                </c:pt>
                <c:pt idx="622">
                  <c:v>2.35</c:v>
                </c:pt>
                <c:pt idx="623">
                  <c:v>2.31</c:v>
                </c:pt>
                <c:pt idx="624">
                  <c:v>2.36</c:v>
                </c:pt>
                <c:pt idx="625">
                  <c:v>2.4300000000000002</c:v>
                </c:pt>
                <c:pt idx="626">
                  <c:v>2.38</c:v>
                </c:pt>
                <c:pt idx="627">
                  <c:v>2.3199999999999998</c:v>
                </c:pt>
                <c:pt idx="628">
                  <c:v>2.2599999999999998</c:v>
                </c:pt>
                <c:pt idx="629">
                  <c:v>2.2599999999999998</c:v>
                </c:pt>
                <c:pt idx="630">
                  <c:v>2.2999999999999998</c:v>
                </c:pt>
                <c:pt idx="631">
                  <c:v>2.35</c:v>
                </c:pt>
                <c:pt idx="632">
                  <c:v>2.35</c:v>
                </c:pt>
                <c:pt idx="633">
                  <c:v>2.39</c:v>
                </c:pt>
                <c:pt idx="634">
                  <c:v>2.4</c:v>
                </c:pt>
                <c:pt idx="635">
                  <c:v>2.37</c:v>
                </c:pt>
                <c:pt idx="636">
                  <c:v>2.3199999999999998</c:v>
                </c:pt>
                <c:pt idx="637">
                  <c:v>2.34</c:v>
                </c:pt>
                <c:pt idx="638">
                  <c:v>2.42</c:v>
                </c:pt>
                <c:pt idx="639">
                  <c:v>2.4500000000000002</c:v>
                </c:pt>
                <c:pt idx="640">
                  <c:v>2.4700000000000002</c:v>
                </c:pt>
                <c:pt idx="641">
                  <c:v>2.5</c:v>
                </c:pt>
                <c:pt idx="642">
                  <c:v>2.4500000000000002</c:v>
                </c:pt>
                <c:pt idx="643">
                  <c:v>2.52</c:v>
                </c:pt>
                <c:pt idx="644">
                  <c:v>2.59</c:v>
                </c:pt>
                <c:pt idx="645">
                  <c:v>2.59</c:v>
                </c:pt>
                <c:pt idx="646">
                  <c:v>2.48</c:v>
                </c:pt>
                <c:pt idx="647">
                  <c:v>2.46</c:v>
                </c:pt>
                <c:pt idx="648">
                  <c:v>2.4700000000000002</c:v>
                </c:pt>
                <c:pt idx="649">
                  <c:v>2.52</c:v>
                </c:pt>
                <c:pt idx="650">
                  <c:v>2.52</c:v>
                </c:pt>
                <c:pt idx="651">
                  <c:v>2.5</c:v>
                </c:pt>
                <c:pt idx="652">
                  <c:v>2.5099999999999998</c:v>
                </c:pt>
                <c:pt idx="653">
                  <c:v>2.4900000000000002</c:v>
                </c:pt>
                <c:pt idx="654">
                  <c:v>2.64</c:v>
                </c:pt>
                <c:pt idx="655">
                  <c:v>2.6</c:v>
                </c:pt>
                <c:pt idx="656">
                  <c:v>2.62</c:v>
                </c:pt>
                <c:pt idx="657">
                  <c:v>2.66</c:v>
                </c:pt>
                <c:pt idx="658">
                  <c:v>2.6</c:v>
                </c:pt>
                <c:pt idx="659">
                  <c:v>2.4700000000000002</c:v>
                </c:pt>
                <c:pt idx="660">
                  <c:v>2.5299999999999998</c:v>
                </c:pt>
                <c:pt idx="661">
                  <c:v>2.5</c:v>
                </c:pt>
                <c:pt idx="662">
                  <c:v>2.36</c:v>
                </c:pt>
                <c:pt idx="663">
                  <c:v>2.41</c:v>
                </c:pt>
                <c:pt idx="664">
                  <c:v>2.4300000000000002</c:v>
                </c:pt>
                <c:pt idx="665">
                  <c:v>2.4500000000000002</c:v>
                </c:pt>
                <c:pt idx="666">
                  <c:v>2.4</c:v>
                </c:pt>
                <c:pt idx="667">
                  <c:v>2.4300000000000002</c:v>
                </c:pt>
                <c:pt idx="668">
                  <c:v>2.4700000000000002</c:v>
                </c:pt>
                <c:pt idx="669">
                  <c:v>2.44</c:v>
                </c:pt>
                <c:pt idx="670">
                  <c:v>2.48</c:v>
                </c:pt>
                <c:pt idx="671">
                  <c:v>2.4900000000000002</c:v>
                </c:pt>
                <c:pt idx="672">
                  <c:v>2.5299999999999998</c:v>
                </c:pt>
                <c:pt idx="673">
                  <c:v>2.5299999999999998</c:v>
                </c:pt>
                <c:pt idx="674">
                  <c:v>2.6</c:v>
                </c:pt>
                <c:pt idx="675">
                  <c:v>2.64</c:v>
                </c:pt>
                <c:pt idx="676">
                  <c:v>2.69</c:v>
                </c:pt>
                <c:pt idx="677">
                  <c:v>2.59</c:v>
                </c:pt>
                <c:pt idx="678">
                  <c:v>2.63</c:v>
                </c:pt>
                <c:pt idx="679">
                  <c:v>2.67</c:v>
                </c:pt>
                <c:pt idx="680">
                  <c:v>2.73</c:v>
                </c:pt>
                <c:pt idx="681">
                  <c:v>2.76</c:v>
                </c:pt>
                <c:pt idx="682">
                  <c:v>2.81</c:v>
                </c:pt>
                <c:pt idx="683">
                  <c:v>2.77</c:v>
                </c:pt>
                <c:pt idx="684">
                  <c:v>2.83</c:v>
                </c:pt>
                <c:pt idx="685">
                  <c:v>2.8</c:v>
                </c:pt>
                <c:pt idx="686">
                  <c:v>2.9</c:v>
                </c:pt>
                <c:pt idx="687">
                  <c:v>2.88</c:v>
                </c:pt>
                <c:pt idx="688">
                  <c:v>2.76</c:v>
                </c:pt>
                <c:pt idx="689">
                  <c:v>2.75</c:v>
                </c:pt>
                <c:pt idx="690">
                  <c:v>2.82</c:v>
                </c:pt>
                <c:pt idx="691">
                  <c:v>2.81</c:v>
                </c:pt>
                <c:pt idx="692">
                  <c:v>2.76</c:v>
                </c:pt>
                <c:pt idx="693">
                  <c:v>2.77</c:v>
                </c:pt>
                <c:pt idx="694">
                  <c:v>2.71</c:v>
                </c:pt>
                <c:pt idx="695">
                  <c:v>2.74</c:v>
                </c:pt>
                <c:pt idx="696">
                  <c:v>2.78</c:v>
                </c:pt>
                <c:pt idx="697">
                  <c:v>2.79</c:v>
                </c:pt>
                <c:pt idx="698">
                  <c:v>2.83</c:v>
                </c:pt>
                <c:pt idx="699">
                  <c:v>2.86</c:v>
                </c:pt>
                <c:pt idx="700">
                  <c:v>2.83</c:v>
                </c:pt>
                <c:pt idx="701">
                  <c:v>2.84</c:v>
                </c:pt>
                <c:pt idx="702">
                  <c:v>2.84</c:v>
                </c:pt>
                <c:pt idx="703">
                  <c:v>2.86</c:v>
                </c:pt>
                <c:pt idx="704">
                  <c:v>2.79</c:v>
                </c:pt>
                <c:pt idx="705">
                  <c:v>2.83</c:v>
                </c:pt>
                <c:pt idx="706">
                  <c:v>2.87</c:v>
                </c:pt>
                <c:pt idx="707">
                  <c:v>2.88</c:v>
                </c:pt>
                <c:pt idx="708">
                  <c:v>2.84</c:v>
                </c:pt>
                <c:pt idx="709">
                  <c:v>2.9</c:v>
                </c:pt>
                <c:pt idx="710">
                  <c:v>2.9</c:v>
                </c:pt>
                <c:pt idx="711">
                  <c:v>2.94</c:v>
                </c:pt>
                <c:pt idx="712">
                  <c:v>2.94</c:v>
                </c:pt>
                <c:pt idx="713">
                  <c:v>2.93</c:v>
                </c:pt>
                <c:pt idx="714">
                  <c:v>3.05</c:v>
                </c:pt>
                <c:pt idx="715">
                  <c:v>2.92</c:v>
                </c:pt>
                <c:pt idx="716">
                  <c:v>3</c:v>
                </c:pt>
                <c:pt idx="717">
                  <c:v>3.06</c:v>
                </c:pt>
                <c:pt idx="718">
                  <c:v>3.05</c:v>
                </c:pt>
                <c:pt idx="719">
                  <c:v>3.02</c:v>
                </c:pt>
                <c:pt idx="720">
                  <c:v>3.06</c:v>
                </c:pt>
                <c:pt idx="721">
                  <c:v>2.97</c:v>
                </c:pt>
                <c:pt idx="722">
                  <c:v>2.96</c:v>
                </c:pt>
                <c:pt idx="723">
                  <c:v>2.87</c:v>
                </c:pt>
                <c:pt idx="724">
                  <c:v>2.89</c:v>
                </c:pt>
                <c:pt idx="725">
                  <c:v>2.92</c:v>
                </c:pt>
                <c:pt idx="726">
                  <c:v>2.97</c:v>
                </c:pt>
                <c:pt idx="727">
                  <c:v>3.04</c:v>
                </c:pt>
                <c:pt idx="728">
                  <c:v>3.05</c:v>
                </c:pt>
                <c:pt idx="729">
                  <c:v>3.08</c:v>
                </c:pt>
                <c:pt idx="730">
                  <c:v>3.03</c:v>
                </c:pt>
                <c:pt idx="731">
                  <c:v>3.05</c:v>
                </c:pt>
                <c:pt idx="732">
                  <c:v>3</c:v>
                </c:pt>
                <c:pt idx="733">
                  <c:v>3.06</c:v>
                </c:pt>
                <c:pt idx="734">
                  <c:v>3.02</c:v>
                </c:pt>
                <c:pt idx="735">
                  <c:v>3</c:v>
                </c:pt>
                <c:pt idx="736">
                  <c:v>2.98</c:v>
                </c:pt>
                <c:pt idx="737">
                  <c:v>2.95</c:v>
                </c:pt>
                <c:pt idx="738">
                  <c:v>2.92</c:v>
                </c:pt>
                <c:pt idx="739">
                  <c:v>2.88</c:v>
                </c:pt>
                <c:pt idx="740">
                  <c:v>2.86</c:v>
                </c:pt>
                <c:pt idx="741">
                  <c:v>2.84</c:v>
                </c:pt>
                <c:pt idx="742">
                  <c:v>2.8</c:v>
                </c:pt>
                <c:pt idx="743">
                  <c:v>2.79</c:v>
                </c:pt>
                <c:pt idx="744">
                  <c:v>2.81</c:v>
                </c:pt>
                <c:pt idx="745">
                  <c:v>2.85</c:v>
                </c:pt>
                <c:pt idx="746">
                  <c:v>2.84</c:v>
                </c:pt>
                <c:pt idx="747">
                  <c:v>2.71</c:v>
                </c:pt>
                <c:pt idx="748">
                  <c:v>2.71</c:v>
                </c:pt>
                <c:pt idx="749">
                  <c:v>2.66</c:v>
                </c:pt>
                <c:pt idx="750">
                  <c:v>2.65</c:v>
                </c:pt>
                <c:pt idx="751">
                  <c:v>2.65</c:v>
                </c:pt>
                <c:pt idx="752">
                  <c:v>2.61</c:v>
                </c:pt>
                <c:pt idx="753">
                  <c:v>2.65</c:v>
                </c:pt>
                <c:pt idx="754">
                  <c:v>2.69</c:v>
                </c:pt>
                <c:pt idx="755">
                  <c:v>2.72</c:v>
                </c:pt>
                <c:pt idx="756">
                  <c:v>2.65</c:v>
                </c:pt>
                <c:pt idx="757">
                  <c:v>2.64</c:v>
                </c:pt>
                <c:pt idx="758">
                  <c:v>2.54</c:v>
                </c:pt>
                <c:pt idx="759">
                  <c:v>2.61</c:v>
                </c:pt>
                <c:pt idx="760">
                  <c:v>2.5299999999999998</c:v>
                </c:pt>
                <c:pt idx="761">
                  <c:v>2.44</c:v>
                </c:pt>
                <c:pt idx="762">
                  <c:v>2.37</c:v>
                </c:pt>
                <c:pt idx="763">
                  <c:v>2.36</c:v>
                </c:pt>
                <c:pt idx="764">
                  <c:v>2.3199999999999998</c:v>
                </c:pt>
                <c:pt idx="765">
                  <c:v>2.36</c:v>
                </c:pt>
                <c:pt idx="766">
                  <c:v>2.35</c:v>
                </c:pt>
                <c:pt idx="767">
                  <c:v>2.2999999999999998</c:v>
                </c:pt>
                <c:pt idx="768">
                  <c:v>2.23</c:v>
                </c:pt>
                <c:pt idx="769">
                  <c:v>2.17</c:v>
                </c:pt>
                <c:pt idx="770">
                  <c:v>2.0699999999999998</c:v>
                </c:pt>
                <c:pt idx="771">
                  <c:v>2.08</c:v>
                </c:pt>
                <c:pt idx="772">
                  <c:v>2.0099999999999998</c:v>
                </c:pt>
                <c:pt idx="773">
                  <c:v>1.96</c:v>
                </c:pt>
                <c:pt idx="774">
                  <c:v>1.98</c:v>
                </c:pt>
                <c:pt idx="775">
                  <c:v>2</c:v>
                </c:pt>
                <c:pt idx="776">
                  <c:v>2</c:v>
                </c:pt>
                <c:pt idx="777">
                  <c:v>2</c:v>
                </c:pt>
                <c:pt idx="778">
                  <c:v>1.95</c:v>
                </c:pt>
                <c:pt idx="779">
                  <c:v>1.99</c:v>
                </c:pt>
                <c:pt idx="780">
                  <c:v>2.02</c:v>
                </c:pt>
                <c:pt idx="781">
                  <c:v>2.02</c:v>
                </c:pt>
                <c:pt idx="782">
                  <c:v>2.0499999999999998</c:v>
                </c:pt>
                <c:pt idx="783">
                  <c:v>2.04</c:v>
                </c:pt>
                <c:pt idx="784">
                  <c:v>2.13</c:v>
                </c:pt>
                <c:pt idx="785">
                  <c:v>2.1800000000000002</c:v>
                </c:pt>
                <c:pt idx="786">
                  <c:v>2.2200000000000002</c:v>
                </c:pt>
                <c:pt idx="787">
                  <c:v>2.2200000000000002</c:v>
                </c:pt>
                <c:pt idx="788">
                  <c:v>2.25</c:v>
                </c:pt>
                <c:pt idx="789">
                  <c:v>2.23</c:v>
                </c:pt>
                <c:pt idx="790">
                  <c:v>2.14</c:v>
                </c:pt>
                <c:pt idx="791">
                  <c:v>2.17</c:v>
                </c:pt>
                <c:pt idx="792">
                  <c:v>2.17</c:v>
                </c:pt>
                <c:pt idx="793">
                  <c:v>2.27</c:v>
                </c:pt>
                <c:pt idx="794">
                  <c:v>2.2799999999999998</c:v>
                </c:pt>
                <c:pt idx="795">
                  <c:v>2.29</c:v>
                </c:pt>
                <c:pt idx="796">
                  <c:v>2.23</c:v>
                </c:pt>
                <c:pt idx="797">
                  <c:v>2.27</c:v>
                </c:pt>
                <c:pt idx="798">
                  <c:v>2.2999999999999998</c:v>
                </c:pt>
                <c:pt idx="799">
                  <c:v>2.2599999999999998</c:v>
                </c:pt>
                <c:pt idx="800">
                  <c:v>2.2999999999999998</c:v>
                </c:pt>
                <c:pt idx="801">
                  <c:v>2.27</c:v>
                </c:pt>
                <c:pt idx="802">
                  <c:v>2.31</c:v>
                </c:pt>
                <c:pt idx="803">
                  <c:v>2.1800000000000002</c:v>
                </c:pt>
                <c:pt idx="804">
                  <c:v>2.15</c:v>
                </c:pt>
                <c:pt idx="805">
                  <c:v>2.21</c:v>
                </c:pt>
                <c:pt idx="806">
                  <c:v>2.2999999999999998</c:v>
                </c:pt>
                <c:pt idx="807">
                  <c:v>2.29</c:v>
                </c:pt>
                <c:pt idx="808">
                  <c:v>2.2999999999999998</c:v>
                </c:pt>
                <c:pt idx="809">
                  <c:v>2.36</c:v>
                </c:pt>
                <c:pt idx="810">
                  <c:v>2.4</c:v>
                </c:pt>
                <c:pt idx="811">
                  <c:v>2.4300000000000002</c:v>
                </c:pt>
                <c:pt idx="812">
                  <c:v>2.44</c:v>
                </c:pt>
                <c:pt idx="813">
                  <c:v>2.4</c:v>
                </c:pt>
                <c:pt idx="814">
                  <c:v>2.4</c:v>
                </c:pt>
                <c:pt idx="815">
                  <c:v>2.4300000000000002</c:v>
                </c:pt>
                <c:pt idx="816">
                  <c:v>2.4700000000000002</c:v>
                </c:pt>
                <c:pt idx="817">
                  <c:v>2.41</c:v>
                </c:pt>
                <c:pt idx="818">
                  <c:v>2.4500000000000002</c:v>
                </c:pt>
                <c:pt idx="819">
                  <c:v>2.46</c:v>
                </c:pt>
                <c:pt idx="820">
                  <c:v>2.42</c:v>
                </c:pt>
                <c:pt idx="821">
                  <c:v>2.5</c:v>
                </c:pt>
                <c:pt idx="822">
                  <c:v>2.52</c:v>
                </c:pt>
                <c:pt idx="823">
                  <c:v>2.5099999999999998</c:v>
                </c:pt>
                <c:pt idx="824">
                  <c:v>2.46</c:v>
                </c:pt>
                <c:pt idx="825">
                  <c:v>2.4700000000000002</c:v>
                </c:pt>
                <c:pt idx="826">
                  <c:v>2.4</c:v>
                </c:pt>
                <c:pt idx="827">
                  <c:v>2.34</c:v>
                </c:pt>
                <c:pt idx="828">
                  <c:v>2.37</c:v>
                </c:pt>
                <c:pt idx="829">
                  <c:v>2.31</c:v>
                </c:pt>
                <c:pt idx="830">
                  <c:v>2.2400000000000002</c:v>
                </c:pt>
                <c:pt idx="831">
                  <c:v>2.25</c:v>
                </c:pt>
                <c:pt idx="832">
                  <c:v>2.2599999999999998</c:v>
                </c:pt>
                <c:pt idx="833">
                  <c:v>2.2999999999999998</c:v>
                </c:pt>
                <c:pt idx="834">
                  <c:v>2.39</c:v>
                </c:pt>
                <c:pt idx="835">
                  <c:v>2.4</c:v>
                </c:pt>
                <c:pt idx="836">
                  <c:v>2.44</c:v>
                </c:pt>
                <c:pt idx="837">
                  <c:v>2.42</c:v>
                </c:pt>
                <c:pt idx="838">
                  <c:v>2.42</c:v>
                </c:pt>
                <c:pt idx="839">
                  <c:v>2.38</c:v>
                </c:pt>
                <c:pt idx="840">
                  <c:v>2.3199999999999998</c:v>
                </c:pt>
                <c:pt idx="841">
                  <c:v>2.38</c:v>
                </c:pt>
                <c:pt idx="842">
                  <c:v>2.38</c:v>
                </c:pt>
                <c:pt idx="843">
                  <c:v>2.35</c:v>
                </c:pt>
                <c:pt idx="844">
                  <c:v>2.36</c:v>
                </c:pt>
                <c:pt idx="845">
                  <c:v>2.36</c:v>
                </c:pt>
                <c:pt idx="846">
                  <c:v>2.36</c:v>
                </c:pt>
                <c:pt idx="847">
                  <c:v>2.48</c:v>
                </c:pt>
                <c:pt idx="848">
                  <c:v>2.4900000000000002</c:v>
                </c:pt>
                <c:pt idx="849">
                  <c:v>2.4500000000000002</c:v>
                </c:pt>
                <c:pt idx="850">
                  <c:v>2.48</c:v>
                </c:pt>
                <c:pt idx="851">
                  <c:v>2.56</c:v>
                </c:pt>
                <c:pt idx="852">
                  <c:v>2.4700000000000002</c:v>
                </c:pt>
                <c:pt idx="853">
                  <c:v>2.5</c:v>
                </c:pt>
                <c:pt idx="854">
                  <c:v>2.5299999999999998</c:v>
                </c:pt>
                <c:pt idx="855">
                  <c:v>2.38</c:v>
                </c:pt>
                <c:pt idx="856">
                  <c:v>2.48</c:v>
                </c:pt>
                <c:pt idx="857">
                  <c:v>2.54</c:v>
                </c:pt>
                <c:pt idx="858">
                  <c:v>2.5</c:v>
                </c:pt>
                <c:pt idx="859">
                  <c:v>2.4900000000000002</c:v>
                </c:pt>
                <c:pt idx="860">
                  <c:v>2.4700000000000002</c:v>
                </c:pt>
                <c:pt idx="861">
                  <c:v>2.4500000000000002</c:v>
                </c:pt>
                <c:pt idx="862">
                  <c:v>2.44</c:v>
                </c:pt>
                <c:pt idx="863">
                  <c:v>2.5099999999999998</c:v>
                </c:pt>
                <c:pt idx="864">
                  <c:v>2.54</c:v>
                </c:pt>
                <c:pt idx="865">
                  <c:v>2.5099999999999998</c:v>
                </c:pt>
                <c:pt idx="866">
                  <c:v>2.4500000000000002</c:v>
                </c:pt>
                <c:pt idx="867">
                  <c:v>2.48</c:v>
                </c:pt>
                <c:pt idx="868">
                  <c:v>2.48</c:v>
                </c:pt>
                <c:pt idx="869">
                  <c:v>2.4700000000000002</c:v>
                </c:pt>
                <c:pt idx="870">
                  <c:v>2.4</c:v>
                </c:pt>
                <c:pt idx="871">
                  <c:v>2.34</c:v>
                </c:pt>
                <c:pt idx="872">
                  <c:v>2.29</c:v>
                </c:pt>
                <c:pt idx="873">
                  <c:v>2.34</c:v>
                </c:pt>
                <c:pt idx="874">
                  <c:v>2.34</c:v>
                </c:pt>
                <c:pt idx="875">
                  <c:v>2.37</c:v>
                </c:pt>
                <c:pt idx="876">
                  <c:v>2.3199999999999998</c:v>
                </c:pt>
                <c:pt idx="877">
                  <c:v>2.35</c:v>
                </c:pt>
                <c:pt idx="878">
                  <c:v>2.2599999999999998</c:v>
                </c:pt>
                <c:pt idx="879">
                  <c:v>2.25</c:v>
                </c:pt>
                <c:pt idx="880">
                  <c:v>2.3199999999999998</c:v>
                </c:pt>
                <c:pt idx="881">
                  <c:v>2.35</c:v>
                </c:pt>
                <c:pt idx="882">
                  <c:v>2.3199999999999998</c:v>
                </c:pt>
                <c:pt idx="883">
                  <c:v>2.35</c:v>
                </c:pt>
                <c:pt idx="884">
                  <c:v>2.4300000000000002</c:v>
                </c:pt>
                <c:pt idx="885">
                  <c:v>2.4</c:v>
                </c:pt>
                <c:pt idx="886">
                  <c:v>2.36</c:v>
                </c:pt>
                <c:pt idx="887">
                  <c:v>2.36</c:v>
                </c:pt>
                <c:pt idx="888">
                  <c:v>2.44</c:v>
                </c:pt>
                <c:pt idx="889">
                  <c:v>2.4500000000000002</c:v>
                </c:pt>
                <c:pt idx="890">
                  <c:v>2.41</c:v>
                </c:pt>
                <c:pt idx="891">
                  <c:v>2.35</c:v>
                </c:pt>
                <c:pt idx="892">
                  <c:v>2.2799999999999998</c:v>
                </c:pt>
                <c:pt idx="893">
                  <c:v>2.2799999999999998</c:v>
                </c:pt>
                <c:pt idx="894">
                  <c:v>2.2799999999999998</c:v>
                </c:pt>
                <c:pt idx="895">
                  <c:v>2.34</c:v>
                </c:pt>
                <c:pt idx="896">
                  <c:v>2.37</c:v>
                </c:pt>
                <c:pt idx="897">
                  <c:v>2.31</c:v>
                </c:pt>
                <c:pt idx="898">
                  <c:v>2.2200000000000002</c:v>
                </c:pt>
                <c:pt idx="899">
                  <c:v>2.23</c:v>
                </c:pt>
                <c:pt idx="900">
                  <c:v>2.12</c:v>
                </c:pt>
                <c:pt idx="901">
                  <c:v>2.17</c:v>
                </c:pt>
                <c:pt idx="902">
                  <c:v>2.14</c:v>
                </c:pt>
                <c:pt idx="903">
                  <c:v>2.1800000000000002</c:v>
                </c:pt>
                <c:pt idx="904">
                  <c:v>2.2200000000000002</c:v>
                </c:pt>
                <c:pt idx="905">
                  <c:v>2.2200000000000002</c:v>
                </c:pt>
                <c:pt idx="906">
                  <c:v>2.2000000000000002</c:v>
                </c:pt>
                <c:pt idx="907">
                  <c:v>2.2000000000000002</c:v>
                </c:pt>
                <c:pt idx="908">
                  <c:v>2.2200000000000002</c:v>
                </c:pt>
                <c:pt idx="909">
                  <c:v>2.19</c:v>
                </c:pt>
                <c:pt idx="910">
                  <c:v>2.1800000000000002</c:v>
                </c:pt>
                <c:pt idx="911">
                  <c:v>2.2799999999999998</c:v>
                </c:pt>
                <c:pt idx="912">
                  <c:v>2.2999999999999998</c:v>
                </c:pt>
                <c:pt idx="913">
                  <c:v>2.2400000000000002</c:v>
                </c:pt>
                <c:pt idx="914">
                  <c:v>2.27</c:v>
                </c:pt>
                <c:pt idx="915">
                  <c:v>2.2400000000000002</c:v>
                </c:pt>
                <c:pt idx="916">
                  <c:v>2.2200000000000002</c:v>
                </c:pt>
                <c:pt idx="917">
                  <c:v>2.25</c:v>
                </c:pt>
                <c:pt idx="918">
                  <c:v>2.2000000000000002</c:v>
                </c:pt>
                <c:pt idx="919">
                  <c:v>2.12</c:v>
                </c:pt>
                <c:pt idx="920">
                  <c:v>2.1</c:v>
                </c:pt>
                <c:pt idx="921">
                  <c:v>2.0499999999999998</c:v>
                </c:pt>
                <c:pt idx="922">
                  <c:v>2.0299999999999998</c:v>
                </c:pt>
                <c:pt idx="923">
                  <c:v>2.0299999999999998</c:v>
                </c:pt>
                <c:pt idx="924">
                  <c:v>2.0099999999999998</c:v>
                </c:pt>
                <c:pt idx="925">
                  <c:v>2.0499999999999998</c:v>
                </c:pt>
                <c:pt idx="926">
                  <c:v>2.06</c:v>
                </c:pt>
                <c:pt idx="927">
                  <c:v>2.02</c:v>
                </c:pt>
                <c:pt idx="928">
                  <c:v>2.06</c:v>
                </c:pt>
                <c:pt idx="929">
                  <c:v>2.0299999999999998</c:v>
                </c:pt>
                <c:pt idx="930">
                  <c:v>2.0299999999999998</c:v>
                </c:pt>
                <c:pt idx="931">
                  <c:v>1.98</c:v>
                </c:pt>
                <c:pt idx="932">
                  <c:v>1.97</c:v>
                </c:pt>
                <c:pt idx="933">
                  <c:v>2.02</c:v>
                </c:pt>
                <c:pt idx="934">
                  <c:v>1.95</c:v>
                </c:pt>
                <c:pt idx="935">
                  <c:v>1.91</c:v>
                </c:pt>
                <c:pt idx="936">
                  <c:v>1.89</c:v>
                </c:pt>
                <c:pt idx="937">
                  <c:v>1.92</c:v>
                </c:pt>
                <c:pt idx="938">
                  <c:v>2.0099999999999998</c:v>
                </c:pt>
                <c:pt idx="939">
                  <c:v>2</c:v>
                </c:pt>
                <c:pt idx="940">
                  <c:v>1.98</c:v>
                </c:pt>
                <c:pt idx="941">
                  <c:v>1.95</c:v>
                </c:pt>
                <c:pt idx="942">
                  <c:v>1.89</c:v>
                </c:pt>
                <c:pt idx="943">
                  <c:v>1.93</c:v>
                </c:pt>
                <c:pt idx="944">
                  <c:v>2</c:v>
                </c:pt>
                <c:pt idx="945">
                  <c:v>1.98</c:v>
                </c:pt>
                <c:pt idx="946">
                  <c:v>1.97</c:v>
                </c:pt>
                <c:pt idx="947">
                  <c:v>1.95</c:v>
                </c:pt>
                <c:pt idx="948">
                  <c:v>1.94</c:v>
                </c:pt>
                <c:pt idx="949">
                  <c:v>1.98</c:v>
                </c:pt>
                <c:pt idx="950">
                  <c:v>1.96</c:v>
                </c:pt>
                <c:pt idx="951">
                  <c:v>1.99</c:v>
                </c:pt>
                <c:pt idx="952">
                  <c:v>2.0099999999999998</c:v>
                </c:pt>
                <c:pt idx="953">
                  <c:v>2.0499999999999998</c:v>
                </c:pt>
                <c:pt idx="954">
                  <c:v>2.0699999999999998</c:v>
                </c:pt>
                <c:pt idx="955">
                  <c:v>2.08</c:v>
                </c:pt>
                <c:pt idx="956">
                  <c:v>2.14</c:v>
                </c:pt>
                <c:pt idx="957">
                  <c:v>2.08</c:v>
                </c:pt>
                <c:pt idx="958">
                  <c:v>2.0299999999999998</c:v>
                </c:pt>
                <c:pt idx="959">
                  <c:v>2.0099999999999998</c:v>
                </c:pt>
                <c:pt idx="960">
                  <c:v>2</c:v>
                </c:pt>
                <c:pt idx="961">
                  <c:v>1.98</c:v>
                </c:pt>
                <c:pt idx="962">
                  <c:v>1.94</c:v>
                </c:pt>
                <c:pt idx="963">
                  <c:v>1.88</c:v>
                </c:pt>
                <c:pt idx="964">
                  <c:v>1.9</c:v>
                </c:pt>
                <c:pt idx="965">
                  <c:v>1.93</c:v>
                </c:pt>
                <c:pt idx="966">
                  <c:v>1.92</c:v>
                </c:pt>
                <c:pt idx="967">
                  <c:v>1.93</c:v>
                </c:pt>
                <c:pt idx="968">
                  <c:v>1.98</c:v>
                </c:pt>
                <c:pt idx="969">
                  <c:v>2</c:v>
                </c:pt>
                <c:pt idx="970">
                  <c:v>2.02</c:v>
                </c:pt>
                <c:pt idx="971">
                  <c:v>2</c:v>
                </c:pt>
                <c:pt idx="972">
                  <c:v>1.99</c:v>
                </c:pt>
                <c:pt idx="973">
                  <c:v>2.0499999999999998</c:v>
                </c:pt>
                <c:pt idx="974">
                  <c:v>2.0299999999999998</c:v>
                </c:pt>
                <c:pt idx="975">
                  <c:v>2.0099999999999998</c:v>
                </c:pt>
                <c:pt idx="976">
                  <c:v>2</c:v>
                </c:pt>
                <c:pt idx="977">
                  <c:v>1.91</c:v>
                </c:pt>
                <c:pt idx="978">
                  <c:v>1.99</c:v>
                </c:pt>
                <c:pt idx="979">
                  <c:v>2.0299999999999998</c:v>
                </c:pt>
                <c:pt idx="980">
                  <c:v>2.1</c:v>
                </c:pt>
                <c:pt idx="981">
                  <c:v>2.16</c:v>
                </c:pt>
                <c:pt idx="982">
                  <c:v>2.2000000000000002</c:v>
                </c:pt>
                <c:pt idx="983">
                  <c:v>2.2000000000000002</c:v>
                </c:pt>
                <c:pt idx="984">
                  <c:v>2.13</c:v>
                </c:pt>
                <c:pt idx="985">
                  <c:v>2.15</c:v>
                </c:pt>
                <c:pt idx="986">
                  <c:v>2.13</c:v>
                </c:pt>
                <c:pt idx="987">
                  <c:v>2.08</c:v>
                </c:pt>
                <c:pt idx="988">
                  <c:v>2.0499999999999998</c:v>
                </c:pt>
                <c:pt idx="989">
                  <c:v>2.0499999999999998</c:v>
                </c:pt>
                <c:pt idx="990">
                  <c:v>2.06</c:v>
                </c:pt>
                <c:pt idx="991">
                  <c:v>2.14</c:v>
                </c:pt>
                <c:pt idx="992">
                  <c:v>2.17</c:v>
                </c:pt>
                <c:pt idx="993">
                  <c:v>2.17</c:v>
                </c:pt>
                <c:pt idx="994">
                  <c:v>2.11</c:v>
                </c:pt>
                <c:pt idx="995">
                  <c:v>2.11</c:v>
                </c:pt>
                <c:pt idx="996">
                  <c:v>2.09</c:v>
                </c:pt>
                <c:pt idx="997">
                  <c:v>2.11</c:v>
                </c:pt>
                <c:pt idx="998">
                  <c:v>2.09</c:v>
                </c:pt>
                <c:pt idx="999">
                  <c:v>2.14</c:v>
                </c:pt>
                <c:pt idx="1000">
                  <c:v>2.14</c:v>
                </c:pt>
                <c:pt idx="1001">
                  <c:v>2.15</c:v>
                </c:pt>
                <c:pt idx="1002">
                  <c:v>2.21</c:v>
                </c:pt>
                <c:pt idx="1003">
                  <c:v>2.2200000000000002</c:v>
                </c:pt>
                <c:pt idx="1004">
                  <c:v>2.2599999999999998</c:v>
                </c:pt>
                <c:pt idx="1005">
                  <c:v>2.21</c:v>
                </c:pt>
                <c:pt idx="1006">
                  <c:v>2.15</c:v>
                </c:pt>
                <c:pt idx="1007">
                  <c:v>2.14</c:v>
                </c:pt>
                <c:pt idx="1008">
                  <c:v>2.17</c:v>
                </c:pt>
                <c:pt idx="1009">
                  <c:v>2.13</c:v>
                </c:pt>
                <c:pt idx="1010">
                  <c:v>2.14</c:v>
                </c:pt>
                <c:pt idx="1011">
                  <c:v>2.16</c:v>
                </c:pt>
                <c:pt idx="1012">
                  <c:v>2.14</c:v>
                </c:pt>
                <c:pt idx="1013">
                  <c:v>2.15</c:v>
                </c:pt>
                <c:pt idx="1014">
                  <c:v>2.13</c:v>
                </c:pt>
                <c:pt idx="1015">
                  <c:v>2.09</c:v>
                </c:pt>
                <c:pt idx="1016">
                  <c:v>2.02</c:v>
                </c:pt>
                <c:pt idx="1017">
                  <c:v>2.02</c:v>
                </c:pt>
                <c:pt idx="1018">
                  <c:v>1.98</c:v>
                </c:pt>
                <c:pt idx="1019">
                  <c:v>2</c:v>
                </c:pt>
                <c:pt idx="1020">
                  <c:v>1.97</c:v>
                </c:pt>
                <c:pt idx="1021">
                  <c:v>1.92</c:v>
                </c:pt>
                <c:pt idx="1022">
                  <c:v>1.95</c:v>
                </c:pt>
                <c:pt idx="1023">
                  <c:v>2.0099999999999998</c:v>
                </c:pt>
                <c:pt idx="1024">
                  <c:v>2.09</c:v>
                </c:pt>
                <c:pt idx="1025">
                  <c:v>2.0499999999999998</c:v>
                </c:pt>
                <c:pt idx="1026">
                  <c:v>2.0499999999999998</c:v>
                </c:pt>
                <c:pt idx="1027">
                  <c:v>2.0699999999999998</c:v>
                </c:pt>
                <c:pt idx="1028">
                  <c:v>2.06</c:v>
                </c:pt>
                <c:pt idx="1029">
                  <c:v>2.12</c:v>
                </c:pt>
                <c:pt idx="1030">
                  <c:v>2.17</c:v>
                </c:pt>
                <c:pt idx="1031">
                  <c:v>2.17</c:v>
                </c:pt>
                <c:pt idx="1032">
                  <c:v>2.17</c:v>
                </c:pt>
                <c:pt idx="1033">
                  <c:v>2.1800000000000002</c:v>
                </c:pt>
                <c:pt idx="1034">
                  <c:v>2.29</c:v>
                </c:pt>
                <c:pt idx="1035">
                  <c:v>2.2799999999999998</c:v>
                </c:pt>
                <c:pt idx="1036">
                  <c:v>2.3199999999999998</c:v>
                </c:pt>
                <c:pt idx="1037">
                  <c:v>2.3199999999999998</c:v>
                </c:pt>
                <c:pt idx="1038">
                  <c:v>2.3199999999999998</c:v>
                </c:pt>
                <c:pt idx="1039">
                  <c:v>2.3199999999999998</c:v>
                </c:pt>
                <c:pt idx="1040">
                  <c:v>2.4</c:v>
                </c:pt>
                <c:pt idx="1041">
                  <c:v>2.41</c:v>
                </c:pt>
                <c:pt idx="1042">
                  <c:v>2.41</c:v>
                </c:pt>
                <c:pt idx="1043">
                  <c:v>2.41</c:v>
                </c:pt>
                <c:pt idx="1044">
                  <c:v>2.2999999999999998</c:v>
                </c:pt>
                <c:pt idx="1045">
                  <c:v>2.36</c:v>
                </c:pt>
                <c:pt idx="1046">
                  <c:v>2.36</c:v>
                </c:pt>
                <c:pt idx="1047">
                  <c:v>2.41</c:v>
                </c:pt>
                <c:pt idx="1048">
                  <c:v>2.4300000000000002</c:v>
                </c:pt>
                <c:pt idx="1049">
                  <c:v>2.39</c:v>
                </c:pt>
                <c:pt idx="1050">
                  <c:v>2.44</c:v>
                </c:pt>
                <c:pt idx="1051">
                  <c:v>2.4900000000000002</c:v>
                </c:pt>
                <c:pt idx="1052">
                  <c:v>2.5099999999999998</c:v>
                </c:pt>
                <c:pt idx="1053">
                  <c:v>2.4</c:v>
                </c:pt>
                <c:pt idx="1054">
                  <c:v>2.4</c:v>
                </c:pt>
                <c:pt idx="1055">
                  <c:v>2.34</c:v>
                </c:pt>
                <c:pt idx="1056">
                  <c:v>2.34</c:v>
                </c:pt>
                <c:pt idx="1057">
                  <c:v>2.33</c:v>
                </c:pt>
                <c:pt idx="1058">
                  <c:v>2.33</c:v>
                </c:pt>
                <c:pt idx="1059">
                  <c:v>2.37</c:v>
                </c:pt>
                <c:pt idx="1060">
                  <c:v>2.4</c:v>
                </c:pt>
                <c:pt idx="1061">
                  <c:v>2.37</c:v>
                </c:pt>
                <c:pt idx="1062">
                  <c:v>2.37</c:v>
                </c:pt>
                <c:pt idx="1063">
                  <c:v>2.35</c:v>
                </c:pt>
                <c:pt idx="1064">
                  <c:v>2.29</c:v>
                </c:pt>
                <c:pt idx="1065">
                  <c:v>2.2400000000000002</c:v>
                </c:pt>
                <c:pt idx="1066">
                  <c:v>2.1800000000000002</c:v>
                </c:pt>
                <c:pt idx="1067">
                  <c:v>2.25</c:v>
                </c:pt>
                <c:pt idx="1068">
                  <c:v>2.2200000000000002</c:v>
                </c:pt>
                <c:pt idx="1069">
                  <c:v>2.2599999999999998</c:v>
                </c:pt>
                <c:pt idx="1070">
                  <c:v>2.2999999999999998</c:v>
                </c:pt>
                <c:pt idx="1071">
                  <c:v>2.2999999999999998</c:v>
                </c:pt>
                <c:pt idx="1072">
                  <c:v>2.36</c:v>
                </c:pt>
                <c:pt idx="1073">
                  <c:v>2.38</c:v>
                </c:pt>
                <c:pt idx="1074">
                  <c:v>2.34</c:v>
                </c:pt>
                <c:pt idx="1075">
                  <c:v>2.35</c:v>
                </c:pt>
                <c:pt idx="1076">
                  <c:v>2.38</c:v>
                </c:pt>
                <c:pt idx="1077">
                  <c:v>2.37</c:v>
                </c:pt>
                <c:pt idx="1078">
                  <c:v>2.4</c:v>
                </c:pt>
                <c:pt idx="1079">
                  <c:v>2.4</c:v>
                </c:pt>
                <c:pt idx="1080">
                  <c:v>2.36</c:v>
                </c:pt>
                <c:pt idx="1081">
                  <c:v>2.36</c:v>
                </c:pt>
                <c:pt idx="1082">
                  <c:v>2.35</c:v>
                </c:pt>
                <c:pt idx="1083">
                  <c:v>2.3199999999999998</c:v>
                </c:pt>
                <c:pt idx="1084">
                  <c:v>2.29</c:v>
                </c:pt>
                <c:pt idx="1085">
                  <c:v>2.29</c:v>
                </c:pt>
                <c:pt idx="1086">
                  <c:v>2.37</c:v>
                </c:pt>
                <c:pt idx="1087">
                  <c:v>2.34</c:v>
                </c:pt>
                <c:pt idx="1088">
                  <c:v>2.5299999999999998</c:v>
                </c:pt>
                <c:pt idx="1089">
                  <c:v>2.66</c:v>
                </c:pt>
                <c:pt idx="1090">
                  <c:v>2.61</c:v>
                </c:pt>
                <c:pt idx="1091">
                  <c:v>2.63</c:v>
                </c:pt>
                <c:pt idx="1092">
                  <c:v>2.69</c:v>
                </c:pt>
                <c:pt idx="1093">
                  <c:v>2.67</c:v>
                </c:pt>
                <c:pt idx="1094">
                  <c:v>2.68</c:v>
                </c:pt>
                <c:pt idx="1095">
                  <c:v>2.71</c:v>
                </c:pt>
                <c:pt idx="1096">
                  <c:v>2.64</c:v>
                </c:pt>
                <c:pt idx="1097">
                  <c:v>2.66</c:v>
                </c:pt>
                <c:pt idx="1098">
                  <c:v>2.69</c:v>
                </c:pt>
                <c:pt idx="1099">
                  <c:v>2.68</c:v>
                </c:pt>
                <c:pt idx="1100">
                  <c:v>2.7</c:v>
                </c:pt>
                <c:pt idx="1101">
                  <c:v>2.72</c:v>
                </c:pt>
                <c:pt idx="1102">
                  <c:v>2.72</c:v>
                </c:pt>
                <c:pt idx="1103">
                  <c:v>2.73</c:v>
                </c:pt>
                <c:pt idx="1104">
                  <c:v>2.71</c:v>
                </c:pt>
                <c:pt idx="1105">
                  <c:v>2.66</c:v>
                </c:pt>
                <c:pt idx="1106">
                  <c:v>2.64</c:v>
                </c:pt>
                <c:pt idx="1107">
                  <c:v>2.6</c:v>
                </c:pt>
                <c:pt idx="1108">
                  <c:v>2.61</c:v>
                </c:pt>
                <c:pt idx="1109">
                  <c:v>2.57</c:v>
                </c:pt>
                <c:pt idx="1110">
                  <c:v>2.4500000000000002</c:v>
                </c:pt>
                <c:pt idx="1111">
                  <c:v>2.44</c:v>
                </c:pt>
                <c:pt idx="1112">
                  <c:v>2.4500000000000002</c:v>
                </c:pt>
                <c:pt idx="1113">
                  <c:v>2.4</c:v>
                </c:pt>
                <c:pt idx="1114">
                  <c:v>2.39</c:v>
                </c:pt>
                <c:pt idx="1115">
                  <c:v>2.3199999999999998</c:v>
                </c:pt>
                <c:pt idx="1116">
                  <c:v>2.31</c:v>
                </c:pt>
                <c:pt idx="1117">
                  <c:v>2.33</c:v>
                </c:pt>
                <c:pt idx="1118">
                  <c:v>2.3199999999999998</c:v>
                </c:pt>
                <c:pt idx="1119">
                  <c:v>2.34</c:v>
                </c:pt>
                <c:pt idx="1120">
                  <c:v>2.34</c:v>
                </c:pt>
                <c:pt idx="1121">
                  <c:v>2.34</c:v>
                </c:pt>
                <c:pt idx="1122">
                  <c:v>2.31</c:v>
                </c:pt>
                <c:pt idx="1123">
                  <c:v>2.35</c:v>
                </c:pt>
                <c:pt idx="1124">
                  <c:v>2.31</c:v>
                </c:pt>
                <c:pt idx="1125">
                  <c:v>2.3199999999999998</c:v>
                </c:pt>
                <c:pt idx="1126">
                  <c:v>2.36</c:v>
                </c:pt>
                <c:pt idx="1127">
                  <c:v>2.34</c:v>
                </c:pt>
                <c:pt idx="1128">
                  <c:v>2.31</c:v>
                </c:pt>
                <c:pt idx="1129">
                  <c:v>2.31</c:v>
                </c:pt>
                <c:pt idx="1130">
                  <c:v>2.36</c:v>
                </c:pt>
                <c:pt idx="1131">
                  <c:v>2.37</c:v>
                </c:pt>
                <c:pt idx="1132">
                  <c:v>2.38</c:v>
                </c:pt>
                <c:pt idx="1133">
                  <c:v>2.31</c:v>
                </c:pt>
                <c:pt idx="1134">
                  <c:v>2.31</c:v>
                </c:pt>
                <c:pt idx="1135">
                  <c:v>2.31</c:v>
                </c:pt>
                <c:pt idx="1136">
                  <c:v>2.4</c:v>
                </c:pt>
                <c:pt idx="1137">
                  <c:v>2.4300000000000002</c:v>
                </c:pt>
                <c:pt idx="1138">
                  <c:v>2.42</c:v>
                </c:pt>
                <c:pt idx="1139">
                  <c:v>2.38</c:v>
                </c:pt>
                <c:pt idx="1140">
                  <c:v>2.34</c:v>
                </c:pt>
                <c:pt idx="1141">
                  <c:v>2.35</c:v>
                </c:pt>
                <c:pt idx="1142">
                  <c:v>2.38</c:v>
                </c:pt>
                <c:pt idx="1143">
                  <c:v>2.41</c:v>
                </c:pt>
                <c:pt idx="1144">
                  <c:v>2.4500000000000002</c:v>
                </c:pt>
                <c:pt idx="1145">
                  <c:v>2.38</c:v>
                </c:pt>
                <c:pt idx="1146">
                  <c:v>2.39</c:v>
                </c:pt>
                <c:pt idx="1147">
                  <c:v>2.34</c:v>
                </c:pt>
                <c:pt idx="1148">
                  <c:v>2.36</c:v>
                </c:pt>
                <c:pt idx="1149">
                  <c:v>2.36</c:v>
                </c:pt>
                <c:pt idx="1150">
                  <c:v>2.31</c:v>
                </c:pt>
                <c:pt idx="1151">
                  <c:v>2.31</c:v>
                </c:pt>
                <c:pt idx="1152">
                  <c:v>2.29</c:v>
                </c:pt>
                <c:pt idx="1153">
                  <c:v>2.31</c:v>
                </c:pt>
                <c:pt idx="1154">
                  <c:v>2.29</c:v>
                </c:pt>
                <c:pt idx="1155">
                  <c:v>2.29</c:v>
                </c:pt>
                <c:pt idx="1156">
                  <c:v>2.36</c:v>
                </c:pt>
                <c:pt idx="1157">
                  <c:v>2.31</c:v>
                </c:pt>
                <c:pt idx="1158">
                  <c:v>2.33</c:v>
                </c:pt>
                <c:pt idx="1159">
                  <c:v>2.31</c:v>
                </c:pt>
                <c:pt idx="1160">
                  <c:v>2.31</c:v>
                </c:pt>
                <c:pt idx="1161">
                  <c:v>2.3199999999999998</c:v>
                </c:pt>
                <c:pt idx="1162">
                  <c:v>2.34</c:v>
                </c:pt>
                <c:pt idx="1163">
                  <c:v>2.2799999999999998</c:v>
                </c:pt>
                <c:pt idx="1164">
                  <c:v>2.2999999999999998</c:v>
                </c:pt>
                <c:pt idx="1165">
                  <c:v>2.2999999999999998</c:v>
                </c:pt>
                <c:pt idx="1166">
                  <c:v>2.27</c:v>
                </c:pt>
                <c:pt idx="1167">
                  <c:v>2.2799999999999998</c:v>
                </c:pt>
                <c:pt idx="1168">
                  <c:v>2.29</c:v>
                </c:pt>
                <c:pt idx="1169">
                  <c:v>2.27</c:v>
                </c:pt>
                <c:pt idx="1170">
                  <c:v>2.2400000000000002</c:v>
                </c:pt>
                <c:pt idx="1171">
                  <c:v>2.2400000000000002</c:v>
                </c:pt>
                <c:pt idx="1172">
                  <c:v>2.2000000000000002</c:v>
                </c:pt>
                <c:pt idx="1173">
                  <c:v>2.2200000000000002</c:v>
                </c:pt>
                <c:pt idx="1174">
                  <c:v>2.2200000000000002</c:v>
                </c:pt>
                <c:pt idx="1175">
                  <c:v>2.2200000000000002</c:v>
                </c:pt>
                <c:pt idx="1176">
                  <c:v>2.29</c:v>
                </c:pt>
                <c:pt idx="1177">
                  <c:v>2.3199999999999998</c:v>
                </c:pt>
                <c:pt idx="1178">
                  <c:v>2.2999999999999998</c:v>
                </c:pt>
                <c:pt idx="1179">
                  <c:v>2.3199999999999998</c:v>
                </c:pt>
                <c:pt idx="1180">
                  <c:v>2.35</c:v>
                </c:pt>
                <c:pt idx="1181">
                  <c:v>2.33</c:v>
                </c:pt>
                <c:pt idx="1182">
                  <c:v>2.31</c:v>
                </c:pt>
                <c:pt idx="1183">
                  <c:v>2.31</c:v>
                </c:pt>
                <c:pt idx="1184">
                  <c:v>2.33</c:v>
                </c:pt>
                <c:pt idx="1185">
                  <c:v>2.39</c:v>
                </c:pt>
                <c:pt idx="1186">
                  <c:v>2.35</c:v>
                </c:pt>
                <c:pt idx="1187">
                  <c:v>2.35</c:v>
                </c:pt>
                <c:pt idx="1188">
                  <c:v>2.34</c:v>
                </c:pt>
                <c:pt idx="1189">
                  <c:v>2.39</c:v>
                </c:pt>
                <c:pt idx="1190">
                  <c:v>2.42</c:v>
                </c:pt>
                <c:pt idx="1191">
                  <c:v>2.39</c:v>
                </c:pt>
                <c:pt idx="1192">
                  <c:v>2.42</c:v>
                </c:pt>
                <c:pt idx="1193">
                  <c:v>2.44</c:v>
                </c:pt>
                <c:pt idx="1194">
                  <c:v>2.4300000000000002</c:v>
                </c:pt>
                <c:pt idx="1195">
                  <c:v>2.38</c:v>
                </c:pt>
                <c:pt idx="1196">
                  <c:v>2.36</c:v>
                </c:pt>
                <c:pt idx="1197">
                  <c:v>2.35</c:v>
                </c:pt>
                <c:pt idx="1198">
                  <c:v>2.36</c:v>
                </c:pt>
                <c:pt idx="1199">
                  <c:v>2.35</c:v>
                </c:pt>
                <c:pt idx="1200">
                  <c:v>2.38</c:v>
                </c:pt>
                <c:pt idx="1201">
                  <c:v>2.35</c:v>
                </c:pt>
                <c:pt idx="1202">
                  <c:v>2.41</c:v>
                </c:pt>
                <c:pt idx="1203">
                  <c:v>2.37</c:v>
                </c:pt>
                <c:pt idx="1204">
                  <c:v>2.39</c:v>
                </c:pt>
                <c:pt idx="1205">
                  <c:v>2.42</c:v>
                </c:pt>
                <c:pt idx="1206">
                  <c:v>2.41</c:v>
                </c:pt>
                <c:pt idx="1207">
                  <c:v>2.39</c:v>
                </c:pt>
                <c:pt idx="1208">
                  <c:v>2.4</c:v>
                </c:pt>
                <c:pt idx="1209">
                  <c:v>2.44</c:v>
                </c:pt>
                <c:pt idx="1210">
                  <c:v>2.42</c:v>
                </c:pt>
                <c:pt idx="1211">
                  <c:v>2.46</c:v>
                </c:pt>
                <c:pt idx="1212">
                  <c:v>2.46</c:v>
                </c:pt>
                <c:pt idx="1213">
                  <c:v>2.5</c:v>
                </c:pt>
                <c:pt idx="1214">
                  <c:v>2.5099999999999998</c:v>
                </c:pt>
                <c:pt idx="1215">
                  <c:v>2.4900000000000002</c:v>
                </c:pt>
                <c:pt idx="1216">
                  <c:v>2.5</c:v>
                </c:pt>
                <c:pt idx="1217">
                  <c:v>2.5299999999999998</c:v>
                </c:pt>
                <c:pt idx="1218">
                  <c:v>2.54</c:v>
                </c:pt>
                <c:pt idx="1219">
                  <c:v>2.5099999999999998</c:v>
                </c:pt>
                <c:pt idx="1220">
                  <c:v>2.4700000000000002</c:v>
                </c:pt>
                <c:pt idx="1221">
                  <c:v>2.4300000000000002</c:v>
                </c:pt>
                <c:pt idx="1222">
                  <c:v>2.4500000000000002</c:v>
                </c:pt>
                <c:pt idx="1223">
                  <c:v>2.4500000000000002</c:v>
                </c:pt>
                <c:pt idx="1224">
                  <c:v>2.46</c:v>
                </c:pt>
                <c:pt idx="1225">
                  <c:v>2.5</c:v>
                </c:pt>
                <c:pt idx="1226">
                  <c:v>2.5099999999999998</c:v>
                </c:pt>
                <c:pt idx="1227">
                  <c:v>2.5099999999999998</c:v>
                </c:pt>
                <c:pt idx="1228">
                  <c:v>2.48</c:v>
                </c:pt>
                <c:pt idx="1229">
                  <c:v>2.54</c:v>
                </c:pt>
                <c:pt idx="1230">
                  <c:v>2.6</c:v>
                </c:pt>
                <c:pt idx="1231">
                  <c:v>2.63</c:v>
                </c:pt>
                <c:pt idx="1232">
                  <c:v>2.64</c:v>
                </c:pt>
                <c:pt idx="1233">
                  <c:v>2.63</c:v>
                </c:pt>
                <c:pt idx="1234">
                  <c:v>2.66</c:v>
                </c:pt>
                <c:pt idx="1235">
                  <c:v>2.65</c:v>
                </c:pt>
                <c:pt idx="1236">
                  <c:v>2.61</c:v>
                </c:pt>
                <c:pt idx="1237">
                  <c:v>2.61</c:v>
                </c:pt>
                <c:pt idx="1238">
                  <c:v>2.61</c:v>
                </c:pt>
                <c:pt idx="1239">
                  <c:v>2.64</c:v>
                </c:pt>
                <c:pt idx="1240">
                  <c:v>2.64</c:v>
                </c:pt>
                <c:pt idx="1241">
                  <c:v>2.65</c:v>
                </c:pt>
                <c:pt idx="1242">
                  <c:v>2.67</c:v>
                </c:pt>
                <c:pt idx="1243">
                  <c:v>2.63</c:v>
                </c:pt>
                <c:pt idx="1244">
                  <c:v>2.64</c:v>
                </c:pt>
                <c:pt idx="1245">
                  <c:v>2.61</c:v>
                </c:pt>
                <c:pt idx="1246">
                  <c:v>2.56</c:v>
                </c:pt>
                <c:pt idx="1247">
                  <c:v>2.5099999999999998</c:v>
                </c:pt>
                <c:pt idx="1248">
                  <c:v>2.4900000000000002</c:v>
                </c:pt>
                <c:pt idx="1249">
                  <c:v>2.5</c:v>
                </c:pt>
                <c:pt idx="1250">
                  <c:v>2.4900000000000002</c:v>
                </c:pt>
                <c:pt idx="1251">
                  <c:v>2.5</c:v>
                </c:pt>
                <c:pt idx="1252">
                  <c:v>2.4700000000000002</c:v>
                </c:pt>
                <c:pt idx="1253">
                  <c:v>2.4500000000000002</c:v>
                </c:pt>
                <c:pt idx="1254">
                  <c:v>2.4700000000000002</c:v>
                </c:pt>
                <c:pt idx="1255">
                  <c:v>2.5</c:v>
                </c:pt>
                <c:pt idx="1256">
                  <c:v>2.5</c:v>
                </c:pt>
                <c:pt idx="1257">
                  <c:v>2.48</c:v>
                </c:pt>
                <c:pt idx="1258">
                  <c:v>2.4900000000000002</c:v>
                </c:pt>
                <c:pt idx="1259">
                  <c:v>2.52</c:v>
                </c:pt>
                <c:pt idx="1260">
                  <c:v>2.5299999999999998</c:v>
                </c:pt>
                <c:pt idx="1261">
                  <c:v>2.56</c:v>
                </c:pt>
                <c:pt idx="1262">
                  <c:v>2.5499999999999998</c:v>
                </c:pt>
                <c:pt idx="1263">
                  <c:v>2.56</c:v>
                </c:pt>
                <c:pt idx="1264">
                  <c:v>2.58</c:v>
                </c:pt>
                <c:pt idx="1265">
                  <c:v>2.6</c:v>
                </c:pt>
                <c:pt idx="1266">
                  <c:v>2.61</c:v>
                </c:pt>
                <c:pt idx="1267">
                  <c:v>2.61</c:v>
                </c:pt>
                <c:pt idx="1268">
                  <c:v>2.62</c:v>
                </c:pt>
                <c:pt idx="1269">
                  <c:v>2.66</c:v>
                </c:pt>
                <c:pt idx="1270">
                  <c:v>2.68</c:v>
                </c:pt>
                <c:pt idx="1271">
                  <c:v>2.67</c:v>
                </c:pt>
                <c:pt idx="1272">
                  <c:v>2.65</c:v>
                </c:pt>
                <c:pt idx="1273">
                  <c:v>2.64</c:v>
                </c:pt>
                <c:pt idx="1274">
                  <c:v>2.67</c:v>
                </c:pt>
                <c:pt idx="1275">
                  <c:v>2.63</c:v>
                </c:pt>
                <c:pt idx="1276">
                  <c:v>2.63</c:v>
                </c:pt>
                <c:pt idx="1277">
                  <c:v>2.62</c:v>
                </c:pt>
                <c:pt idx="1278">
                  <c:v>2.64</c:v>
                </c:pt>
                <c:pt idx="1279">
                  <c:v>2.67</c:v>
                </c:pt>
                <c:pt idx="1280">
                  <c:v>2.7</c:v>
                </c:pt>
                <c:pt idx="1281">
                  <c:v>2.78</c:v>
                </c:pt>
                <c:pt idx="1282">
                  <c:v>2.78</c:v>
                </c:pt>
                <c:pt idx="1283">
                  <c:v>2.78</c:v>
                </c:pt>
                <c:pt idx="1284">
                  <c:v>2.78</c:v>
                </c:pt>
                <c:pt idx="1285">
                  <c:v>2.81</c:v>
                </c:pt>
                <c:pt idx="1286">
                  <c:v>2.84</c:v>
                </c:pt>
                <c:pt idx="1287">
                  <c:v>2.83</c:v>
                </c:pt>
                <c:pt idx="1288">
                  <c:v>2.86</c:v>
                </c:pt>
                <c:pt idx="1289">
                  <c:v>2.82</c:v>
                </c:pt>
                <c:pt idx="1290">
                  <c:v>2.82</c:v>
                </c:pt>
                <c:pt idx="1291">
                  <c:v>2.8</c:v>
                </c:pt>
                <c:pt idx="1292">
                  <c:v>2.78</c:v>
                </c:pt>
                <c:pt idx="1293">
                  <c:v>2.79</c:v>
                </c:pt>
                <c:pt idx="1294">
                  <c:v>2.78</c:v>
                </c:pt>
                <c:pt idx="1295">
                  <c:v>2.8</c:v>
                </c:pt>
                <c:pt idx="1296">
                  <c:v>2.82</c:v>
                </c:pt>
                <c:pt idx="1297">
                  <c:v>2.76</c:v>
                </c:pt>
                <c:pt idx="1298">
                  <c:v>2.76</c:v>
                </c:pt>
                <c:pt idx="1299">
                  <c:v>2.76</c:v>
                </c:pt>
                <c:pt idx="1300">
                  <c:v>2.76</c:v>
                </c:pt>
                <c:pt idx="1301">
                  <c:v>2.73</c:v>
                </c:pt>
                <c:pt idx="1302">
                  <c:v>2.73</c:v>
                </c:pt>
                <c:pt idx="1303">
                  <c:v>2.73</c:v>
                </c:pt>
              </c:numCache>
            </c:numRef>
          </c:val>
          <c:smooth val="0"/>
          <c:extLst>
            <c:ext xmlns:c16="http://schemas.microsoft.com/office/drawing/2014/chart" uri="{C3380CC4-5D6E-409C-BE32-E72D297353CC}">
              <c16:uniqueId val="{0000000C-2451-445B-BF3E-7C25A3310044}"/>
            </c:ext>
          </c:extLst>
        </c:ser>
        <c:ser>
          <c:idx val="2"/>
          <c:order val="2"/>
          <c:tx>
            <c:strRef>
              <c:f>Statsformat!$D$8</c:f>
              <c:strCache>
                <c:ptCount val="1"/>
                <c:pt idx="0">
                  <c:v>Statsskuldväxel 3 mån</c:v>
                </c:pt>
              </c:strCache>
            </c:strRef>
          </c:tx>
          <c:spPr>
            <a:ln w="12700">
              <a:solidFill>
                <a:srgbClr val="000000"/>
              </a:solidFill>
              <a:prstDash val="sysDash"/>
            </a:ln>
          </c:spPr>
          <c:marker>
            <c:symbol val="none"/>
          </c:marker>
          <c:cat>
            <c:numRef>
              <c:f>Statsformat!$A$2618:$A$3921</c:f>
              <c:numCache>
                <c:formatCode>m/d/yyyy</c:formatCode>
                <c:ptCount val="1304"/>
                <c:pt idx="0">
                  <c:v>44197</c:v>
                </c:pt>
                <c:pt idx="1">
                  <c:v>44200</c:v>
                </c:pt>
                <c:pt idx="2">
                  <c:v>44201</c:v>
                </c:pt>
                <c:pt idx="3">
                  <c:v>44202</c:v>
                </c:pt>
                <c:pt idx="4">
                  <c:v>44203</c:v>
                </c:pt>
                <c:pt idx="5">
                  <c:v>44204</c:v>
                </c:pt>
                <c:pt idx="6">
                  <c:v>44207</c:v>
                </c:pt>
                <c:pt idx="7">
                  <c:v>44208</c:v>
                </c:pt>
                <c:pt idx="8">
                  <c:v>44209</c:v>
                </c:pt>
                <c:pt idx="9">
                  <c:v>44210</c:v>
                </c:pt>
                <c:pt idx="10">
                  <c:v>44211</c:v>
                </c:pt>
                <c:pt idx="11">
                  <c:v>44214</c:v>
                </c:pt>
                <c:pt idx="12">
                  <c:v>44215</c:v>
                </c:pt>
                <c:pt idx="13">
                  <c:v>44216</c:v>
                </c:pt>
                <c:pt idx="14">
                  <c:v>44217</c:v>
                </c:pt>
                <c:pt idx="15">
                  <c:v>44218</c:v>
                </c:pt>
                <c:pt idx="16">
                  <c:v>44221</c:v>
                </c:pt>
                <c:pt idx="17">
                  <c:v>44222</c:v>
                </c:pt>
                <c:pt idx="18">
                  <c:v>44223</c:v>
                </c:pt>
                <c:pt idx="19">
                  <c:v>44224</c:v>
                </c:pt>
                <c:pt idx="20">
                  <c:v>44225</c:v>
                </c:pt>
                <c:pt idx="21">
                  <c:v>44228</c:v>
                </c:pt>
                <c:pt idx="22">
                  <c:v>44229</c:v>
                </c:pt>
                <c:pt idx="23">
                  <c:v>44230</c:v>
                </c:pt>
                <c:pt idx="24">
                  <c:v>44231</c:v>
                </c:pt>
                <c:pt idx="25">
                  <c:v>44232</c:v>
                </c:pt>
                <c:pt idx="26">
                  <c:v>44235</c:v>
                </c:pt>
                <c:pt idx="27">
                  <c:v>44236</c:v>
                </c:pt>
                <c:pt idx="28">
                  <c:v>44237</c:v>
                </c:pt>
                <c:pt idx="29">
                  <c:v>44238</c:v>
                </c:pt>
                <c:pt idx="30">
                  <c:v>44239</c:v>
                </c:pt>
                <c:pt idx="31">
                  <c:v>44242</c:v>
                </c:pt>
                <c:pt idx="32">
                  <c:v>44243</c:v>
                </c:pt>
                <c:pt idx="33">
                  <c:v>44244</c:v>
                </c:pt>
                <c:pt idx="34">
                  <c:v>44245</c:v>
                </c:pt>
                <c:pt idx="35">
                  <c:v>44246</c:v>
                </c:pt>
                <c:pt idx="36">
                  <c:v>44249</c:v>
                </c:pt>
                <c:pt idx="37">
                  <c:v>44250</c:v>
                </c:pt>
                <c:pt idx="38">
                  <c:v>44251</c:v>
                </c:pt>
                <c:pt idx="39">
                  <c:v>44252</c:v>
                </c:pt>
                <c:pt idx="40">
                  <c:v>44253</c:v>
                </c:pt>
                <c:pt idx="41">
                  <c:v>44256</c:v>
                </c:pt>
                <c:pt idx="42">
                  <c:v>44257</c:v>
                </c:pt>
                <c:pt idx="43">
                  <c:v>44258</c:v>
                </c:pt>
                <c:pt idx="44">
                  <c:v>44259</c:v>
                </c:pt>
                <c:pt idx="45">
                  <c:v>44260</c:v>
                </c:pt>
                <c:pt idx="46">
                  <c:v>44263</c:v>
                </c:pt>
                <c:pt idx="47">
                  <c:v>44264</c:v>
                </c:pt>
                <c:pt idx="48">
                  <c:v>44265</c:v>
                </c:pt>
                <c:pt idx="49">
                  <c:v>44266</c:v>
                </c:pt>
                <c:pt idx="50">
                  <c:v>44267</c:v>
                </c:pt>
                <c:pt idx="51">
                  <c:v>44270</c:v>
                </c:pt>
                <c:pt idx="52">
                  <c:v>44271</c:v>
                </c:pt>
                <c:pt idx="53">
                  <c:v>44272</c:v>
                </c:pt>
                <c:pt idx="54">
                  <c:v>44273</c:v>
                </c:pt>
                <c:pt idx="55">
                  <c:v>44274</c:v>
                </c:pt>
                <c:pt idx="56">
                  <c:v>44277</c:v>
                </c:pt>
                <c:pt idx="57">
                  <c:v>44278</c:v>
                </c:pt>
                <c:pt idx="58">
                  <c:v>44279</c:v>
                </c:pt>
                <c:pt idx="59">
                  <c:v>44280</c:v>
                </c:pt>
                <c:pt idx="60">
                  <c:v>44281</c:v>
                </c:pt>
                <c:pt idx="61">
                  <c:v>44284</c:v>
                </c:pt>
                <c:pt idx="62">
                  <c:v>44285</c:v>
                </c:pt>
                <c:pt idx="63">
                  <c:v>44286</c:v>
                </c:pt>
                <c:pt idx="64">
                  <c:v>44287</c:v>
                </c:pt>
                <c:pt idx="65">
                  <c:v>44288</c:v>
                </c:pt>
                <c:pt idx="66">
                  <c:v>44291</c:v>
                </c:pt>
                <c:pt idx="67">
                  <c:v>44292</c:v>
                </c:pt>
                <c:pt idx="68">
                  <c:v>44293</c:v>
                </c:pt>
                <c:pt idx="69">
                  <c:v>44294</c:v>
                </c:pt>
                <c:pt idx="70">
                  <c:v>44295</c:v>
                </c:pt>
                <c:pt idx="71">
                  <c:v>44298</c:v>
                </c:pt>
                <c:pt idx="72">
                  <c:v>44299</c:v>
                </c:pt>
                <c:pt idx="73">
                  <c:v>44300</c:v>
                </c:pt>
                <c:pt idx="74">
                  <c:v>44301</c:v>
                </c:pt>
                <c:pt idx="75">
                  <c:v>44302</c:v>
                </c:pt>
                <c:pt idx="76">
                  <c:v>44305</c:v>
                </c:pt>
                <c:pt idx="77">
                  <c:v>44306</c:v>
                </c:pt>
                <c:pt idx="78">
                  <c:v>44307</c:v>
                </c:pt>
                <c:pt idx="79">
                  <c:v>44308</c:v>
                </c:pt>
                <c:pt idx="80">
                  <c:v>44309</c:v>
                </c:pt>
                <c:pt idx="81">
                  <c:v>44312</c:v>
                </c:pt>
                <c:pt idx="82">
                  <c:v>44313</c:v>
                </c:pt>
                <c:pt idx="83">
                  <c:v>44314</c:v>
                </c:pt>
                <c:pt idx="84">
                  <c:v>44315</c:v>
                </c:pt>
                <c:pt idx="85">
                  <c:v>44316</c:v>
                </c:pt>
                <c:pt idx="86">
                  <c:v>44319</c:v>
                </c:pt>
                <c:pt idx="87">
                  <c:v>44320</c:v>
                </c:pt>
                <c:pt idx="88">
                  <c:v>44321</c:v>
                </c:pt>
                <c:pt idx="89">
                  <c:v>44322</c:v>
                </c:pt>
                <c:pt idx="90">
                  <c:v>44323</c:v>
                </c:pt>
                <c:pt idx="91">
                  <c:v>44326</c:v>
                </c:pt>
                <c:pt idx="92">
                  <c:v>44327</c:v>
                </c:pt>
                <c:pt idx="93">
                  <c:v>44328</c:v>
                </c:pt>
                <c:pt idx="94">
                  <c:v>44329</c:v>
                </c:pt>
                <c:pt idx="95">
                  <c:v>44330</c:v>
                </c:pt>
                <c:pt idx="96">
                  <c:v>44333</c:v>
                </c:pt>
                <c:pt idx="97">
                  <c:v>44334</c:v>
                </c:pt>
                <c:pt idx="98">
                  <c:v>44335</c:v>
                </c:pt>
                <c:pt idx="99">
                  <c:v>44336</c:v>
                </c:pt>
                <c:pt idx="100">
                  <c:v>44337</c:v>
                </c:pt>
                <c:pt idx="101">
                  <c:v>44340</c:v>
                </c:pt>
                <c:pt idx="102">
                  <c:v>44341</c:v>
                </c:pt>
                <c:pt idx="103">
                  <c:v>44342</c:v>
                </c:pt>
                <c:pt idx="104">
                  <c:v>44343</c:v>
                </c:pt>
                <c:pt idx="105">
                  <c:v>44344</c:v>
                </c:pt>
                <c:pt idx="106">
                  <c:v>44347</c:v>
                </c:pt>
                <c:pt idx="107">
                  <c:v>44348</c:v>
                </c:pt>
                <c:pt idx="108">
                  <c:v>44349</c:v>
                </c:pt>
                <c:pt idx="109">
                  <c:v>44350</c:v>
                </c:pt>
                <c:pt idx="110">
                  <c:v>44351</c:v>
                </c:pt>
                <c:pt idx="111">
                  <c:v>44354</c:v>
                </c:pt>
                <c:pt idx="112">
                  <c:v>44355</c:v>
                </c:pt>
                <c:pt idx="113">
                  <c:v>44356</c:v>
                </c:pt>
                <c:pt idx="114">
                  <c:v>44357</c:v>
                </c:pt>
                <c:pt idx="115">
                  <c:v>44358</c:v>
                </c:pt>
                <c:pt idx="116">
                  <c:v>44361</c:v>
                </c:pt>
                <c:pt idx="117">
                  <c:v>44362</c:v>
                </c:pt>
                <c:pt idx="118">
                  <c:v>44363</c:v>
                </c:pt>
                <c:pt idx="119">
                  <c:v>44364</c:v>
                </c:pt>
                <c:pt idx="120">
                  <c:v>44365</c:v>
                </c:pt>
                <c:pt idx="121">
                  <c:v>44368</c:v>
                </c:pt>
                <c:pt idx="122">
                  <c:v>44369</c:v>
                </c:pt>
                <c:pt idx="123">
                  <c:v>44370</c:v>
                </c:pt>
                <c:pt idx="124">
                  <c:v>44371</c:v>
                </c:pt>
                <c:pt idx="125">
                  <c:v>44372</c:v>
                </c:pt>
                <c:pt idx="126">
                  <c:v>44375</c:v>
                </c:pt>
                <c:pt idx="127">
                  <c:v>44376</c:v>
                </c:pt>
                <c:pt idx="128">
                  <c:v>44377</c:v>
                </c:pt>
                <c:pt idx="129">
                  <c:v>44378</c:v>
                </c:pt>
                <c:pt idx="130">
                  <c:v>44379</c:v>
                </c:pt>
                <c:pt idx="131">
                  <c:v>44382</c:v>
                </c:pt>
                <c:pt idx="132">
                  <c:v>44383</c:v>
                </c:pt>
                <c:pt idx="133">
                  <c:v>44384</c:v>
                </c:pt>
                <c:pt idx="134">
                  <c:v>44385</c:v>
                </c:pt>
                <c:pt idx="135">
                  <c:v>44386</c:v>
                </c:pt>
                <c:pt idx="136">
                  <c:v>44389</c:v>
                </c:pt>
                <c:pt idx="137">
                  <c:v>44390</c:v>
                </c:pt>
                <c:pt idx="138">
                  <c:v>44391</c:v>
                </c:pt>
                <c:pt idx="139">
                  <c:v>44392</c:v>
                </c:pt>
                <c:pt idx="140">
                  <c:v>44393</c:v>
                </c:pt>
                <c:pt idx="141">
                  <c:v>44396</c:v>
                </c:pt>
                <c:pt idx="142">
                  <c:v>44397</c:v>
                </c:pt>
                <c:pt idx="143">
                  <c:v>44398</c:v>
                </c:pt>
                <c:pt idx="144">
                  <c:v>44399</c:v>
                </c:pt>
                <c:pt idx="145">
                  <c:v>44400</c:v>
                </c:pt>
                <c:pt idx="146">
                  <c:v>44403</c:v>
                </c:pt>
                <c:pt idx="147">
                  <c:v>44404</c:v>
                </c:pt>
                <c:pt idx="148">
                  <c:v>44405</c:v>
                </c:pt>
                <c:pt idx="149">
                  <c:v>44406</c:v>
                </c:pt>
                <c:pt idx="150">
                  <c:v>44407</c:v>
                </c:pt>
                <c:pt idx="151">
                  <c:v>44410</c:v>
                </c:pt>
                <c:pt idx="152">
                  <c:v>44411</c:v>
                </c:pt>
                <c:pt idx="153">
                  <c:v>44412</c:v>
                </c:pt>
                <c:pt idx="154">
                  <c:v>44413</c:v>
                </c:pt>
                <c:pt idx="155">
                  <c:v>44414</c:v>
                </c:pt>
                <c:pt idx="156">
                  <c:v>44417</c:v>
                </c:pt>
                <c:pt idx="157">
                  <c:v>44418</c:v>
                </c:pt>
                <c:pt idx="158">
                  <c:v>44419</c:v>
                </c:pt>
                <c:pt idx="159">
                  <c:v>44420</c:v>
                </c:pt>
                <c:pt idx="160">
                  <c:v>44421</c:v>
                </c:pt>
                <c:pt idx="161">
                  <c:v>44424</c:v>
                </c:pt>
                <c:pt idx="162">
                  <c:v>44425</c:v>
                </c:pt>
                <c:pt idx="163">
                  <c:v>44426</c:v>
                </c:pt>
                <c:pt idx="164">
                  <c:v>44427</c:v>
                </c:pt>
                <c:pt idx="165">
                  <c:v>44428</c:v>
                </c:pt>
                <c:pt idx="166">
                  <c:v>44431</c:v>
                </c:pt>
                <c:pt idx="167">
                  <c:v>44432</c:v>
                </c:pt>
                <c:pt idx="168">
                  <c:v>44433</c:v>
                </c:pt>
                <c:pt idx="169">
                  <c:v>44434</c:v>
                </c:pt>
                <c:pt idx="170">
                  <c:v>44435</c:v>
                </c:pt>
                <c:pt idx="171">
                  <c:v>44438</c:v>
                </c:pt>
                <c:pt idx="172">
                  <c:v>44439</c:v>
                </c:pt>
                <c:pt idx="173">
                  <c:v>44440</c:v>
                </c:pt>
                <c:pt idx="174">
                  <c:v>44441</c:v>
                </c:pt>
                <c:pt idx="175">
                  <c:v>44442</c:v>
                </c:pt>
                <c:pt idx="176">
                  <c:v>44445</c:v>
                </c:pt>
                <c:pt idx="177">
                  <c:v>44446</c:v>
                </c:pt>
                <c:pt idx="178">
                  <c:v>44447</c:v>
                </c:pt>
                <c:pt idx="179">
                  <c:v>44448</c:v>
                </c:pt>
                <c:pt idx="180">
                  <c:v>44449</c:v>
                </c:pt>
                <c:pt idx="181">
                  <c:v>44452</c:v>
                </c:pt>
                <c:pt idx="182">
                  <c:v>44453</c:v>
                </c:pt>
                <c:pt idx="183">
                  <c:v>44454</c:v>
                </c:pt>
                <c:pt idx="184">
                  <c:v>44455</c:v>
                </c:pt>
                <c:pt idx="185">
                  <c:v>44456</c:v>
                </c:pt>
                <c:pt idx="186">
                  <c:v>44459</c:v>
                </c:pt>
                <c:pt idx="187">
                  <c:v>44460</c:v>
                </c:pt>
                <c:pt idx="188">
                  <c:v>44461</c:v>
                </c:pt>
                <c:pt idx="189">
                  <c:v>44462</c:v>
                </c:pt>
                <c:pt idx="190">
                  <c:v>44463</c:v>
                </c:pt>
                <c:pt idx="191">
                  <c:v>44466</c:v>
                </c:pt>
                <c:pt idx="192">
                  <c:v>44467</c:v>
                </c:pt>
                <c:pt idx="193">
                  <c:v>44468</c:v>
                </c:pt>
                <c:pt idx="194">
                  <c:v>44469</c:v>
                </c:pt>
                <c:pt idx="195">
                  <c:v>44470</c:v>
                </c:pt>
                <c:pt idx="196">
                  <c:v>44473</c:v>
                </c:pt>
                <c:pt idx="197">
                  <c:v>44474</c:v>
                </c:pt>
                <c:pt idx="198">
                  <c:v>44475</c:v>
                </c:pt>
                <c:pt idx="199">
                  <c:v>44476</c:v>
                </c:pt>
                <c:pt idx="200">
                  <c:v>44477</c:v>
                </c:pt>
                <c:pt idx="201">
                  <c:v>44480</c:v>
                </c:pt>
                <c:pt idx="202">
                  <c:v>44481</c:v>
                </c:pt>
                <c:pt idx="203">
                  <c:v>44482</c:v>
                </c:pt>
                <c:pt idx="204">
                  <c:v>44483</c:v>
                </c:pt>
                <c:pt idx="205">
                  <c:v>44484</c:v>
                </c:pt>
                <c:pt idx="206">
                  <c:v>44487</c:v>
                </c:pt>
                <c:pt idx="207">
                  <c:v>44488</c:v>
                </c:pt>
                <c:pt idx="208">
                  <c:v>44489</c:v>
                </c:pt>
                <c:pt idx="209">
                  <c:v>44490</c:v>
                </c:pt>
                <c:pt idx="210">
                  <c:v>44491</c:v>
                </c:pt>
                <c:pt idx="211">
                  <c:v>44494</c:v>
                </c:pt>
                <c:pt idx="212">
                  <c:v>44495</c:v>
                </c:pt>
                <c:pt idx="213">
                  <c:v>44496</c:v>
                </c:pt>
                <c:pt idx="214">
                  <c:v>44497</c:v>
                </c:pt>
                <c:pt idx="215">
                  <c:v>44498</c:v>
                </c:pt>
                <c:pt idx="216">
                  <c:v>44501</c:v>
                </c:pt>
                <c:pt idx="217">
                  <c:v>44502</c:v>
                </c:pt>
                <c:pt idx="218">
                  <c:v>44503</c:v>
                </c:pt>
                <c:pt idx="219">
                  <c:v>44504</c:v>
                </c:pt>
                <c:pt idx="220">
                  <c:v>44505</c:v>
                </c:pt>
                <c:pt idx="221">
                  <c:v>44508</c:v>
                </c:pt>
                <c:pt idx="222">
                  <c:v>44509</c:v>
                </c:pt>
                <c:pt idx="223">
                  <c:v>44510</c:v>
                </c:pt>
                <c:pt idx="224">
                  <c:v>44511</c:v>
                </c:pt>
                <c:pt idx="225">
                  <c:v>44512</c:v>
                </c:pt>
                <c:pt idx="226">
                  <c:v>44515</c:v>
                </c:pt>
                <c:pt idx="227">
                  <c:v>44516</c:v>
                </c:pt>
                <c:pt idx="228">
                  <c:v>44517</c:v>
                </c:pt>
                <c:pt idx="229">
                  <c:v>44518</c:v>
                </c:pt>
                <c:pt idx="230">
                  <c:v>44519</c:v>
                </c:pt>
                <c:pt idx="231">
                  <c:v>44522</c:v>
                </c:pt>
                <c:pt idx="232">
                  <c:v>44523</c:v>
                </c:pt>
                <c:pt idx="233">
                  <c:v>44524</c:v>
                </c:pt>
                <c:pt idx="234">
                  <c:v>44525</c:v>
                </c:pt>
                <c:pt idx="235">
                  <c:v>44526</c:v>
                </c:pt>
                <c:pt idx="236">
                  <c:v>44529</c:v>
                </c:pt>
                <c:pt idx="237">
                  <c:v>44530</c:v>
                </c:pt>
                <c:pt idx="238">
                  <c:v>44531</c:v>
                </c:pt>
                <c:pt idx="239">
                  <c:v>44532</c:v>
                </c:pt>
                <c:pt idx="240">
                  <c:v>44533</c:v>
                </c:pt>
                <c:pt idx="241">
                  <c:v>44536</c:v>
                </c:pt>
                <c:pt idx="242">
                  <c:v>44537</c:v>
                </c:pt>
                <c:pt idx="243">
                  <c:v>44538</c:v>
                </c:pt>
                <c:pt idx="244">
                  <c:v>44539</c:v>
                </c:pt>
                <c:pt idx="245">
                  <c:v>44540</c:v>
                </c:pt>
                <c:pt idx="246">
                  <c:v>44543</c:v>
                </c:pt>
                <c:pt idx="247">
                  <c:v>44544</c:v>
                </c:pt>
                <c:pt idx="248">
                  <c:v>44545</c:v>
                </c:pt>
                <c:pt idx="249">
                  <c:v>44546</c:v>
                </c:pt>
                <c:pt idx="250">
                  <c:v>44547</c:v>
                </c:pt>
                <c:pt idx="251">
                  <c:v>44550</c:v>
                </c:pt>
                <c:pt idx="252">
                  <c:v>44551</c:v>
                </c:pt>
                <c:pt idx="253">
                  <c:v>44552</c:v>
                </c:pt>
                <c:pt idx="254">
                  <c:v>44553</c:v>
                </c:pt>
                <c:pt idx="255">
                  <c:v>44554</c:v>
                </c:pt>
                <c:pt idx="256">
                  <c:v>44557</c:v>
                </c:pt>
                <c:pt idx="257">
                  <c:v>44558</c:v>
                </c:pt>
                <c:pt idx="258">
                  <c:v>44559</c:v>
                </c:pt>
                <c:pt idx="259">
                  <c:v>44560</c:v>
                </c:pt>
                <c:pt idx="260">
                  <c:v>44561</c:v>
                </c:pt>
                <c:pt idx="261">
                  <c:v>44564</c:v>
                </c:pt>
                <c:pt idx="262">
                  <c:v>44565</c:v>
                </c:pt>
                <c:pt idx="263">
                  <c:v>44566</c:v>
                </c:pt>
                <c:pt idx="264">
                  <c:v>44567</c:v>
                </c:pt>
                <c:pt idx="265">
                  <c:v>44568</c:v>
                </c:pt>
                <c:pt idx="266">
                  <c:v>44571</c:v>
                </c:pt>
                <c:pt idx="267">
                  <c:v>44572</c:v>
                </c:pt>
                <c:pt idx="268">
                  <c:v>44573</c:v>
                </c:pt>
                <c:pt idx="269">
                  <c:v>44574</c:v>
                </c:pt>
                <c:pt idx="270">
                  <c:v>44575</c:v>
                </c:pt>
                <c:pt idx="271">
                  <c:v>44578</c:v>
                </c:pt>
                <c:pt idx="272">
                  <c:v>44579</c:v>
                </c:pt>
                <c:pt idx="273">
                  <c:v>44580</c:v>
                </c:pt>
                <c:pt idx="274">
                  <c:v>44581</c:v>
                </c:pt>
                <c:pt idx="275">
                  <c:v>44582</c:v>
                </c:pt>
                <c:pt idx="276">
                  <c:v>44585</c:v>
                </c:pt>
                <c:pt idx="277">
                  <c:v>44586</c:v>
                </c:pt>
                <c:pt idx="278">
                  <c:v>44587</c:v>
                </c:pt>
                <c:pt idx="279">
                  <c:v>44588</c:v>
                </c:pt>
                <c:pt idx="280">
                  <c:v>44589</c:v>
                </c:pt>
                <c:pt idx="281">
                  <c:v>44592</c:v>
                </c:pt>
                <c:pt idx="282">
                  <c:v>44593</c:v>
                </c:pt>
                <c:pt idx="283">
                  <c:v>44594</c:v>
                </c:pt>
                <c:pt idx="284">
                  <c:v>44595</c:v>
                </c:pt>
                <c:pt idx="285">
                  <c:v>44596</c:v>
                </c:pt>
                <c:pt idx="286">
                  <c:v>44599</c:v>
                </c:pt>
                <c:pt idx="287">
                  <c:v>44600</c:v>
                </c:pt>
                <c:pt idx="288">
                  <c:v>44601</c:v>
                </c:pt>
                <c:pt idx="289">
                  <c:v>44602</c:v>
                </c:pt>
                <c:pt idx="290">
                  <c:v>44603</c:v>
                </c:pt>
                <c:pt idx="291">
                  <c:v>44606</c:v>
                </c:pt>
                <c:pt idx="292">
                  <c:v>44607</c:v>
                </c:pt>
                <c:pt idx="293">
                  <c:v>44608</c:v>
                </c:pt>
                <c:pt idx="294">
                  <c:v>44609</c:v>
                </c:pt>
                <c:pt idx="295">
                  <c:v>44610</c:v>
                </c:pt>
                <c:pt idx="296">
                  <c:v>44613</c:v>
                </c:pt>
                <c:pt idx="297">
                  <c:v>44614</c:v>
                </c:pt>
                <c:pt idx="298">
                  <c:v>44615</c:v>
                </c:pt>
                <c:pt idx="299">
                  <c:v>44616</c:v>
                </c:pt>
                <c:pt idx="300">
                  <c:v>44617</c:v>
                </c:pt>
                <c:pt idx="301">
                  <c:v>44620</c:v>
                </c:pt>
                <c:pt idx="302">
                  <c:v>44621</c:v>
                </c:pt>
                <c:pt idx="303">
                  <c:v>44622</c:v>
                </c:pt>
                <c:pt idx="304">
                  <c:v>44623</c:v>
                </c:pt>
                <c:pt idx="305">
                  <c:v>44624</c:v>
                </c:pt>
                <c:pt idx="306">
                  <c:v>44627</c:v>
                </c:pt>
                <c:pt idx="307">
                  <c:v>44628</c:v>
                </c:pt>
                <c:pt idx="308">
                  <c:v>44629</c:v>
                </c:pt>
                <c:pt idx="309">
                  <c:v>44630</c:v>
                </c:pt>
                <c:pt idx="310">
                  <c:v>44631</c:v>
                </c:pt>
                <c:pt idx="311">
                  <c:v>44634</c:v>
                </c:pt>
                <c:pt idx="312">
                  <c:v>44635</c:v>
                </c:pt>
                <c:pt idx="313">
                  <c:v>44636</c:v>
                </c:pt>
                <c:pt idx="314">
                  <c:v>44637</c:v>
                </c:pt>
                <c:pt idx="315">
                  <c:v>44638</c:v>
                </c:pt>
                <c:pt idx="316">
                  <c:v>44641</c:v>
                </c:pt>
                <c:pt idx="317">
                  <c:v>44642</c:v>
                </c:pt>
                <c:pt idx="318">
                  <c:v>44643</c:v>
                </c:pt>
                <c:pt idx="319">
                  <c:v>44644</c:v>
                </c:pt>
                <c:pt idx="320">
                  <c:v>44645</c:v>
                </c:pt>
                <c:pt idx="321">
                  <c:v>44648</c:v>
                </c:pt>
                <c:pt idx="322">
                  <c:v>44649</c:v>
                </c:pt>
                <c:pt idx="323">
                  <c:v>44650</c:v>
                </c:pt>
                <c:pt idx="324">
                  <c:v>44651</c:v>
                </c:pt>
                <c:pt idx="325">
                  <c:v>44652</c:v>
                </c:pt>
                <c:pt idx="326">
                  <c:v>44655</c:v>
                </c:pt>
                <c:pt idx="327">
                  <c:v>44656</c:v>
                </c:pt>
                <c:pt idx="328">
                  <c:v>44657</c:v>
                </c:pt>
                <c:pt idx="329">
                  <c:v>44658</c:v>
                </c:pt>
                <c:pt idx="330">
                  <c:v>44659</c:v>
                </c:pt>
                <c:pt idx="331">
                  <c:v>44662</c:v>
                </c:pt>
                <c:pt idx="332">
                  <c:v>44663</c:v>
                </c:pt>
                <c:pt idx="333">
                  <c:v>44664</c:v>
                </c:pt>
                <c:pt idx="334">
                  <c:v>44665</c:v>
                </c:pt>
                <c:pt idx="335">
                  <c:v>44666</c:v>
                </c:pt>
                <c:pt idx="336">
                  <c:v>44669</c:v>
                </c:pt>
                <c:pt idx="337">
                  <c:v>44670</c:v>
                </c:pt>
                <c:pt idx="338">
                  <c:v>44671</c:v>
                </c:pt>
                <c:pt idx="339">
                  <c:v>44672</c:v>
                </c:pt>
                <c:pt idx="340">
                  <c:v>44673</c:v>
                </c:pt>
                <c:pt idx="341">
                  <c:v>44676</c:v>
                </c:pt>
                <c:pt idx="342">
                  <c:v>44677</c:v>
                </c:pt>
                <c:pt idx="343">
                  <c:v>44678</c:v>
                </c:pt>
                <c:pt idx="344">
                  <c:v>44679</c:v>
                </c:pt>
                <c:pt idx="345">
                  <c:v>44680</c:v>
                </c:pt>
                <c:pt idx="346">
                  <c:v>44683</c:v>
                </c:pt>
                <c:pt idx="347">
                  <c:v>44684</c:v>
                </c:pt>
                <c:pt idx="348">
                  <c:v>44685</c:v>
                </c:pt>
                <c:pt idx="349">
                  <c:v>44686</c:v>
                </c:pt>
                <c:pt idx="350">
                  <c:v>44687</c:v>
                </c:pt>
                <c:pt idx="351">
                  <c:v>44690</c:v>
                </c:pt>
                <c:pt idx="352">
                  <c:v>44691</c:v>
                </c:pt>
                <c:pt idx="353">
                  <c:v>44692</c:v>
                </c:pt>
                <c:pt idx="354">
                  <c:v>44693</c:v>
                </c:pt>
                <c:pt idx="355">
                  <c:v>44694</c:v>
                </c:pt>
                <c:pt idx="356">
                  <c:v>44697</c:v>
                </c:pt>
                <c:pt idx="357">
                  <c:v>44698</c:v>
                </c:pt>
                <c:pt idx="358">
                  <c:v>44699</c:v>
                </c:pt>
                <c:pt idx="359">
                  <c:v>44700</c:v>
                </c:pt>
                <c:pt idx="360">
                  <c:v>44701</c:v>
                </c:pt>
                <c:pt idx="361">
                  <c:v>44704</c:v>
                </c:pt>
                <c:pt idx="362">
                  <c:v>44705</c:v>
                </c:pt>
                <c:pt idx="363">
                  <c:v>44706</c:v>
                </c:pt>
                <c:pt idx="364">
                  <c:v>44707</c:v>
                </c:pt>
                <c:pt idx="365">
                  <c:v>44708</c:v>
                </c:pt>
                <c:pt idx="366">
                  <c:v>44711</c:v>
                </c:pt>
                <c:pt idx="367">
                  <c:v>44712</c:v>
                </c:pt>
                <c:pt idx="368">
                  <c:v>44713</c:v>
                </c:pt>
                <c:pt idx="369">
                  <c:v>44714</c:v>
                </c:pt>
                <c:pt idx="370">
                  <c:v>44715</c:v>
                </c:pt>
                <c:pt idx="371">
                  <c:v>44718</c:v>
                </c:pt>
                <c:pt idx="372">
                  <c:v>44719</c:v>
                </c:pt>
                <c:pt idx="373">
                  <c:v>44720</c:v>
                </c:pt>
                <c:pt idx="374">
                  <c:v>44721</c:v>
                </c:pt>
                <c:pt idx="375">
                  <c:v>44722</c:v>
                </c:pt>
                <c:pt idx="376">
                  <c:v>44725</c:v>
                </c:pt>
                <c:pt idx="377">
                  <c:v>44726</c:v>
                </c:pt>
                <c:pt idx="378">
                  <c:v>44727</c:v>
                </c:pt>
                <c:pt idx="379">
                  <c:v>44728</c:v>
                </c:pt>
                <c:pt idx="380">
                  <c:v>44729</c:v>
                </c:pt>
                <c:pt idx="381">
                  <c:v>44732</c:v>
                </c:pt>
                <c:pt idx="382">
                  <c:v>44733</c:v>
                </c:pt>
                <c:pt idx="383">
                  <c:v>44734</c:v>
                </c:pt>
                <c:pt idx="384">
                  <c:v>44735</c:v>
                </c:pt>
                <c:pt idx="385">
                  <c:v>44736</c:v>
                </c:pt>
                <c:pt idx="386">
                  <c:v>44739</c:v>
                </c:pt>
                <c:pt idx="387">
                  <c:v>44740</c:v>
                </c:pt>
                <c:pt idx="388">
                  <c:v>44741</c:v>
                </c:pt>
                <c:pt idx="389">
                  <c:v>44742</c:v>
                </c:pt>
                <c:pt idx="390">
                  <c:v>44743</c:v>
                </c:pt>
                <c:pt idx="391">
                  <c:v>44746</c:v>
                </c:pt>
                <c:pt idx="392">
                  <c:v>44747</c:v>
                </c:pt>
                <c:pt idx="393">
                  <c:v>44748</c:v>
                </c:pt>
                <c:pt idx="394">
                  <c:v>44749</c:v>
                </c:pt>
                <c:pt idx="395">
                  <c:v>44750</c:v>
                </c:pt>
                <c:pt idx="396">
                  <c:v>44753</c:v>
                </c:pt>
                <c:pt idx="397">
                  <c:v>44754</c:v>
                </c:pt>
                <c:pt idx="398">
                  <c:v>44755</c:v>
                </c:pt>
                <c:pt idx="399">
                  <c:v>44756</c:v>
                </c:pt>
                <c:pt idx="400">
                  <c:v>44757</c:v>
                </c:pt>
                <c:pt idx="401">
                  <c:v>44760</c:v>
                </c:pt>
                <c:pt idx="402">
                  <c:v>44761</c:v>
                </c:pt>
                <c:pt idx="403">
                  <c:v>44762</c:v>
                </c:pt>
                <c:pt idx="404">
                  <c:v>44763</c:v>
                </c:pt>
                <c:pt idx="405">
                  <c:v>44764</c:v>
                </c:pt>
                <c:pt idx="406">
                  <c:v>44767</c:v>
                </c:pt>
                <c:pt idx="407">
                  <c:v>44768</c:v>
                </c:pt>
                <c:pt idx="408">
                  <c:v>44769</c:v>
                </c:pt>
                <c:pt idx="409">
                  <c:v>44770</c:v>
                </c:pt>
                <c:pt idx="410">
                  <c:v>44771</c:v>
                </c:pt>
                <c:pt idx="411">
                  <c:v>44774</c:v>
                </c:pt>
                <c:pt idx="412">
                  <c:v>44775</c:v>
                </c:pt>
                <c:pt idx="413">
                  <c:v>44776</c:v>
                </c:pt>
                <c:pt idx="414">
                  <c:v>44777</c:v>
                </c:pt>
                <c:pt idx="415">
                  <c:v>44778</c:v>
                </c:pt>
                <c:pt idx="416">
                  <c:v>44781</c:v>
                </c:pt>
                <c:pt idx="417">
                  <c:v>44782</c:v>
                </c:pt>
                <c:pt idx="418">
                  <c:v>44783</c:v>
                </c:pt>
                <c:pt idx="419">
                  <c:v>44784</c:v>
                </c:pt>
                <c:pt idx="420">
                  <c:v>44785</c:v>
                </c:pt>
                <c:pt idx="421">
                  <c:v>44788</c:v>
                </c:pt>
                <c:pt idx="422">
                  <c:v>44789</c:v>
                </c:pt>
                <c:pt idx="423">
                  <c:v>44790</c:v>
                </c:pt>
                <c:pt idx="424">
                  <c:v>44791</c:v>
                </c:pt>
                <c:pt idx="425">
                  <c:v>44792</c:v>
                </c:pt>
                <c:pt idx="426">
                  <c:v>44795</c:v>
                </c:pt>
                <c:pt idx="427">
                  <c:v>44796</c:v>
                </c:pt>
                <c:pt idx="428">
                  <c:v>44797</c:v>
                </c:pt>
                <c:pt idx="429">
                  <c:v>44798</c:v>
                </c:pt>
                <c:pt idx="430">
                  <c:v>44799</c:v>
                </c:pt>
                <c:pt idx="431">
                  <c:v>44802</c:v>
                </c:pt>
                <c:pt idx="432">
                  <c:v>44803</c:v>
                </c:pt>
                <c:pt idx="433">
                  <c:v>44804</c:v>
                </c:pt>
                <c:pt idx="434">
                  <c:v>44805</c:v>
                </c:pt>
                <c:pt idx="435">
                  <c:v>44806</c:v>
                </c:pt>
                <c:pt idx="436">
                  <c:v>44809</c:v>
                </c:pt>
                <c:pt idx="437">
                  <c:v>44810</c:v>
                </c:pt>
                <c:pt idx="438">
                  <c:v>44811</c:v>
                </c:pt>
                <c:pt idx="439">
                  <c:v>44812</c:v>
                </c:pt>
                <c:pt idx="440">
                  <c:v>44813</c:v>
                </c:pt>
                <c:pt idx="441">
                  <c:v>44816</c:v>
                </c:pt>
                <c:pt idx="442">
                  <c:v>44817</c:v>
                </c:pt>
                <c:pt idx="443">
                  <c:v>44818</c:v>
                </c:pt>
                <c:pt idx="444">
                  <c:v>44819</c:v>
                </c:pt>
                <c:pt idx="445">
                  <c:v>44820</c:v>
                </c:pt>
                <c:pt idx="446">
                  <c:v>44823</c:v>
                </c:pt>
                <c:pt idx="447">
                  <c:v>44824</c:v>
                </c:pt>
                <c:pt idx="448">
                  <c:v>44825</c:v>
                </c:pt>
                <c:pt idx="449">
                  <c:v>44826</c:v>
                </c:pt>
                <c:pt idx="450">
                  <c:v>44827</c:v>
                </c:pt>
                <c:pt idx="451">
                  <c:v>44830</c:v>
                </c:pt>
                <c:pt idx="452">
                  <c:v>44831</c:v>
                </c:pt>
                <c:pt idx="453">
                  <c:v>44832</c:v>
                </c:pt>
                <c:pt idx="454">
                  <c:v>44833</c:v>
                </c:pt>
                <c:pt idx="455">
                  <c:v>44834</c:v>
                </c:pt>
                <c:pt idx="456">
                  <c:v>44837</c:v>
                </c:pt>
                <c:pt idx="457">
                  <c:v>44838</c:v>
                </c:pt>
                <c:pt idx="458">
                  <c:v>44839</c:v>
                </c:pt>
                <c:pt idx="459">
                  <c:v>44840</c:v>
                </c:pt>
                <c:pt idx="460">
                  <c:v>44841</c:v>
                </c:pt>
                <c:pt idx="461">
                  <c:v>44844</c:v>
                </c:pt>
                <c:pt idx="462">
                  <c:v>44845</c:v>
                </c:pt>
                <c:pt idx="463">
                  <c:v>44846</c:v>
                </c:pt>
                <c:pt idx="464">
                  <c:v>44847</c:v>
                </c:pt>
                <c:pt idx="465">
                  <c:v>44848</c:v>
                </c:pt>
                <c:pt idx="466">
                  <c:v>44851</c:v>
                </c:pt>
                <c:pt idx="467">
                  <c:v>44852</c:v>
                </c:pt>
                <c:pt idx="468">
                  <c:v>44853</c:v>
                </c:pt>
                <c:pt idx="469">
                  <c:v>44854</c:v>
                </c:pt>
                <c:pt idx="470">
                  <c:v>44855</c:v>
                </c:pt>
                <c:pt idx="471">
                  <c:v>44858</c:v>
                </c:pt>
                <c:pt idx="472">
                  <c:v>44859</c:v>
                </c:pt>
                <c:pt idx="473">
                  <c:v>44860</c:v>
                </c:pt>
                <c:pt idx="474">
                  <c:v>44861</c:v>
                </c:pt>
                <c:pt idx="475">
                  <c:v>44862</c:v>
                </c:pt>
                <c:pt idx="476">
                  <c:v>44865</c:v>
                </c:pt>
                <c:pt idx="477">
                  <c:v>44866</c:v>
                </c:pt>
                <c:pt idx="478">
                  <c:v>44867</c:v>
                </c:pt>
                <c:pt idx="479">
                  <c:v>44868</c:v>
                </c:pt>
                <c:pt idx="480">
                  <c:v>44869</c:v>
                </c:pt>
                <c:pt idx="481">
                  <c:v>44872</c:v>
                </c:pt>
                <c:pt idx="482">
                  <c:v>44873</c:v>
                </c:pt>
                <c:pt idx="483">
                  <c:v>44874</c:v>
                </c:pt>
                <c:pt idx="484">
                  <c:v>44875</c:v>
                </c:pt>
                <c:pt idx="485">
                  <c:v>44876</c:v>
                </c:pt>
                <c:pt idx="486">
                  <c:v>44879</c:v>
                </c:pt>
                <c:pt idx="487">
                  <c:v>44880</c:v>
                </c:pt>
                <c:pt idx="488">
                  <c:v>44881</c:v>
                </c:pt>
                <c:pt idx="489">
                  <c:v>44882</c:v>
                </c:pt>
                <c:pt idx="490">
                  <c:v>44883</c:v>
                </c:pt>
                <c:pt idx="491">
                  <c:v>44886</c:v>
                </c:pt>
                <c:pt idx="492">
                  <c:v>44887</c:v>
                </c:pt>
                <c:pt idx="493">
                  <c:v>44888</c:v>
                </c:pt>
                <c:pt idx="494">
                  <c:v>44889</c:v>
                </c:pt>
                <c:pt idx="495">
                  <c:v>44890</c:v>
                </c:pt>
                <c:pt idx="496">
                  <c:v>44893</c:v>
                </c:pt>
                <c:pt idx="497">
                  <c:v>44894</c:v>
                </c:pt>
                <c:pt idx="498">
                  <c:v>44895</c:v>
                </c:pt>
                <c:pt idx="499">
                  <c:v>44896</c:v>
                </c:pt>
                <c:pt idx="500">
                  <c:v>44897</c:v>
                </c:pt>
                <c:pt idx="501">
                  <c:v>44900</c:v>
                </c:pt>
                <c:pt idx="502">
                  <c:v>44901</c:v>
                </c:pt>
                <c:pt idx="503">
                  <c:v>44902</c:v>
                </c:pt>
                <c:pt idx="504">
                  <c:v>44903</c:v>
                </c:pt>
                <c:pt idx="505">
                  <c:v>44904</c:v>
                </c:pt>
                <c:pt idx="506">
                  <c:v>44907</c:v>
                </c:pt>
                <c:pt idx="507">
                  <c:v>44908</c:v>
                </c:pt>
                <c:pt idx="508">
                  <c:v>44909</c:v>
                </c:pt>
                <c:pt idx="509">
                  <c:v>44910</c:v>
                </c:pt>
                <c:pt idx="510">
                  <c:v>44911</c:v>
                </c:pt>
                <c:pt idx="511">
                  <c:v>44914</c:v>
                </c:pt>
                <c:pt idx="512">
                  <c:v>44915</c:v>
                </c:pt>
                <c:pt idx="513">
                  <c:v>44916</c:v>
                </c:pt>
                <c:pt idx="514">
                  <c:v>44917</c:v>
                </c:pt>
                <c:pt idx="515">
                  <c:v>44918</c:v>
                </c:pt>
                <c:pt idx="516">
                  <c:v>44921</c:v>
                </c:pt>
                <c:pt idx="517">
                  <c:v>44922</c:v>
                </c:pt>
                <c:pt idx="518">
                  <c:v>44923</c:v>
                </c:pt>
                <c:pt idx="519">
                  <c:v>44924</c:v>
                </c:pt>
                <c:pt idx="520">
                  <c:v>44925</c:v>
                </c:pt>
                <c:pt idx="521">
                  <c:v>44928</c:v>
                </c:pt>
                <c:pt idx="522">
                  <c:v>44929</c:v>
                </c:pt>
                <c:pt idx="523">
                  <c:v>44930</c:v>
                </c:pt>
                <c:pt idx="524">
                  <c:v>44931</c:v>
                </c:pt>
                <c:pt idx="525">
                  <c:v>44932</c:v>
                </c:pt>
                <c:pt idx="526">
                  <c:v>44935</c:v>
                </c:pt>
                <c:pt idx="527">
                  <c:v>44936</c:v>
                </c:pt>
                <c:pt idx="528">
                  <c:v>44937</c:v>
                </c:pt>
                <c:pt idx="529">
                  <c:v>44938</c:v>
                </c:pt>
                <c:pt idx="530">
                  <c:v>44939</c:v>
                </c:pt>
                <c:pt idx="531">
                  <c:v>44942</c:v>
                </c:pt>
                <c:pt idx="532">
                  <c:v>44943</c:v>
                </c:pt>
                <c:pt idx="533">
                  <c:v>44944</c:v>
                </c:pt>
                <c:pt idx="534">
                  <c:v>44945</c:v>
                </c:pt>
                <c:pt idx="535">
                  <c:v>44946</c:v>
                </c:pt>
                <c:pt idx="536">
                  <c:v>44949</c:v>
                </c:pt>
                <c:pt idx="537">
                  <c:v>44950</c:v>
                </c:pt>
                <c:pt idx="538">
                  <c:v>44951</c:v>
                </c:pt>
                <c:pt idx="539">
                  <c:v>44952</c:v>
                </c:pt>
                <c:pt idx="540">
                  <c:v>44953</c:v>
                </c:pt>
                <c:pt idx="541">
                  <c:v>44956</c:v>
                </c:pt>
                <c:pt idx="542">
                  <c:v>44957</c:v>
                </c:pt>
                <c:pt idx="543">
                  <c:v>44958</c:v>
                </c:pt>
                <c:pt idx="544">
                  <c:v>44959</c:v>
                </c:pt>
                <c:pt idx="545">
                  <c:v>44960</c:v>
                </c:pt>
                <c:pt idx="546">
                  <c:v>44963</c:v>
                </c:pt>
                <c:pt idx="547">
                  <c:v>44964</c:v>
                </c:pt>
                <c:pt idx="548">
                  <c:v>44965</c:v>
                </c:pt>
                <c:pt idx="549">
                  <c:v>44966</c:v>
                </c:pt>
                <c:pt idx="550">
                  <c:v>44967</c:v>
                </c:pt>
                <c:pt idx="551">
                  <c:v>44970</c:v>
                </c:pt>
                <c:pt idx="552">
                  <c:v>44971</c:v>
                </c:pt>
                <c:pt idx="553">
                  <c:v>44972</c:v>
                </c:pt>
                <c:pt idx="554">
                  <c:v>44973</c:v>
                </c:pt>
                <c:pt idx="555">
                  <c:v>44974</c:v>
                </c:pt>
                <c:pt idx="556">
                  <c:v>44977</c:v>
                </c:pt>
                <c:pt idx="557">
                  <c:v>44978</c:v>
                </c:pt>
                <c:pt idx="558">
                  <c:v>44979</c:v>
                </c:pt>
                <c:pt idx="559">
                  <c:v>44980</c:v>
                </c:pt>
                <c:pt idx="560">
                  <c:v>44981</c:v>
                </c:pt>
                <c:pt idx="561">
                  <c:v>44984</c:v>
                </c:pt>
                <c:pt idx="562">
                  <c:v>44985</c:v>
                </c:pt>
                <c:pt idx="563">
                  <c:v>44986</c:v>
                </c:pt>
                <c:pt idx="564">
                  <c:v>44987</c:v>
                </c:pt>
                <c:pt idx="565">
                  <c:v>44988</c:v>
                </c:pt>
                <c:pt idx="566">
                  <c:v>44991</c:v>
                </c:pt>
                <c:pt idx="567">
                  <c:v>44992</c:v>
                </c:pt>
                <c:pt idx="568">
                  <c:v>44993</c:v>
                </c:pt>
                <c:pt idx="569">
                  <c:v>44994</c:v>
                </c:pt>
                <c:pt idx="570">
                  <c:v>44995</c:v>
                </c:pt>
                <c:pt idx="571">
                  <c:v>44998</c:v>
                </c:pt>
                <c:pt idx="572">
                  <c:v>44999</c:v>
                </c:pt>
                <c:pt idx="573">
                  <c:v>45000</c:v>
                </c:pt>
                <c:pt idx="574">
                  <c:v>45001</c:v>
                </c:pt>
                <c:pt idx="575">
                  <c:v>45002</c:v>
                </c:pt>
                <c:pt idx="576">
                  <c:v>45005</c:v>
                </c:pt>
                <c:pt idx="577">
                  <c:v>45006</c:v>
                </c:pt>
                <c:pt idx="578">
                  <c:v>45007</c:v>
                </c:pt>
                <c:pt idx="579">
                  <c:v>45008</c:v>
                </c:pt>
                <c:pt idx="580">
                  <c:v>45009</c:v>
                </c:pt>
                <c:pt idx="581">
                  <c:v>45012</c:v>
                </c:pt>
                <c:pt idx="582">
                  <c:v>45013</c:v>
                </c:pt>
                <c:pt idx="583">
                  <c:v>45014</c:v>
                </c:pt>
                <c:pt idx="584">
                  <c:v>45015</c:v>
                </c:pt>
                <c:pt idx="585">
                  <c:v>45016</c:v>
                </c:pt>
                <c:pt idx="586">
                  <c:v>45019</c:v>
                </c:pt>
                <c:pt idx="587">
                  <c:v>45020</c:v>
                </c:pt>
                <c:pt idx="588">
                  <c:v>45021</c:v>
                </c:pt>
                <c:pt idx="589">
                  <c:v>45022</c:v>
                </c:pt>
                <c:pt idx="590">
                  <c:v>45023</c:v>
                </c:pt>
                <c:pt idx="591">
                  <c:v>45026</c:v>
                </c:pt>
                <c:pt idx="592">
                  <c:v>45027</c:v>
                </c:pt>
                <c:pt idx="593">
                  <c:v>45028</c:v>
                </c:pt>
                <c:pt idx="594">
                  <c:v>45029</c:v>
                </c:pt>
                <c:pt idx="595">
                  <c:v>45030</c:v>
                </c:pt>
                <c:pt idx="596">
                  <c:v>45033</c:v>
                </c:pt>
                <c:pt idx="597">
                  <c:v>45034</c:v>
                </c:pt>
                <c:pt idx="598">
                  <c:v>45035</c:v>
                </c:pt>
                <c:pt idx="599">
                  <c:v>45036</c:v>
                </c:pt>
                <c:pt idx="600">
                  <c:v>45037</c:v>
                </c:pt>
                <c:pt idx="601">
                  <c:v>45040</c:v>
                </c:pt>
                <c:pt idx="602">
                  <c:v>45041</c:v>
                </c:pt>
                <c:pt idx="603">
                  <c:v>45042</c:v>
                </c:pt>
                <c:pt idx="604">
                  <c:v>45043</c:v>
                </c:pt>
                <c:pt idx="605">
                  <c:v>45044</c:v>
                </c:pt>
                <c:pt idx="606">
                  <c:v>45047</c:v>
                </c:pt>
                <c:pt idx="607">
                  <c:v>45048</c:v>
                </c:pt>
                <c:pt idx="608">
                  <c:v>45049</c:v>
                </c:pt>
                <c:pt idx="609">
                  <c:v>45050</c:v>
                </c:pt>
                <c:pt idx="610">
                  <c:v>45051</c:v>
                </c:pt>
                <c:pt idx="611">
                  <c:v>45054</c:v>
                </c:pt>
                <c:pt idx="612">
                  <c:v>45055</c:v>
                </c:pt>
                <c:pt idx="613">
                  <c:v>45056</c:v>
                </c:pt>
                <c:pt idx="614">
                  <c:v>45057</c:v>
                </c:pt>
                <c:pt idx="615">
                  <c:v>45058</c:v>
                </c:pt>
                <c:pt idx="616">
                  <c:v>45061</c:v>
                </c:pt>
                <c:pt idx="617">
                  <c:v>45062</c:v>
                </c:pt>
                <c:pt idx="618">
                  <c:v>45063</c:v>
                </c:pt>
                <c:pt idx="619">
                  <c:v>45064</c:v>
                </c:pt>
                <c:pt idx="620">
                  <c:v>45065</c:v>
                </c:pt>
                <c:pt idx="621">
                  <c:v>45068</c:v>
                </c:pt>
                <c:pt idx="622">
                  <c:v>45069</c:v>
                </c:pt>
                <c:pt idx="623">
                  <c:v>45070</c:v>
                </c:pt>
                <c:pt idx="624">
                  <c:v>45071</c:v>
                </c:pt>
                <c:pt idx="625">
                  <c:v>45072</c:v>
                </c:pt>
                <c:pt idx="626">
                  <c:v>45075</c:v>
                </c:pt>
                <c:pt idx="627">
                  <c:v>45076</c:v>
                </c:pt>
                <c:pt idx="628">
                  <c:v>45077</c:v>
                </c:pt>
                <c:pt idx="629">
                  <c:v>45078</c:v>
                </c:pt>
                <c:pt idx="630">
                  <c:v>45079</c:v>
                </c:pt>
                <c:pt idx="631">
                  <c:v>45082</c:v>
                </c:pt>
                <c:pt idx="632">
                  <c:v>45083</c:v>
                </c:pt>
                <c:pt idx="633">
                  <c:v>45084</c:v>
                </c:pt>
                <c:pt idx="634">
                  <c:v>45085</c:v>
                </c:pt>
                <c:pt idx="635">
                  <c:v>45086</c:v>
                </c:pt>
                <c:pt idx="636">
                  <c:v>45089</c:v>
                </c:pt>
                <c:pt idx="637">
                  <c:v>45090</c:v>
                </c:pt>
                <c:pt idx="638">
                  <c:v>45091</c:v>
                </c:pt>
                <c:pt idx="639">
                  <c:v>45092</c:v>
                </c:pt>
                <c:pt idx="640">
                  <c:v>45093</c:v>
                </c:pt>
                <c:pt idx="641">
                  <c:v>45096</c:v>
                </c:pt>
                <c:pt idx="642">
                  <c:v>45097</c:v>
                </c:pt>
                <c:pt idx="643">
                  <c:v>45098</c:v>
                </c:pt>
                <c:pt idx="644">
                  <c:v>45099</c:v>
                </c:pt>
                <c:pt idx="645">
                  <c:v>45100</c:v>
                </c:pt>
                <c:pt idx="646">
                  <c:v>45103</c:v>
                </c:pt>
                <c:pt idx="647">
                  <c:v>45104</c:v>
                </c:pt>
                <c:pt idx="648">
                  <c:v>45105</c:v>
                </c:pt>
                <c:pt idx="649">
                  <c:v>45106</c:v>
                </c:pt>
                <c:pt idx="650">
                  <c:v>45107</c:v>
                </c:pt>
                <c:pt idx="651">
                  <c:v>45110</c:v>
                </c:pt>
                <c:pt idx="652">
                  <c:v>45111</c:v>
                </c:pt>
                <c:pt idx="653">
                  <c:v>45112</c:v>
                </c:pt>
                <c:pt idx="654">
                  <c:v>45113</c:v>
                </c:pt>
                <c:pt idx="655">
                  <c:v>45114</c:v>
                </c:pt>
                <c:pt idx="656">
                  <c:v>45117</c:v>
                </c:pt>
                <c:pt idx="657">
                  <c:v>45118</c:v>
                </c:pt>
                <c:pt idx="658">
                  <c:v>45119</c:v>
                </c:pt>
                <c:pt idx="659">
                  <c:v>45120</c:v>
                </c:pt>
                <c:pt idx="660">
                  <c:v>45121</c:v>
                </c:pt>
                <c:pt idx="661">
                  <c:v>45124</c:v>
                </c:pt>
                <c:pt idx="662">
                  <c:v>45125</c:v>
                </c:pt>
                <c:pt idx="663">
                  <c:v>45126</c:v>
                </c:pt>
                <c:pt idx="664">
                  <c:v>45127</c:v>
                </c:pt>
                <c:pt idx="665">
                  <c:v>45128</c:v>
                </c:pt>
                <c:pt idx="666">
                  <c:v>45131</c:v>
                </c:pt>
                <c:pt idx="667">
                  <c:v>45132</c:v>
                </c:pt>
                <c:pt idx="668">
                  <c:v>45133</c:v>
                </c:pt>
                <c:pt idx="669">
                  <c:v>45134</c:v>
                </c:pt>
                <c:pt idx="670">
                  <c:v>45135</c:v>
                </c:pt>
                <c:pt idx="671">
                  <c:v>45138</c:v>
                </c:pt>
                <c:pt idx="672">
                  <c:v>45139</c:v>
                </c:pt>
                <c:pt idx="673">
                  <c:v>45140</c:v>
                </c:pt>
                <c:pt idx="674">
                  <c:v>45141</c:v>
                </c:pt>
                <c:pt idx="675">
                  <c:v>45142</c:v>
                </c:pt>
                <c:pt idx="676">
                  <c:v>45145</c:v>
                </c:pt>
                <c:pt idx="677">
                  <c:v>45146</c:v>
                </c:pt>
                <c:pt idx="678">
                  <c:v>45147</c:v>
                </c:pt>
                <c:pt idx="679">
                  <c:v>45148</c:v>
                </c:pt>
                <c:pt idx="680">
                  <c:v>45149</c:v>
                </c:pt>
                <c:pt idx="681">
                  <c:v>45152</c:v>
                </c:pt>
                <c:pt idx="682">
                  <c:v>45153</c:v>
                </c:pt>
                <c:pt idx="683">
                  <c:v>45154</c:v>
                </c:pt>
                <c:pt idx="684">
                  <c:v>45155</c:v>
                </c:pt>
                <c:pt idx="685">
                  <c:v>45156</c:v>
                </c:pt>
                <c:pt idx="686">
                  <c:v>45159</c:v>
                </c:pt>
                <c:pt idx="687">
                  <c:v>45160</c:v>
                </c:pt>
                <c:pt idx="688">
                  <c:v>45161</c:v>
                </c:pt>
                <c:pt idx="689">
                  <c:v>45162</c:v>
                </c:pt>
                <c:pt idx="690">
                  <c:v>45163</c:v>
                </c:pt>
                <c:pt idx="691">
                  <c:v>45166</c:v>
                </c:pt>
                <c:pt idx="692">
                  <c:v>45167</c:v>
                </c:pt>
                <c:pt idx="693">
                  <c:v>45168</c:v>
                </c:pt>
                <c:pt idx="694">
                  <c:v>45169</c:v>
                </c:pt>
                <c:pt idx="695">
                  <c:v>45170</c:v>
                </c:pt>
                <c:pt idx="696">
                  <c:v>45173</c:v>
                </c:pt>
                <c:pt idx="697">
                  <c:v>45174</c:v>
                </c:pt>
                <c:pt idx="698">
                  <c:v>45175</c:v>
                </c:pt>
                <c:pt idx="699">
                  <c:v>45176</c:v>
                </c:pt>
                <c:pt idx="700">
                  <c:v>45177</c:v>
                </c:pt>
                <c:pt idx="701">
                  <c:v>45180</c:v>
                </c:pt>
                <c:pt idx="702">
                  <c:v>45181</c:v>
                </c:pt>
                <c:pt idx="703">
                  <c:v>45182</c:v>
                </c:pt>
                <c:pt idx="704">
                  <c:v>45183</c:v>
                </c:pt>
                <c:pt idx="705">
                  <c:v>45184</c:v>
                </c:pt>
                <c:pt idx="706">
                  <c:v>45187</c:v>
                </c:pt>
                <c:pt idx="707">
                  <c:v>45188</c:v>
                </c:pt>
                <c:pt idx="708">
                  <c:v>45189</c:v>
                </c:pt>
                <c:pt idx="709">
                  <c:v>45190</c:v>
                </c:pt>
                <c:pt idx="710">
                  <c:v>45191</c:v>
                </c:pt>
                <c:pt idx="711">
                  <c:v>45194</c:v>
                </c:pt>
                <c:pt idx="712">
                  <c:v>45195</c:v>
                </c:pt>
                <c:pt idx="713">
                  <c:v>45196</c:v>
                </c:pt>
                <c:pt idx="714">
                  <c:v>45197</c:v>
                </c:pt>
                <c:pt idx="715">
                  <c:v>45198</c:v>
                </c:pt>
                <c:pt idx="716">
                  <c:v>45201</c:v>
                </c:pt>
                <c:pt idx="717">
                  <c:v>45202</c:v>
                </c:pt>
                <c:pt idx="718">
                  <c:v>45203</c:v>
                </c:pt>
                <c:pt idx="719">
                  <c:v>45204</c:v>
                </c:pt>
                <c:pt idx="720">
                  <c:v>45205</c:v>
                </c:pt>
                <c:pt idx="721">
                  <c:v>45208</c:v>
                </c:pt>
                <c:pt idx="722">
                  <c:v>45209</c:v>
                </c:pt>
                <c:pt idx="723">
                  <c:v>45210</c:v>
                </c:pt>
                <c:pt idx="724">
                  <c:v>45211</c:v>
                </c:pt>
                <c:pt idx="725">
                  <c:v>45212</c:v>
                </c:pt>
                <c:pt idx="726">
                  <c:v>45215</c:v>
                </c:pt>
                <c:pt idx="727">
                  <c:v>45216</c:v>
                </c:pt>
                <c:pt idx="728">
                  <c:v>45217</c:v>
                </c:pt>
                <c:pt idx="729">
                  <c:v>45218</c:v>
                </c:pt>
                <c:pt idx="730">
                  <c:v>45219</c:v>
                </c:pt>
                <c:pt idx="731">
                  <c:v>45222</c:v>
                </c:pt>
                <c:pt idx="732">
                  <c:v>45223</c:v>
                </c:pt>
                <c:pt idx="733">
                  <c:v>45224</c:v>
                </c:pt>
                <c:pt idx="734">
                  <c:v>45225</c:v>
                </c:pt>
                <c:pt idx="735">
                  <c:v>45226</c:v>
                </c:pt>
                <c:pt idx="736">
                  <c:v>45229</c:v>
                </c:pt>
                <c:pt idx="737">
                  <c:v>45230</c:v>
                </c:pt>
                <c:pt idx="738">
                  <c:v>45231</c:v>
                </c:pt>
                <c:pt idx="739">
                  <c:v>45232</c:v>
                </c:pt>
                <c:pt idx="740">
                  <c:v>45233</c:v>
                </c:pt>
                <c:pt idx="741">
                  <c:v>45236</c:v>
                </c:pt>
                <c:pt idx="742">
                  <c:v>45237</c:v>
                </c:pt>
                <c:pt idx="743">
                  <c:v>45238</c:v>
                </c:pt>
                <c:pt idx="744">
                  <c:v>45239</c:v>
                </c:pt>
                <c:pt idx="745">
                  <c:v>45240</c:v>
                </c:pt>
                <c:pt idx="746">
                  <c:v>45243</c:v>
                </c:pt>
                <c:pt idx="747">
                  <c:v>45244</c:v>
                </c:pt>
                <c:pt idx="748">
                  <c:v>45245</c:v>
                </c:pt>
                <c:pt idx="749">
                  <c:v>45246</c:v>
                </c:pt>
                <c:pt idx="750">
                  <c:v>45247</c:v>
                </c:pt>
                <c:pt idx="751">
                  <c:v>45250</c:v>
                </c:pt>
                <c:pt idx="752">
                  <c:v>45251</c:v>
                </c:pt>
                <c:pt idx="753">
                  <c:v>45252</c:v>
                </c:pt>
                <c:pt idx="754">
                  <c:v>45253</c:v>
                </c:pt>
                <c:pt idx="755">
                  <c:v>45254</c:v>
                </c:pt>
                <c:pt idx="756">
                  <c:v>45257</c:v>
                </c:pt>
                <c:pt idx="757">
                  <c:v>45258</c:v>
                </c:pt>
                <c:pt idx="758">
                  <c:v>45259</c:v>
                </c:pt>
                <c:pt idx="759">
                  <c:v>45260</c:v>
                </c:pt>
                <c:pt idx="760">
                  <c:v>45261</c:v>
                </c:pt>
                <c:pt idx="761">
                  <c:v>45264</c:v>
                </c:pt>
                <c:pt idx="762">
                  <c:v>45265</c:v>
                </c:pt>
                <c:pt idx="763">
                  <c:v>45266</c:v>
                </c:pt>
                <c:pt idx="764">
                  <c:v>45267</c:v>
                </c:pt>
                <c:pt idx="765">
                  <c:v>45268</c:v>
                </c:pt>
                <c:pt idx="766">
                  <c:v>45271</c:v>
                </c:pt>
                <c:pt idx="767">
                  <c:v>45272</c:v>
                </c:pt>
                <c:pt idx="768">
                  <c:v>45273</c:v>
                </c:pt>
                <c:pt idx="769">
                  <c:v>45274</c:v>
                </c:pt>
                <c:pt idx="770">
                  <c:v>45275</c:v>
                </c:pt>
                <c:pt idx="771">
                  <c:v>45278</c:v>
                </c:pt>
                <c:pt idx="772">
                  <c:v>45279</c:v>
                </c:pt>
                <c:pt idx="773">
                  <c:v>45280</c:v>
                </c:pt>
                <c:pt idx="774">
                  <c:v>45281</c:v>
                </c:pt>
                <c:pt idx="775">
                  <c:v>45282</c:v>
                </c:pt>
                <c:pt idx="776">
                  <c:v>45285</c:v>
                </c:pt>
                <c:pt idx="777">
                  <c:v>45286</c:v>
                </c:pt>
                <c:pt idx="778">
                  <c:v>45287</c:v>
                </c:pt>
                <c:pt idx="779">
                  <c:v>45288</c:v>
                </c:pt>
                <c:pt idx="780">
                  <c:v>45289</c:v>
                </c:pt>
                <c:pt idx="781">
                  <c:v>45292</c:v>
                </c:pt>
                <c:pt idx="782">
                  <c:v>45293</c:v>
                </c:pt>
                <c:pt idx="783">
                  <c:v>45294</c:v>
                </c:pt>
                <c:pt idx="784">
                  <c:v>45295</c:v>
                </c:pt>
                <c:pt idx="785">
                  <c:v>45296</c:v>
                </c:pt>
                <c:pt idx="786">
                  <c:v>45299</c:v>
                </c:pt>
                <c:pt idx="787">
                  <c:v>45300</c:v>
                </c:pt>
                <c:pt idx="788">
                  <c:v>45301</c:v>
                </c:pt>
                <c:pt idx="789">
                  <c:v>45302</c:v>
                </c:pt>
                <c:pt idx="790">
                  <c:v>45303</c:v>
                </c:pt>
                <c:pt idx="791">
                  <c:v>45306</c:v>
                </c:pt>
                <c:pt idx="792">
                  <c:v>45307</c:v>
                </c:pt>
                <c:pt idx="793">
                  <c:v>45308</c:v>
                </c:pt>
                <c:pt idx="794">
                  <c:v>45309</c:v>
                </c:pt>
                <c:pt idx="795">
                  <c:v>45310</c:v>
                </c:pt>
                <c:pt idx="796">
                  <c:v>45313</c:v>
                </c:pt>
                <c:pt idx="797">
                  <c:v>45314</c:v>
                </c:pt>
                <c:pt idx="798">
                  <c:v>45315</c:v>
                </c:pt>
                <c:pt idx="799">
                  <c:v>45316</c:v>
                </c:pt>
                <c:pt idx="800">
                  <c:v>45317</c:v>
                </c:pt>
                <c:pt idx="801">
                  <c:v>45320</c:v>
                </c:pt>
                <c:pt idx="802">
                  <c:v>45321</c:v>
                </c:pt>
                <c:pt idx="803">
                  <c:v>45322</c:v>
                </c:pt>
                <c:pt idx="804">
                  <c:v>45323</c:v>
                </c:pt>
                <c:pt idx="805">
                  <c:v>45324</c:v>
                </c:pt>
                <c:pt idx="806">
                  <c:v>45327</c:v>
                </c:pt>
                <c:pt idx="807">
                  <c:v>45328</c:v>
                </c:pt>
                <c:pt idx="808">
                  <c:v>45329</c:v>
                </c:pt>
                <c:pt idx="809">
                  <c:v>45330</c:v>
                </c:pt>
                <c:pt idx="810">
                  <c:v>45331</c:v>
                </c:pt>
                <c:pt idx="811">
                  <c:v>45334</c:v>
                </c:pt>
                <c:pt idx="812">
                  <c:v>45335</c:v>
                </c:pt>
                <c:pt idx="813">
                  <c:v>45336</c:v>
                </c:pt>
                <c:pt idx="814">
                  <c:v>45337</c:v>
                </c:pt>
                <c:pt idx="815">
                  <c:v>45338</c:v>
                </c:pt>
                <c:pt idx="816">
                  <c:v>45341</c:v>
                </c:pt>
                <c:pt idx="817">
                  <c:v>45342</c:v>
                </c:pt>
                <c:pt idx="818">
                  <c:v>45343</c:v>
                </c:pt>
                <c:pt idx="819">
                  <c:v>45344</c:v>
                </c:pt>
                <c:pt idx="820">
                  <c:v>45345</c:v>
                </c:pt>
                <c:pt idx="821">
                  <c:v>45348</c:v>
                </c:pt>
                <c:pt idx="822">
                  <c:v>45349</c:v>
                </c:pt>
                <c:pt idx="823">
                  <c:v>45350</c:v>
                </c:pt>
                <c:pt idx="824">
                  <c:v>45351</c:v>
                </c:pt>
                <c:pt idx="825">
                  <c:v>45352</c:v>
                </c:pt>
                <c:pt idx="826">
                  <c:v>45355</c:v>
                </c:pt>
                <c:pt idx="827">
                  <c:v>45356</c:v>
                </c:pt>
                <c:pt idx="828">
                  <c:v>45357</c:v>
                </c:pt>
                <c:pt idx="829">
                  <c:v>45358</c:v>
                </c:pt>
                <c:pt idx="830">
                  <c:v>45359</c:v>
                </c:pt>
                <c:pt idx="831">
                  <c:v>45362</c:v>
                </c:pt>
                <c:pt idx="832">
                  <c:v>45363</c:v>
                </c:pt>
                <c:pt idx="833">
                  <c:v>45364</c:v>
                </c:pt>
                <c:pt idx="834">
                  <c:v>45365</c:v>
                </c:pt>
                <c:pt idx="835">
                  <c:v>45366</c:v>
                </c:pt>
                <c:pt idx="836">
                  <c:v>45369</c:v>
                </c:pt>
                <c:pt idx="837">
                  <c:v>45370</c:v>
                </c:pt>
                <c:pt idx="838">
                  <c:v>45371</c:v>
                </c:pt>
                <c:pt idx="839">
                  <c:v>45372</c:v>
                </c:pt>
                <c:pt idx="840">
                  <c:v>45373</c:v>
                </c:pt>
                <c:pt idx="841">
                  <c:v>45376</c:v>
                </c:pt>
                <c:pt idx="842">
                  <c:v>45377</c:v>
                </c:pt>
                <c:pt idx="843">
                  <c:v>45378</c:v>
                </c:pt>
                <c:pt idx="844">
                  <c:v>45379</c:v>
                </c:pt>
                <c:pt idx="845">
                  <c:v>45380</c:v>
                </c:pt>
                <c:pt idx="846">
                  <c:v>45383</c:v>
                </c:pt>
                <c:pt idx="847">
                  <c:v>45384</c:v>
                </c:pt>
                <c:pt idx="848">
                  <c:v>45385</c:v>
                </c:pt>
                <c:pt idx="849">
                  <c:v>45386</c:v>
                </c:pt>
                <c:pt idx="850">
                  <c:v>45387</c:v>
                </c:pt>
                <c:pt idx="851">
                  <c:v>45390</c:v>
                </c:pt>
                <c:pt idx="852">
                  <c:v>45391</c:v>
                </c:pt>
                <c:pt idx="853">
                  <c:v>45392</c:v>
                </c:pt>
                <c:pt idx="854">
                  <c:v>45393</c:v>
                </c:pt>
                <c:pt idx="855">
                  <c:v>45394</c:v>
                </c:pt>
                <c:pt idx="856">
                  <c:v>45397</c:v>
                </c:pt>
                <c:pt idx="857">
                  <c:v>45398</c:v>
                </c:pt>
                <c:pt idx="858">
                  <c:v>45399</c:v>
                </c:pt>
                <c:pt idx="859">
                  <c:v>45400</c:v>
                </c:pt>
                <c:pt idx="860">
                  <c:v>45401</c:v>
                </c:pt>
                <c:pt idx="861">
                  <c:v>45404</c:v>
                </c:pt>
                <c:pt idx="862">
                  <c:v>45405</c:v>
                </c:pt>
                <c:pt idx="863">
                  <c:v>45406</c:v>
                </c:pt>
                <c:pt idx="864">
                  <c:v>45407</c:v>
                </c:pt>
                <c:pt idx="865">
                  <c:v>45408</c:v>
                </c:pt>
                <c:pt idx="866">
                  <c:v>45411</c:v>
                </c:pt>
                <c:pt idx="867">
                  <c:v>45412</c:v>
                </c:pt>
                <c:pt idx="868">
                  <c:v>45413</c:v>
                </c:pt>
                <c:pt idx="869">
                  <c:v>45414</c:v>
                </c:pt>
                <c:pt idx="870">
                  <c:v>45415</c:v>
                </c:pt>
                <c:pt idx="871">
                  <c:v>45418</c:v>
                </c:pt>
                <c:pt idx="872">
                  <c:v>45419</c:v>
                </c:pt>
                <c:pt idx="873">
                  <c:v>45420</c:v>
                </c:pt>
                <c:pt idx="874">
                  <c:v>45421</c:v>
                </c:pt>
                <c:pt idx="875">
                  <c:v>45422</c:v>
                </c:pt>
                <c:pt idx="876">
                  <c:v>45425</c:v>
                </c:pt>
                <c:pt idx="877">
                  <c:v>45426</c:v>
                </c:pt>
                <c:pt idx="878">
                  <c:v>45427</c:v>
                </c:pt>
                <c:pt idx="879">
                  <c:v>45428</c:v>
                </c:pt>
                <c:pt idx="880">
                  <c:v>45429</c:v>
                </c:pt>
                <c:pt idx="881">
                  <c:v>45432</c:v>
                </c:pt>
                <c:pt idx="882">
                  <c:v>45433</c:v>
                </c:pt>
                <c:pt idx="883">
                  <c:v>45434</c:v>
                </c:pt>
                <c:pt idx="884">
                  <c:v>45435</c:v>
                </c:pt>
                <c:pt idx="885">
                  <c:v>45436</c:v>
                </c:pt>
                <c:pt idx="886">
                  <c:v>45439</c:v>
                </c:pt>
                <c:pt idx="887">
                  <c:v>45440</c:v>
                </c:pt>
                <c:pt idx="888">
                  <c:v>45441</c:v>
                </c:pt>
                <c:pt idx="889">
                  <c:v>45442</c:v>
                </c:pt>
                <c:pt idx="890">
                  <c:v>45443</c:v>
                </c:pt>
                <c:pt idx="891">
                  <c:v>45446</c:v>
                </c:pt>
                <c:pt idx="892">
                  <c:v>45447</c:v>
                </c:pt>
                <c:pt idx="893">
                  <c:v>45448</c:v>
                </c:pt>
                <c:pt idx="894">
                  <c:v>45449</c:v>
                </c:pt>
                <c:pt idx="895">
                  <c:v>45450</c:v>
                </c:pt>
                <c:pt idx="896">
                  <c:v>45453</c:v>
                </c:pt>
                <c:pt idx="897">
                  <c:v>45454</c:v>
                </c:pt>
                <c:pt idx="898">
                  <c:v>45455</c:v>
                </c:pt>
                <c:pt idx="899">
                  <c:v>45456</c:v>
                </c:pt>
                <c:pt idx="900">
                  <c:v>45457</c:v>
                </c:pt>
                <c:pt idx="901">
                  <c:v>45460</c:v>
                </c:pt>
                <c:pt idx="902">
                  <c:v>45461</c:v>
                </c:pt>
                <c:pt idx="903">
                  <c:v>45462</c:v>
                </c:pt>
                <c:pt idx="904">
                  <c:v>45463</c:v>
                </c:pt>
                <c:pt idx="905">
                  <c:v>45464</c:v>
                </c:pt>
                <c:pt idx="906">
                  <c:v>45467</c:v>
                </c:pt>
                <c:pt idx="907">
                  <c:v>45468</c:v>
                </c:pt>
                <c:pt idx="908">
                  <c:v>45469</c:v>
                </c:pt>
                <c:pt idx="909">
                  <c:v>45470</c:v>
                </c:pt>
                <c:pt idx="910">
                  <c:v>45471</c:v>
                </c:pt>
                <c:pt idx="911">
                  <c:v>45474</c:v>
                </c:pt>
                <c:pt idx="912">
                  <c:v>45475</c:v>
                </c:pt>
                <c:pt idx="913">
                  <c:v>45476</c:v>
                </c:pt>
                <c:pt idx="914">
                  <c:v>45477</c:v>
                </c:pt>
                <c:pt idx="915">
                  <c:v>45478</c:v>
                </c:pt>
                <c:pt idx="916">
                  <c:v>45481</c:v>
                </c:pt>
                <c:pt idx="917">
                  <c:v>45482</c:v>
                </c:pt>
                <c:pt idx="918">
                  <c:v>45483</c:v>
                </c:pt>
                <c:pt idx="919">
                  <c:v>45484</c:v>
                </c:pt>
                <c:pt idx="920">
                  <c:v>45485</c:v>
                </c:pt>
                <c:pt idx="921">
                  <c:v>45488</c:v>
                </c:pt>
                <c:pt idx="922">
                  <c:v>45489</c:v>
                </c:pt>
                <c:pt idx="923">
                  <c:v>45490</c:v>
                </c:pt>
                <c:pt idx="924">
                  <c:v>45491</c:v>
                </c:pt>
                <c:pt idx="925">
                  <c:v>45492</c:v>
                </c:pt>
                <c:pt idx="926">
                  <c:v>45495</c:v>
                </c:pt>
                <c:pt idx="927">
                  <c:v>45496</c:v>
                </c:pt>
                <c:pt idx="928">
                  <c:v>45497</c:v>
                </c:pt>
                <c:pt idx="929">
                  <c:v>45498</c:v>
                </c:pt>
                <c:pt idx="930">
                  <c:v>45499</c:v>
                </c:pt>
                <c:pt idx="931">
                  <c:v>45502</c:v>
                </c:pt>
                <c:pt idx="932">
                  <c:v>45503</c:v>
                </c:pt>
                <c:pt idx="933">
                  <c:v>45504</c:v>
                </c:pt>
                <c:pt idx="934">
                  <c:v>45505</c:v>
                </c:pt>
                <c:pt idx="935">
                  <c:v>45506</c:v>
                </c:pt>
                <c:pt idx="936">
                  <c:v>45509</c:v>
                </c:pt>
                <c:pt idx="937">
                  <c:v>45510</c:v>
                </c:pt>
                <c:pt idx="938">
                  <c:v>45511</c:v>
                </c:pt>
                <c:pt idx="939">
                  <c:v>45512</c:v>
                </c:pt>
                <c:pt idx="940">
                  <c:v>45513</c:v>
                </c:pt>
                <c:pt idx="941">
                  <c:v>45516</c:v>
                </c:pt>
                <c:pt idx="942">
                  <c:v>45517</c:v>
                </c:pt>
                <c:pt idx="943">
                  <c:v>45518</c:v>
                </c:pt>
                <c:pt idx="944">
                  <c:v>45519</c:v>
                </c:pt>
                <c:pt idx="945">
                  <c:v>45520</c:v>
                </c:pt>
                <c:pt idx="946">
                  <c:v>45523</c:v>
                </c:pt>
                <c:pt idx="947">
                  <c:v>45524</c:v>
                </c:pt>
                <c:pt idx="948">
                  <c:v>45525</c:v>
                </c:pt>
                <c:pt idx="949">
                  <c:v>45526</c:v>
                </c:pt>
                <c:pt idx="950">
                  <c:v>45527</c:v>
                </c:pt>
                <c:pt idx="951">
                  <c:v>45530</c:v>
                </c:pt>
                <c:pt idx="952">
                  <c:v>45531</c:v>
                </c:pt>
                <c:pt idx="953">
                  <c:v>45532</c:v>
                </c:pt>
                <c:pt idx="954">
                  <c:v>45533</c:v>
                </c:pt>
                <c:pt idx="955">
                  <c:v>45534</c:v>
                </c:pt>
                <c:pt idx="956">
                  <c:v>45537</c:v>
                </c:pt>
                <c:pt idx="957">
                  <c:v>45538</c:v>
                </c:pt>
                <c:pt idx="958">
                  <c:v>45539</c:v>
                </c:pt>
                <c:pt idx="959">
                  <c:v>45540</c:v>
                </c:pt>
                <c:pt idx="960">
                  <c:v>45541</c:v>
                </c:pt>
                <c:pt idx="961">
                  <c:v>45544</c:v>
                </c:pt>
                <c:pt idx="962">
                  <c:v>45545</c:v>
                </c:pt>
                <c:pt idx="963">
                  <c:v>45546</c:v>
                </c:pt>
                <c:pt idx="964">
                  <c:v>45547</c:v>
                </c:pt>
                <c:pt idx="965">
                  <c:v>45548</c:v>
                </c:pt>
                <c:pt idx="966">
                  <c:v>45551</c:v>
                </c:pt>
                <c:pt idx="967">
                  <c:v>45552</c:v>
                </c:pt>
                <c:pt idx="968">
                  <c:v>45553</c:v>
                </c:pt>
                <c:pt idx="969">
                  <c:v>45554</c:v>
                </c:pt>
                <c:pt idx="970">
                  <c:v>45555</c:v>
                </c:pt>
                <c:pt idx="971">
                  <c:v>45558</c:v>
                </c:pt>
                <c:pt idx="972">
                  <c:v>45559</c:v>
                </c:pt>
                <c:pt idx="973">
                  <c:v>45560</c:v>
                </c:pt>
                <c:pt idx="974">
                  <c:v>45561</c:v>
                </c:pt>
                <c:pt idx="975">
                  <c:v>45562</c:v>
                </c:pt>
                <c:pt idx="976">
                  <c:v>45565</c:v>
                </c:pt>
                <c:pt idx="977">
                  <c:v>45566</c:v>
                </c:pt>
                <c:pt idx="978">
                  <c:v>45567</c:v>
                </c:pt>
                <c:pt idx="979">
                  <c:v>45568</c:v>
                </c:pt>
                <c:pt idx="980">
                  <c:v>45569</c:v>
                </c:pt>
                <c:pt idx="981">
                  <c:v>45572</c:v>
                </c:pt>
                <c:pt idx="982">
                  <c:v>45573</c:v>
                </c:pt>
                <c:pt idx="983">
                  <c:v>45574</c:v>
                </c:pt>
                <c:pt idx="984">
                  <c:v>45575</c:v>
                </c:pt>
                <c:pt idx="985">
                  <c:v>45576</c:v>
                </c:pt>
                <c:pt idx="986">
                  <c:v>45579</c:v>
                </c:pt>
                <c:pt idx="987">
                  <c:v>45580</c:v>
                </c:pt>
                <c:pt idx="988">
                  <c:v>45581</c:v>
                </c:pt>
                <c:pt idx="989">
                  <c:v>45582</c:v>
                </c:pt>
                <c:pt idx="990">
                  <c:v>45583</c:v>
                </c:pt>
                <c:pt idx="991">
                  <c:v>45586</c:v>
                </c:pt>
                <c:pt idx="992">
                  <c:v>45587</c:v>
                </c:pt>
                <c:pt idx="993">
                  <c:v>45588</c:v>
                </c:pt>
                <c:pt idx="994">
                  <c:v>45589</c:v>
                </c:pt>
                <c:pt idx="995">
                  <c:v>45590</c:v>
                </c:pt>
                <c:pt idx="996">
                  <c:v>45593</c:v>
                </c:pt>
                <c:pt idx="997">
                  <c:v>45594</c:v>
                </c:pt>
                <c:pt idx="998">
                  <c:v>45595</c:v>
                </c:pt>
                <c:pt idx="999">
                  <c:v>45596</c:v>
                </c:pt>
                <c:pt idx="1000">
                  <c:v>45597</c:v>
                </c:pt>
                <c:pt idx="1001">
                  <c:v>45600</c:v>
                </c:pt>
                <c:pt idx="1002">
                  <c:v>45601</c:v>
                </c:pt>
                <c:pt idx="1003">
                  <c:v>45602</c:v>
                </c:pt>
                <c:pt idx="1004">
                  <c:v>45603</c:v>
                </c:pt>
                <c:pt idx="1005">
                  <c:v>45604</c:v>
                </c:pt>
                <c:pt idx="1006">
                  <c:v>45607</c:v>
                </c:pt>
                <c:pt idx="1007">
                  <c:v>45608</c:v>
                </c:pt>
                <c:pt idx="1008">
                  <c:v>45609</c:v>
                </c:pt>
                <c:pt idx="1009">
                  <c:v>45610</c:v>
                </c:pt>
                <c:pt idx="1010">
                  <c:v>45611</c:v>
                </c:pt>
                <c:pt idx="1011">
                  <c:v>45614</c:v>
                </c:pt>
                <c:pt idx="1012">
                  <c:v>45615</c:v>
                </c:pt>
                <c:pt idx="1013">
                  <c:v>45616</c:v>
                </c:pt>
                <c:pt idx="1014">
                  <c:v>45617</c:v>
                </c:pt>
                <c:pt idx="1015">
                  <c:v>45618</c:v>
                </c:pt>
                <c:pt idx="1016">
                  <c:v>45621</c:v>
                </c:pt>
                <c:pt idx="1017">
                  <c:v>45622</c:v>
                </c:pt>
                <c:pt idx="1018">
                  <c:v>45623</c:v>
                </c:pt>
                <c:pt idx="1019">
                  <c:v>45624</c:v>
                </c:pt>
                <c:pt idx="1020">
                  <c:v>45625</c:v>
                </c:pt>
                <c:pt idx="1021">
                  <c:v>45628</c:v>
                </c:pt>
                <c:pt idx="1022">
                  <c:v>45629</c:v>
                </c:pt>
                <c:pt idx="1023">
                  <c:v>45630</c:v>
                </c:pt>
                <c:pt idx="1024">
                  <c:v>45631</c:v>
                </c:pt>
                <c:pt idx="1025">
                  <c:v>45632</c:v>
                </c:pt>
                <c:pt idx="1026">
                  <c:v>45635</c:v>
                </c:pt>
                <c:pt idx="1027">
                  <c:v>45636</c:v>
                </c:pt>
                <c:pt idx="1028">
                  <c:v>45637</c:v>
                </c:pt>
                <c:pt idx="1029">
                  <c:v>45638</c:v>
                </c:pt>
                <c:pt idx="1030">
                  <c:v>45639</c:v>
                </c:pt>
                <c:pt idx="1031">
                  <c:v>45642</c:v>
                </c:pt>
                <c:pt idx="1032">
                  <c:v>45643</c:v>
                </c:pt>
                <c:pt idx="1033">
                  <c:v>45644</c:v>
                </c:pt>
                <c:pt idx="1034">
                  <c:v>45645</c:v>
                </c:pt>
                <c:pt idx="1035">
                  <c:v>45646</c:v>
                </c:pt>
                <c:pt idx="1036">
                  <c:v>45649</c:v>
                </c:pt>
                <c:pt idx="1037">
                  <c:v>45650</c:v>
                </c:pt>
                <c:pt idx="1038">
                  <c:v>45651</c:v>
                </c:pt>
                <c:pt idx="1039">
                  <c:v>45652</c:v>
                </c:pt>
                <c:pt idx="1040">
                  <c:v>45653</c:v>
                </c:pt>
                <c:pt idx="1041">
                  <c:v>45656</c:v>
                </c:pt>
                <c:pt idx="1042">
                  <c:v>45657</c:v>
                </c:pt>
                <c:pt idx="1043">
                  <c:v>45658</c:v>
                </c:pt>
                <c:pt idx="1044">
                  <c:v>45659</c:v>
                </c:pt>
                <c:pt idx="1045">
                  <c:v>45660</c:v>
                </c:pt>
                <c:pt idx="1046">
                  <c:v>45663</c:v>
                </c:pt>
                <c:pt idx="1047">
                  <c:v>45664</c:v>
                </c:pt>
                <c:pt idx="1048">
                  <c:v>45665</c:v>
                </c:pt>
                <c:pt idx="1049">
                  <c:v>45666</c:v>
                </c:pt>
                <c:pt idx="1050">
                  <c:v>45667</c:v>
                </c:pt>
                <c:pt idx="1051">
                  <c:v>45670</c:v>
                </c:pt>
                <c:pt idx="1052">
                  <c:v>45671</c:v>
                </c:pt>
                <c:pt idx="1053">
                  <c:v>45672</c:v>
                </c:pt>
                <c:pt idx="1054">
                  <c:v>45673</c:v>
                </c:pt>
                <c:pt idx="1055">
                  <c:v>45674</c:v>
                </c:pt>
                <c:pt idx="1056">
                  <c:v>45677</c:v>
                </c:pt>
                <c:pt idx="1057">
                  <c:v>45678</c:v>
                </c:pt>
                <c:pt idx="1058">
                  <c:v>45679</c:v>
                </c:pt>
                <c:pt idx="1059">
                  <c:v>45680</c:v>
                </c:pt>
                <c:pt idx="1060">
                  <c:v>45681</c:v>
                </c:pt>
                <c:pt idx="1061">
                  <c:v>45684</c:v>
                </c:pt>
                <c:pt idx="1062">
                  <c:v>45685</c:v>
                </c:pt>
                <c:pt idx="1063">
                  <c:v>45686</c:v>
                </c:pt>
                <c:pt idx="1064">
                  <c:v>45687</c:v>
                </c:pt>
                <c:pt idx="1065">
                  <c:v>45688</c:v>
                </c:pt>
                <c:pt idx="1066">
                  <c:v>45691</c:v>
                </c:pt>
                <c:pt idx="1067">
                  <c:v>45692</c:v>
                </c:pt>
                <c:pt idx="1068">
                  <c:v>45693</c:v>
                </c:pt>
                <c:pt idx="1069">
                  <c:v>45694</c:v>
                </c:pt>
                <c:pt idx="1070">
                  <c:v>45695</c:v>
                </c:pt>
                <c:pt idx="1071">
                  <c:v>45698</c:v>
                </c:pt>
                <c:pt idx="1072">
                  <c:v>45699</c:v>
                </c:pt>
                <c:pt idx="1073">
                  <c:v>45700</c:v>
                </c:pt>
                <c:pt idx="1074">
                  <c:v>45701</c:v>
                </c:pt>
                <c:pt idx="1075">
                  <c:v>45702</c:v>
                </c:pt>
                <c:pt idx="1076">
                  <c:v>45705</c:v>
                </c:pt>
                <c:pt idx="1077">
                  <c:v>45706</c:v>
                </c:pt>
                <c:pt idx="1078">
                  <c:v>45707</c:v>
                </c:pt>
                <c:pt idx="1079">
                  <c:v>45708</c:v>
                </c:pt>
                <c:pt idx="1080">
                  <c:v>45709</c:v>
                </c:pt>
                <c:pt idx="1081">
                  <c:v>45712</c:v>
                </c:pt>
                <c:pt idx="1082">
                  <c:v>45713</c:v>
                </c:pt>
                <c:pt idx="1083">
                  <c:v>45714</c:v>
                </c:pt>
                <c:pt idx="1084">
                  <c:v>45715</c:v>
                </c:pt>
                <c:pt idx="1085">
                  <c:v>45716</c:v>
                </c:pt>
                <c:pt idx="1086">
                  <c:v>45719</c:v>
                </c:pt>
                <c:pt idx="1087">
                  <c:v>45720</c:v>
                </c:pt>
                <c:pt idx="1088">
                  <c:v>45721</c:v>
                </c:pt>
                <c:pt idx="1089">
                  <c:v>45722</c:v>
                </c:pt>
                <c:pt idx="1090">
                  <c:v>45723</c:v>
                </c:pt>
                <c:pt idx="1091">
                  <c:v>45726</c:v>
                </c:pt>
                <c:pt idx="1092">
                  <c:v>45727</c:v>
                </c:pt>
                <c:pt idx="1093">
                  <c:v>45728</c:v>
                </c:pt>
                <c:pt idx="1094">
                  <c:v>45729</c:v>
                </c:pt>
                <c:pt idx="1095">
                  <c:v>45730</c:v>
                </c:pt>
                <c:pt idx="1096">
                  <c:v>45733</c:v>
                </c:pt>
                <c:pt idx="1097">
                  <c:v>45734</c:v>
                </c:pt>
                <c:pt idx="1098">
                  <c:v>45735</c:v>
                </c:pt>
                <c:pt idx="1099">
                  <c:v>45736</c:v>
                </c:pt>
                <c:pt idx="1100">
                  <c:v>45737</c:v>
                </c:pt>
                <c:pt idx="1101">
                  <c:v>45740</c:v>
                </c:pt>
                <c:pt idx="1102">
                  <c:v>45741</c:v>
                </c:pt>
                <c:pt idx="1103">
                  <c:v>45742</c:v>
                </c:pt>
                <c:pt idx="1104">
                  <c:v>45743</c:v>
                </c:pt>
                <c:pt idx="1105">
                  <c:v>45744</c:v>
                </c:pt>
                <c:pt idx="1106">
                  <c:v>45747</c:v>
                </c:pt>
                <c:pt idx="1107">
                  <c:v>45748</c:v>
                </c:pt>
                <c:pt idx="1108">
                  <c:v>45749</c:v>
                </c:pt>
                <c:pt idx="1109">
                  <c:v>45750</c:v>
                </c:pt>
                <c:pt idx="1110">
                  <c:v>45751</c:v>
                </c:pt>
                <c:pt idx="1111">
                  <c:v>45754</c:v>
                </c:pt>
                <c:pt idx="1112">
                  <c:v>45755</c:v>
                </c:pt>
                <c:pt idx="1113">
                  <c:v>45756</c:v>
                </c:pt>
                <c:pt idx="1114">
                  <c:v>45757</c:v>
                </c:pt>
                <c:pt idx="1115">
                  <c:v>45758</c:v>
                </c:pt>
                <c:pt idx="1116">
                  <c:v>45761</c:v>
                </c:pt>
                <c:pt idx="1117">
                  <c:v>45762</c:v>
                </c:pt>
                <c:pt idx="1118">
                  <c:v>45763</c:v>
                </c:pt>
                <c:pt idx="1119">
                  <c:v>45764</c:v>
                </c:pt>
                <c:pt idx="1120">
                  <c:v>45765</c:v>
                </c:pt>
                <c:pt idx="1121">
                  <c:v>45768</c:v>
                </c:pt>
                <c:pt idx="1122">
                  <c:v>45769</c:v>
                </c:pt>
                <c:pt idx="1123">
                  <c:v>45770</c:v>
                </c:pt>
                <c:pt idx="1124">
                  <c:v>45771</c:v>
                </c:pt>
                <c:pt idx="1125">
                  <c:v>45772</c:v>
                </c:pt>
                <c:pt idx="1126">
                  <c:v>45775</c:v>
                </c:pt>
                <c:pt idx="1127">
                  <c:v>45776</c:v>
                </c:pt>
                <c:pt idx="1128">
                  <c:v>45777</c:v>
                </c:pt>
                <c:pt idx="1129">
                  <c:v>45778</c:v>
                </c:pt>
                <c:pt idx="1130">
                  <c:v>45779</c:v>
                </c:pt>
                <c:pt idx="1131">
                  <c:v>45782</c:v>
                </c:pt>
                <c:pt idx="1132">
                  <c:v>45783</c:v>
                </c:pt>
                <c:pt idx="1133">
                  <c:v>45784</c:v>
                </c:pt>
                <c:pt idx="1134">
                  <c:v>45785</c:v>
                </c:pt>
                <c:pt idx="1135">
                  <c:v>45786</c:v>
                </c:pt>
                <c:pt idx="1136">
                  <c:v>45789</c:v>
                </c:pt>
                <c:pt idx="1137">
                  <c:v>45790</c:v>
                </c:pt>
                <c:pt idx="1138">
                  <c:v>45791</c:v>
                </c:pt>
                <c:pt idx="1139">
                  <c:v>45792</c:v>
                </c:pt>
                <c:pt idx="1140">
                  <c:v>45793</c:v>
                </c:pt>
                <c:pt idx="1141">
                  <c:v>45796</c:v>
                </c:pt>
                <c:pt idx="1142">
                  <c:v>45797</c:v>
                </c:pt>
                <c:pt idx="1143">
                  <c:v>45798</c:v>
                </c:pt>
                <c:pt idx="1144">
                  <c:v>45799</c:v>
                </c:pt>
                <c:pt idx="1145">
                  <c:v>45800</c:v>
                </c:pt>
                <c:pt idx="1146">
                  <c:v>45803</c:v>
                </c:pt>
                <c:pt idx="1147">
                  <c:v>45804</c:v>
                </c:pt>
                <c:pt idx="1148">
                  <c:v>45805</c:v>
                </c:pt>
                <c:pt idx="1149">
                  <c:v>45806</c:v>
                </c:pt>
                <c:pt idx="1150">
                  <c:v>45807</c:v>
                </c:pt>
                <c:pt idx="1151">
                  <c:v>45810</c:v>
                </c:pt>
                <c:pt idx="1152">
                  <c:v>45811</c:v>
                </c:pt>
                <c:pt idx="1153">
                  <c:v>45812</c:v>
                </c:pt>
                <c:pt idx="1154">
                  <c:v>45813</c:v>
                </c:pt>
                <c:pt idx="1155">
                  <c:v>45814</c:v>
                </c:pt>
                <c:pt idx="1156">
                  <c:v>45817</c:v>
                </c:pt>
                <c:pt idx="1157">
                  <c:v>45818</c:v>
                </c:pt>
                <c:pt idx="1158">
                  <c:v>45819</c:v>
                </c:pt>
                <c:pt idx="1159">
                  <c:v>45820</c:v>
                </c:pt>
                <c:pt idx="1160">
                  <c:v>45821</c:v>
                </c:pt>
                <c:pt idx="1161">
                  <c:v>45824</c:v>
                </c:pt>
                <c:pt idx="1162">
                  <c:v>45825</c:v>
                </c:pt>
                <c:pt idx="1163">
                  <c:v>45826</c:v>
                </c:pt>
                <c:pt idx="1164">
                  <c:v>45827</c:v>
                </c:pt>
                <c:pt idx="1165">
                  <c:v>45828</c:v>
                </c:pt>
                <c:pt idx="1166">
                  <c:v>45831</c:v>
                </c:pt>
                <c:pt idx="1167">
                  <c:v>45832</c:v>
                </c:pt>
                <c:pt idx="1168">
                  <c:v>45833</c:v>
                </c:pt>
                <c:pt idx="1169">
                  <c:v>45834</c:v>
                </c:pt>
                <c:pt idx="1170">
                  <c:v>45835</c:v>
                </c:pt>
                <c:pt idx="1171">
                  <c:v>45838</c:v>
                </c:pt>
                <c:pt idx="1172">
                  <c:v>45839</c:v>
                </c:pt>
                <c:pt idx="1173">
                  <c:v>45840</c:v>
                </c:pt>
                <c:pt idx="1174">
                  <c:v>45841</c:v>
                </c:pt>
                <c:pt idx="1175">
                  <c:v>45842</c:v>
                </c:pt>
                <c:pt idx="1176">
                  <c:v>45845</c:v>
                </c:pt>
                <c:pt idx="1177">
                  <c:v>45846</c:v>
                </c:pt>
                <c:pt idx="1178">
                  <c:v>45847</c:v>
                </c:pt>
                <c:pt idx="1179">
                  <c:v>45848</c:v>
                </c:pt>
                <c:pt idx="1180">
                  <c:v>45849</c:v>
                </c:pt>
                <c:pt idx="1181">
                  <c:v>45852</c:v>
                </c:pt>
                <c:pt idx="1182">
                  <c:v>45853</c:v>
                </c:pt>
                <c:pt idx="1183">
                  <c:v>45854</c:v>
                </c:pt>
                <c:pt idx="1184">
                  <c:v>45855</c:v>
                </c:pt>
                <c:pt idx="1185">
                  <c:v>45856</c:v>
                </c:pt>
                <c:pt idx="1186">
                  <c:v>45859</c:v>
                </c:pt>
                <c:pt idx="1187">
                  <c:v>45860</c:v>
                </c:pt>
                <c:pt idx="1188">
                  <c:v>45861</c:v>
                </c:pt>
                <c:pt idx="1189">
                  <c:v>45862</c:v>
                </c:pt>
                <c:pt idx="1190">
                  <c:v>45863</c:v>
                </c:pt>
                <c:pt idx="1191">
                  <c:v>45866</c:v>
                </c:pt>
                <c:pt idx="1192">
                  <c:v>45867</c:v>
                </c:pt>
                <c:pt idx="1193">
                  <c:v>45868</c:v>
                </c:pt>
                <c:pt idx="1194">
                  <c:v>45869</c:v>
                </c:pt>
                <c:pt idx="1195">
                  <c:v>45870</c:v>
                </c:pt>
                <c:pt idx="1196">
                  <c:v>45873</c:v>
                </c:pt>
                <c:pt idx="1197">
                  <c:v>45874</c:v>
                </c:pt>
                <c:pt idx="1198">
                  <c:v>45875</c:v>
                </c:pt>
                <c:pt idx="1199">
                  <c:v>45876</c:v>
                </c:pt>
                <c:pt idx="1200">
                  <c:v>45877</c:v>
                </c:pt>
                <c:pt idx="1201">
                  <c:v>45880</c:v>
                </c:pt>
                <c:pt idx="1202">
                  <c:v>45881</c:v>
                </c:pt>
                <c:pt idx="1203">
                  <c:v>45882</c:v>
                </c:pt>
                <c:pt idx="1204">
                  <c:v>45883</c:v>
                </c:pt>
                <c:pt idx="1205">
                  <c:v>45884</c:v>
                </c:pt>
                <c:pt idx="1206">
                  <c:v>45887</c:v>
                </c:pt>
                <c:pt idx="1207">
                  <c:v>45888</c:v>
                </c:pt>
                <c:pt idx="1208">
                  <c:v>45889</c:v>
                </c:pt>
                <c:pt idx="1209">
                  <c:v>45890</c:v>
                </c:pt>
                <c:pt idx="1210">
                  <c:v>45891</c:v>
                </c:pt>
                <c:pt idx="1211">
                  <c:v>45894</c:v>
                </c:pt>
                <c:pt idx="1212">
                  <c:v>45895</c:v>
                </c:pt>
                <c:pt idx="1213">
                  <c:v>45896</c:v>
                </c:pt>
                <c:pt idx="1214">
                  <c:v>45897</c:v>
                </c:pt>
                <c:pt idx="1215">
                  <c:v>45898</c:v>
                </c:pt>
                <c:pt idx="1216">
                  <c:v>45901</c:v>
                </c:pt>
                <c:pt idx="1217">
                  <c:v>45902</c:v>
                </c:pt>
                <c:pt idx="1218">
                  <c:v>45903</c:v>
                </c:pt>
                <c:pt idx="1219">
                  <c:v>45904</c:v>
                </c:pt>
                <c:pt idx="1220">
                  <c:v>45905</c:v>
                </c:pt>
                <c:pt idx="1221">
                  <c:v>45908</c:v>
                </c:pt>
                <c:pt idx="1222">
                  <c:v>45909</c:v>
                </c:pt>
                <c:pt idx="1223">
                  <c:v>45910</c:v>
                </c:pt>
                <c:pt idx="1224">
                  <c:v>45911</c:v>
                </c:pt>
                <c:pt idx="1225">
                  <c:v>45912</c:v>
                </c:pt>
                <c:pt idx="1226">
                  <c:v>45915</c:v>
                </c:pt>
                <c:pt idx="1227">
                  <c:v>45916</c:v>
                </c:pt>
                <c:pt idx="1228">
                  <c:v>45917</c:v>
                </c:pt>
                <c:pt idx="1229">
                  <c:v>45918</c:v>
                </c:pt>
                <c:pt idx="1230">
                  <c:v>45919</c:v>
                </c:pt>
                <c:pt idx="1231">
                  <c:v>45922</c:v>
                </c:pt>
                <c:pt idx="1232">
                  <c:v>45923</c:v>
                </c:pt>
                <c:pt idx="1233">
                  <c:v>45924</c:v>
                </c:pt>
                <c:pt idx="1234">
                  <c:v>45925</c:v>
                </c:pt>
                <c:pt idx="1235">
                  <c:v>45926</c:v>
                </c:pt>
                <c:pt idx="1236">
                  <c:v>45929</c:v>
                </c:pt>
                <c:pt idx="1237">
                  <c:v>45930</c:v>
                </c:pt>
                <c:pt idx="1238">
                  <c:v>45931</c:v>
                </c:pt>
                <c:pt idx="1239">
                  <c:v>45932</c:v>
                </c:pt>
                <c:pt idx="1240">
                  <c:v>45933</c:v>
                </c:pt>
                <c:pt idx="1241">
                  <c:v>45936</c:v>
                </c:pt>
                <c:pt idx="1242">
                  <c:v>45937</c:v>
                </c:pt>
                <c:pt idx="1243">
                  <c:v>45938</c:v>
                </c:pt>
                <c:pt idx="1244">
                  <c:v>45939</c:v>
                </c:pt>
                <c:pt idx="1245">
                  <c:v>45940</c:v>
                </c:pt>
                <c:pt idx="1246">
                  <c:v>45943</c:v>
                </c:pt>
                <c:pt idx="1247">
                  <c:v>45944</c:v>
                </c:pt>
                <c:pt idx="1248">
                  <c:v>45945</c:v>
                </c:pt>
                <c:pt idx="1249">
                  <c:v>45946</c:v>
                </c:pt>
                <c:pt idx="1250">
                  <c:v>45947</c:v>
                </c:pt>
                <c:pt idx="1251">
                  <c:v>45950</c:v>
                </c:pt>
                <c:pt idx="1252">
                  <c:v>45951</c:v>
                </c:pt>
                <c:pt idx="1253">
                  <c:v>45952</c:v>
                </c:pt>
                <c:pt idx="1254">
                  <c:v>45953</c:v>
                </c:pt>
                <c:pt idx="1255">
                  <c:v>45954</c:v>
                </c:pt>
                <c:pt idx="1256">
                  <c:v>45957</c:v>
                </c:pt>
                <c:pt idx="1257">
                  <c:v>45958</c:v>
                </c:pt>
                <c:pt idx="1258">
                  <c:v>45959</c:v>
                </c:pt>
                <c:pt idx="1259">
                  <c:v>45960</c:v>
                </c:pt>
                <c:pt idx="1260">
                  <c:v>45961</c:v>
                </c:pt>
                <c:pt idx="1261">
                  <c:v>45964</c:v>
                </c:pt>
                <c:pt idx="1262">
                  <c:v>45965</c:v>
                </c:pt>
                <c:pt idx="1263">
                  <c:v>45966</c:v>
                </c:pt>
                <c:pt idx="1264">
                  <c:v>45967</c:v>
                </c:pt>
                <c:pt idx="1265">
                  <c:v>45968</c:v>
                </c:pt>
                <c:pt idx="1266">
                  <c:v>45971</c:v>
                </c:pt>
                <c:pt idx="1267">
                  <c:v>45972</c:v>
                </c:pt>
                <c:pt idx="1268">
                  <c:v>45973</c:v>
                </c:pt>
                <c:pt idx="1269">
                  <c:v>45974</c:v>
                </c:pt>
                <c:pt idx="1270">
                  <c:v>45975</c:v>
                </c:pt>
                <c:pt idx="1271">
                  <c:v>45978</c:v>
                </c:pt>
                <c:pt idx="1272">
                  <c:v>45979</c:v>
                </c:pt>
                <c:pt idx="1273">
                  <c:v>45980</c:v>
                </c:pt>
                <c:pt idx="1274">
                  <c:v>45981</c:v>
                </c:pt>
                <c:pt idx="1275">
                  <c:v>45982</c:v>
                </c:pt>
                <c:pt idx="1276">
                  <c:v>45985</c:v>
                </c:pt>
                <c:pt idx="1277">
                  <c:v>45986</c:v>
                </c:pt>
                <c:pt idx="1278">
                  <c:v>45987</c:v>
                </c:pt>
                <c:pt idx="1279">
                  <c:v>45988</c:v>
                </c:pt>
                <c:pt idx="1280">
                  <c:v>45989</c:v>
                </c:pt>
                <c:pt idx="1281">
                  <c:v>45992</c:v>
                </c:pt>
                <c:pt idx="1282">
                  <c:v>45993</c:v>
                </c:pt>
                <c:pt idx="1283">
                  <c:v>45994</c:v>
                </c:pt>
                <c:pt idx="1284">
                  <c:v>45995</c:v>
                </c:pt>
                <c:pt idx="1285">
                  <c:v>45996</c:v>
                </c:pt>
                <c:pt idx="1286">
                  <c:v>45999</c:v>
                </c:pt>
                <c:pt idx="1287">
                  <c:v>46000</c:v>
                </c:pt>
                <c:pt idx="1288">
                  <c:v>46001</c:v>
                </c:pt>
                <c:pt idx="1289">
                  <c:v>46002</c:v>
                </c:pt>
                <c:pt idx="1290">
                  <c:v>46003</c:v>
                </c:pt>
                <c:pt idx="1291">
                  <c:v>46006</c:v>
                </c:pt>
                <c:pt idx="1292">
                  <c:v>46007</c:v>
                </c:pt>
                <c:pt idx="1293">
                  <c:v>46008</c:v>
                </c:pt>
                <c:pt idx="1294">
                  <c:v>46009</c:v>
                </c:pt>
                <c:pt idx="1295">
                  <c:v>46010</c:v>
                </c:pt>
                <c:pt idx="1296">
                  <c:v>46013</c:v>
                </c:pt>
                <c:pt idx="1297">
                  <c:v>46014</c:v>
                </c:pt>
                <c:pt idx="1298">
                  <c:v>46015</c:v>
                </c:pt>
                <c:pt idx="1299">
                  <c:v>46016</c:v>
                </c:pt>
                <c:pt idx="1300">
                  <c:v>46017</c:v>
                </c:pt>
                <c:pt idx="1301">
                  <c:v>46020</c:v>
                </c:pt>
                <c:pt idx="1302">
                  <c:v>46021</c:v>
                </c:pt>
                <c:pt idx="1303">
                  <c:v>46022</c:v>
                </c:pt>
              </c:numCache>
            </c:numRef>
          </c:cat>
          <c:val>
            <c:numRef>
              <c:f>Statsformat!$D$2618:$D$3921</c:f>
              <c:numCache>
                <c:formatCode>General</c:formatCode>
                <c:ptCount val="1304"/>
                <c:pt idx="0">
                  <c:v>-0.183</c:v>
                </c:pt>
                <c:pt idx="1">
                  <c:v>-0.19800000000000001</c:v>
                </c:pt>
                <c:pt idx="2">
                  <c:v>-0.185</c:v>
                </c:pt>
                <c:pt idx="3">
                  <c:v>-0.185</c:v>
                </c:pt>
                <c:pt idx="4">
                  <c:v>-0.17199999999999999</c:v>
                </c:pt>
                <c:pt idx="5">
                  <c:v>-0.18</c:v>
                </c:pt>
                <c:pt idx="6">
                  <c:v>-0.17699999999999999</c:v>
                </c:pt>
                <c:pt idx="7">
                  <c:v>-0.186</c:v>
                </c:pt>
                <c:pt idx="8">
                  <c:v>-0.17100000000000001</c:v>
                </c:pt>
                <c:pt idx="9">
                  <c:v>-0.14299999999999999</c:v>
                </c:pt>
                <c:pt idx="10">
                  <c:v>-0.14099999999999999</c:v>
                </c:pt>
                <c:pt idx="11">
                  <c:v>-0.14199999999999999</c:v>
                </c:pt>
                <c:pt idx="12">
                  <c:v>-0.13200000000000001</c:v>
                </c:pt>
                <c:pt idx="13">
                  <c:v>-0.13300000000000001</c:v>
                </c:pt>
                <c:pt idx="14">
                  <c:v>-0.13800000000000001</c:v>
                </c:pt>
                <c:pt idx="15">
                  <c:v>-0.13100000000000001</c:v>
                </c:pt>
                <c:pt idx="16">
                  <c:v>-0.13300000000000001</c:v>
                </c:pt>
                <c:pt idx="17">
                  <c:v>-0.13</c:v>
                </c:pt>
                <c:pt idx="18">
                  <c:v>-0.123</c:v>
                </c:pt>
                <c:pt idx="19">
                  <c:v>-0.123</c:v>
                </c:pt>
                <c:pt idx="20">
                  <c:v>-0.12</c:v>
                </c:pt>
                <c:pt idx="21">
                  <c:v>-0.13100000000000001</c:v>
                </c:pt>
                <c:pt idx="22">
                  <c:v>-0.13200000000000001</c:v>
                </c:pt>
                <c:pt idx="23">
                  <c:v>-0.12</c:v>
                </c:pt>
                <c:pt idx="24">
                  <c:v>-0.13500000000000001</c:v>
                </c:pt>
                <c:pt idx="25">
                  <c:v>-0.122</c:v>
                </c:pt>
                <c:pt idx="26">
                  <c:v>-0.128</c:v>
                </c:pt>
                <c:pt idx="27">
                  <c:v>-0.13</c:v>
                </c:pt>
                <c:pt idx="28">
                  <c:v>-0.127</c:v>
                </c:pt>
                <c:pt idx="29">
                  <c:v>-0.13300000000000001</c:v>
                </c:pt>
                <c:pt idx="30">
                  <c:v>-0.13500000000000001</c:v>
                </c:pt>
                <c:pt idx="31">
                  <c:v>-0.12</c:v>
                </c:pt>
                <c:pt idx="32">
                  <c:v>-0.13600000000000001</c:v>
                </c:pt>
                <c:pt idx="33">
                  <c:v>-0.13700000000000001</c:v>
                </c:pt>
                <c:pt idx="34">
                  <c:v>-0.14199999999999999</c:v>
                </c:pt>
                <c:pt idx="35">
                  <c:v>-0.13500000000000001</c:v>
                </c:pt>
                <c:pt idx="36">
                  <c:v>-0.13700000000000001</c:v>
                </c:pt>
                <c:pt idx="37">
                  <c:v>-0.13400000000000001</c:v>
                </c:pt>
                <c:pt idx="38">
                  <c:v>-0.14000000000000001</c:v>
                </c:pt>
                <c:pt idx="39">
                  <c:v>-0.11799999999999999</c:v>
                </c:pt>
                <c:pt idx="40">
                  <c:v>-0.13400000000000001</c:v>
                </c:pt>
                <c:pt idx="41">
                  <c:v>-0.14000000000000001</c:v>
                </c:pt>
                <c:pt idx="42">
                  <c:v>-0.128</c:v>
                </c:pt>
                <c:pt idx="43">
                  <c:v>-0.13</c:v>
                </c:pt>
                <c:pt idx="44">
                  <c:v>-0.16200000000000001</c:v>
                </c:pt>
                <c:pt idx="45">
                  <c:v>-0.16400000000000001</c:v>
                </c:pt>
                <c:pt idx="46">
                  <c:v>-0.158</c:v>
                </c:pt>
                <c:pt idx="47">
                  <c:v>-0.17100000000000001</c:v>
                </c:pt>
                <c:pt idx="48">
                  <c:v>-0.16900000000000001</c:v>
                </c:pt>
                <c:pt idx="49">
                  <c:v>-0.17799999999999999</c:v>
                </c:pt>
                <c:pt idx="50">
                  <c:v>-0.125</c:v>
                </c:pt>
                <c:pt idx="51">
                  <c:v>-0.17</c:v>
                </c:pt>
                <c:pt idx="52">
                  <c:v>-0.17199999999999999</c:v>
                </c:pt>
                <c:pt idx="53">
                  <c:v>-0.129</c:v>
                </c:pt>
                <c:pt idx="54">
                  <c:v>-0.16700000000000001</c:v>
                </c:pt>
                <c:pt idx="55">
                  <c:v>-0.17399999999999999</c:v>
                </c:pt>
                <c:pt idx="56">
                  <c:v>-0.16300000000000001</c:v>
                </c:pt>
                <c:pt idx="57">
                  <c:v>-0.16900000000000001</c:v>
                </c:pt>
                <c:pt idx="58">
                  <c:v>-0.16700000000000001</c:v>
                </c:pt>
                <c:pt idx="59">
                  <c:v>-0.16400000000000001</c:v>
                </c:pt>
                <c:pt idx="60">
                  <c:v>-0.17499999999999999</c:v>
                </c:pt>
                <c:pt idx="61">
                  <c:v>-0.16400000000000001</c:v>
                </c:pt>
                <c:pt idx="62">
                  <c:v>-0.16600000000000001</c:v>
                </c:pt>
                <c:pt idx="63">
                  <c:v>-0.16700000000000001</c:v>
                </c:pt>
                <c:pt idx="64">
                  <c:v>-0.17</c:v>
                </c:pt>
                <c:pt idx="65">
                  <c:v>-0.17</c:v>
                </c:pt>
                <c:pt idx="66">
                  <c:v>-0.17</c:v>
                </c:pt>
                <c:pt idx="67">
                  <c:v>-0.16700000000000001</c:v>
                </c:pt>
                <c:pt idx="68">
                  <c:v>-0.14000000000000001</c:v>
                </c:pt>
                <c:pt idx="69">
                  <c:v>-0.14000000000000001</c:v>
                </c:pt>
                <c:pt idx="70">
                  <c:v>-0.14199999999999999</c:v>
                </c:pt>
                <c:pt idx="71">
                  <c:v>-0.14000000000000001</c:v>
                </c:pt>
                <c:pt idx="72">
                  <c:v>-0.14099999999999999</c:v>
                </c:pt>
                <c:pt idx="73">
                  <c:v>-0.14199999999999999</c:v>
                </c:pt>
                <c:pt idx="74">
                  <c:v>-0.14699999999999999</c:v>
                </c:pt>
                <c:pt idx="75">
                  <c:v>-0.13700000000000001</c:v>
                </c:pt>
                <c:pt idx="76">
                  <c:v>-0.14199999999999999</c:v>
                </c:pt>
                <c:pt idx="77">
                  <c:v>-0.14399999999999999</c:v>
                </c:pt>
                <c:pt idx="78">
                  <c:v>-0.14399999999999999</c:v>
                </c:pt>
                <c:pt idx="79">
                  <c:v>-0.14399999999999999</c:v>
                </c:pt>
                <c:pt idx="80">
                  <c:v>-0.14399999999999999</c:v>
                </c:pt>
                <c:pt idx="81">
                  <c:v>-0.14399999999999999</c:v>
                </c:pt>
                <c:pt idx="82">
                  <c:v>-0.14399999999999999</c:v>
                </c:pt>
                <c:pt idx="83">
                  <c:v>-0.14399999999999999</c:v>
                </c:pt>
                <c:pt idx="84">
                  <c:v>-0.15</c:v>
                </c:pt>
                <c:pt idx="85">
                  <c:v>-0.152</c:v>
                </c:pt>
                <c:pt idx="86">
                  <c:v>-0.159</c:v>
                </c:pt>
                <c:pt idx="87">
                  <c:v>-0.14699999999999999</c:v>
                </c:pt>
                <c:pt idx="88">
                  <c:v>-0.14899999999999999</c:v>
                </c:pt>
                <c:pt idx="89">
                  <c:v>-0.155</c:v>
                </c:pt>
                <c:pt idx="90">
                  <c:v>-0.157</c:v>
                </c:pt>
                <c:pt idx="91">
                  <c:v>-0.14899999999999999</c:v>
                </c:pt>
                <c:pt idx="92">
                  <c:v>-0.153</c:v>
                </c:pt>
                <c:pt idx="93">
                  <c:v>-0.155</c:v>
                </c:pt>
                <c:pt idx="94">
                  <c:v>-0.155</c:v>
                </c:pt>
                <c:pt idx="95">
                  <c:v>-0.152</c:v>
                </c:pt>
                <c:pt idx="96">
                  <c:v>-0.15</c:v>
                </c:pt>
                <c:pt idx="97">
                  <c:v>-0.152</c:v>
                </c:pt>
                <c:pt idx="98">
                  <c:v>-0.14899999999999999</c:v>
                </c:pt>
                <c:pt idx="99">
                  <c:v>-0.155</c:v>
                </c:pt>
                <c:pt idx="100">
                  <c:v>-0.14399999999999999</c:v>
                </c:pt>
                <c:pt idx="101">
                  <c:v>-0.14599999999999999</c:v>
                </c:pt>
                <c:pt idx="102">
                  <c:v>-0.152</c:v>
                </c:pt>
                <c:pt idx="103">
                  <c:v>-0.14899999999999999</c:v>
                </c:pt>
                <c:pt idx="104">
                  <c:v>-0.15</c:v>
                </c:pt>
                <c:pt idx="105">
                  <c:v>-0.16600000000000001</c:v>
                </c:pt>
                <c:pt idx="106">
                  <c:v>-0.14899999999999999</c:v>
                </c:pt>
                <c:pt idx="107">
                  <c:v>-0.14699999999999999</c:v>
                </c:pt>
                <c:pt idx="108">
                  <c:v>-0.14899999999999999</c:v>
                </c:pt>
                <c:pt idx="109">
                  <c:v>-0.15</c:v>
                </c:pt>
                <c:pt idx="110">
                  <c:v>-0.152</c:v>
                </c:pt>
                <c:pt idx="111">
                  <c:v>-0.16900000000000001</c:v>
                </c:pt>
                <c:pt idx="112">
                  <c:v>-0.17699999999999999</c:v>
                </c:pt>
                <c:pt idx="113">
                  <c:v>-0.16900000000000001</c:v>
                </c:pt>
                <c:pt idx="114">
                  <c:v>-0.17100000000000001</c:v>
                </c:pt>
                <c:pt idx="115">
                  <c:v>-0.16900000000000001</c:v>
                </c:pt>
                <c:pt idx="116">
                  <c:v>-0.17100000000000001</c:v>
                </c:pt>
                <c:pt idx="117">
                  <c:v>-0.16800000000000001</c:v>
                </c:pt>
                <c:pt idx="118">
                  <c:v>-0.14599999999999999</c:v>
                </c:pt>
                <c:pt idx="119">
                  <c:v>-0.159</c:v>
                </c:pt>
                <c:pt idx="120">
                  <c:v>-0.14799999999999999</c:v>
                </c:pt>
                <c:pt idx="121">
                  <c:v>-0.159</c:v>
                </c:pt>
                <c:pt idx="122">
                  <c:v>-0.16500000000000001</c:v>
                </c:pt>
                <c:pt idx="123">
                  <c:v>-0.159</c:v>
                </c:pt>
                <c:pt idx="124">
                  <c:v>-0.157</c:v>
                </c:pt>
                <c:pt idx="125">
                  <c:v>-0.157</c:v>
                </c:pt>
                <c:pt idx="126">
                  <c:v>-0.159</c:v>
                </c:pt>
                <c:pt idx="127">
                  <c:v>-0.14699999999999999</c:v>
                </c:pt>
                <c:pt idx="128">
                  <c:v>-0.14399999999999999</c:v>
                </c:pt>
                <c:pt idx="129">
                  <c:v>-0.16500000000000001</c:v>
                </c:pt>
                <c:pt idx="130">
                  <c:v>-0.16700000000000001</c:v>
                </c:pt>
                <c:pt idx="131">
                  <c:v>-0.16400000000000001</c:v>
                </c:pt>
                <c:pt idx="132">
                  <c:v>-0.16200000000000001</c:v>
                </c:pt>
                <c:pt idx="133">
                  <c:v>-0.159</c:v>
                </c:pt>
                <c:pt idx="134">
                  <c:v>-0.158</c:v>
                </c:pt>
                <c:pt idx="135">
                  <c:v>-0.156</c:v>
                </c:pt>
                <c:pt idx="136">
                  <c:v>-0.158</c:v>
                </c:pt>
                <c:pt idx="137">
                  <c:v>-0.156</c:v>
                </c:pt>
                <c:pt idx="138">
                  <c:v>-0.157</c:v>
                </c:pt>
                <c:pt idx="139">
                  <c:v>-0.159</c:v>
                </c:pt>
                <c:pt idx="140">
                  <c:v>-0.153</c:v>
                </c:pt>
                <c:pt idx="141">
                  <c:v>-0.15</c:v>
                </c:pt>
                <c:pt idx="142">
                  <c:v>-0.152</c:v>
                </c:pt>
                <c:pt idx="143">
                  <c:v>-0.14899999999999999</c:v>
                </c:pt>
                <c:pt idx="144">
                  <c:v>-0.151</c:v>
                </c:pt>
                <c:pt idx="145">
                  <c:v>-0.14799999999999999</c:v>
                </c:pt>
                <c:pt idx="146">
                  <c:v>-0.15</c:v>
                </c:pt>
                <c:pt idx="147">
                  <c:v>-0.14699999999999999</c:v>
                </c:pt>
                <c:pt idx="148">
                  <c:v>-0.14899999999999999</c:v>
                </c:pt>
                <c:pt idx="149">
                  <c:v>-0.14599999999999999</c:v>
                </c:pt>
                <c:pt idx="150">
                  <c:v>-0.157</c:v>
                </c:pt>
                <c:pt idx="151">
                  <c:v>-0.154</c:v>
                </c:pt>
                <c:pt idx="152">
                  <c:v>-0.151</c:v>
                </c:pt>
                <c:pt idx="153">
                  <c:v>-0.154</c:v>
                </c:pt>
                <c:pt idx="154">
                  <c:v>-0.16</c:v>
                </c:pt>
                <c:pt idx="155">
                  <c:v>-0.14699999999999999</c:v>
                </c:pt>
                <c:pt idx="156">
                  <c:v>-0.159</c:v>
                </c:pt>
                <c:pt idx="157">
                  <c:v>-0.17</c:v>
                </c:pt>
                <c:pt idx="158">
                  <c:v>-0.161</c:v>
                </c:pt>
                <c:pt idx="159">
                  <c:v>-0.16600000000000001</c:v>
                </c:pt>
                <c:pt idx="160">
                  <c:v>-0.16800000000000001</c:v>
                </c:pt>
                <c:pt idx="161">
                  <c:v>-0.17</c:v>
                </c:pt>
                <c:pt idx="162">
                  <c:v>-0.16</c:v>
                </c:pt>
                <c:pt idx="163">
                  <c:v>-0.17</c:v>
                </c:pt>
                <c:pt idx="164">
                  <c:v>-0.16300000000000001</c:v>
                </c:pt>
                <c:pt idx="165">
                  <c:v>-0.16500000000000001</c:v>
                </c:pt>
                <c:pt idx="166">
                  <c:v>-0.16300000000000001</c:v>
                </c:pt>
                <c:pt idx="167">
                  <c:v>-0.16500000000000001</c:v>
                </c:pt>
                <c:pt idx="168">
                  <c:v>-0.16200000000000001</c:v>
                </c:pt>
                <c:pt idx="169">
                  <c:v>-0.16400000000000001</c:v>
                </c:pt>
                <c:pt idx="170">
                  <c:v>-0.16600000000000001</c:v>
                </c:pt>
                <c:pt idx="171">
                  <c:v>-0.16300000000000001</c:v>
                </c:pt>
                <c:pt idx="172">
                  <c:v>-0.16600000000000001</c:v>
                </c:pt>
                <c:pt idx="173">
                  <c:v>-0.16300000000000001</c:v>
                </c:pt>
                <c:pt idx="174">
                  <c:v>-0.16500000000000001</c:v>
                </c:pt>
                <c:pt idx="175">
                  <c:v>-0.17199999999999999</c:v>
                </c:pt>
                <c:pt idx="176">
                  <c:v>-0.16400000000000001</c:v>
                </c:pt>
                <c:pt idx="177">
                  <c:v>-0.16700000000000001</c:v>
                </c:pt>
                <c:pt idx="178">
                  <c:v>-0.16400000000000001</c:v>
                </c:pt>
                <c:pt idx="179">
                  <c:v>-0.16600000000000001</c:v>
                </c:pt>
                <c:pt idx="180">
                  <c:v>-0.16300000000000001</c:v>
                </c:pt>
                <c:pt idx="181">
                  <c:v>-0.16600000000000001</c:v>
                </c:pt>
                <c:pt idx="182">
                  <c:v>-0.17599999999999999</c:v>
                </c:pt>
                <c:pt idx="183">
                  <c:v>-0.17399999999999999</c:v>
                </c:pt>
                <c:pt idx="184">
                  <c:v>-0.17599999999999999</c:v>
                </c:pt>
                <c:pt idx="185">
                  <c:v>-0.17399999999999999</c:v>
                </c:pt>
                <c:pt idx="186">
                  <c:v>-0.17599999999999999</c:v>
                </c:pt>
                <c:pt idx="187">
                  <c:v>-0.17299999999999999</c:v>
                </c:pt>
                <c:pt idx="188">
                  <c:v>-0.17499999999999999</c:v>
                </c:pt>
                <c:pt idx="189">
                  <c:v>-0.17299999999999999</c:v>
                </c:pt>
                <c:pt idx="190">
                  <c:v>-0.17499999999999999</c:v>
                </c:pt>
                <c:pt idx="191">
                  <c:v>-0.17299999999999999</c:v>
                </c:pt>
                <c:pt idx="192">
                  <c:v>-0.17499999999999999</c:v>
                </c:pt>
                <c:pt idx="193">
                  <c:v>-0.17299999999999999</c:v>
                </c:pt>
                <c:pt idx="194">
                  <c:v>-0.17499999999999999</c:v>
                </c:pt>
                <c:pt idx="195">
                  <c:v>-0.17699999999999999</c:v>
                </c:pt>
                <c:pt idx="196">
                  <c:v>-0.17499999999999999</c:v>
                </c:pt>
                <c:pt idx="197">
                  <c:v>-0.17699999999999999</c:v>
                </c:pt>
                <c:pt idx="198">
                  <c:v>-0.17499999999999999</c:v>
                </c:pt>
                <c:pt idx="199">
                  <c:v>-0.20100000000000001</c:v>
                </c:pt>
                <c:pt idx="200">
                  <c:v>-0.2</c:v>
                </c:pt>
                <c:pt idx="201">
                  <c:v>-0.19800000000000001</c:v>
                </c:pt>
                <c:pt idx="202">
                  <c:v>-0.2</c:v>
                </c:pt>
                <c:pt idx="203">
                  <c:v>-0.19900000000000001</c:v>
                </c:pt>
                <c:pt idx="204">
                  <c:v>-0.20100000000000001</c:v>
                </c:pt>
                <c:pt idx="205">
                  <c:v>-0.19900000000000001</c:v>
                </c:pt>
                <c:pt idx="206">
                  <c:v>-0.20100000000000001</c:v>
                </c:pt>
                <c:pt idx="207">
                  <c:v>-0.19600000000000001</c:v>
                </c:pt>
                <c:pt idx="208">
                  <c:v>-0.19800000000000001</c:v>
                </c:pt>
                <c:pt idx="209">
                  <c:v>-0.20100000000000001</c:v>
                </c:pt>
                <c:pt idx="210">
                  <c:v>-0.19900000000000001</c:v>
                </c:pt>
                <c:pt idx="211">
                  <c:v>-0.20100000000000001</c:v>
                </c:pt>
                <c:pt idx="212">
                  <c:v>-0.19900000000000001</c:v>
                </c:pt>
                <c:pt idx="213">
                  <c:v>-0.32900000000000001</c:v>
                </c:pt>
                <c:pt idx="214">
                  <c:v>-0.32300000000000001</c:v>
                </c:pt>
                <c:pt idx="215">
                  <c:v>-0.33200000000000002</c:v>
                </c:pt>
                <c:pt idx="216">
                  <c:v>-0.33100000000000002</c:v>
                </c:pt>
                <c:pt idx="217">
                  <c:v>-0.33100000000000002</c:v>
                </c:pt>
                <c:pt idx="218">
                  <c:v>-0.33100000000000002</c:v>
                </c:pt>
                <c:pt idx="219">
                  <c:v>-0.32900000000000001</c:v>
                </c:pt>
                <c:pt idx="220">
                  <c:v>-0.32900000000000001</c:v>
                </c:pt>
                <c:pt idx="221">
                  <c:v>-0.32900000000000001</c:v>
                </c:pt>
                <c:pt idx="222">
                  <c:v>-0.32800000000000001</c:v>
                </c:pt>
                <c:pt idx="223">
                  <c:v>-0.35899999999999999</c:v>
                </c:pt>
                <c:pt idx="224">
                  <c:v>-0.35899999999999999</c:v>
                </c:pt>
                <c:pt idx="225">
                  <c:v>-0.35899999999999999</c:v>
                </c:pt>
                <c:pt idx="226">
                  <c:v>-0.35899999999999999</c:v>
                </c:pt>
                <c:pt idx="227">
                  <c:v>-0.27500000000000002</c:v>
                </c:pt>
                <c:pt idx="228">
                  <c:v>-0.27500000000000002</c:v>
                </c:pt>
                <c:pt idx="229">
                  <c:v>-0.27600000000000002</c:v>
                </c:pt>
                <c:pt idx="230">
                  <c:v>-0.40600000000000003</c:v>
                </c:pt>
                <c:pt idx="231">
                  <c:v>-0.41</c:v>
                </c:pt>
                <c:pt idx="232">
                  <c:v>-0.27300000000000002</c:v>
                </c:pt>
                <c:pt idx="233">
                  <c:v>-0.41199999999999998</c:v>
                </c:pt>
                <c:pt idx="234">
                  <c:v>-0.40899999999999997</c:v>
                </c:pt>
                <c:pt idx="235">
                  <c:v>-0.40500000000000003</c:v>
                </c:pt>
                <c:pt idx="236">
                  <c:v>-0.42</c:v>
                </c:pt>
                <c:pt idx="237">
                  <c:v>-0.33100000000000002</c:v>
                </c:pt>
                <c:pt idx="238">
                  <c:v>-0.41699999999999998</c:v>
                </c:pt>
                <c:pt idx="239">
                  <c:v>-0.40899999999999997</c:v>
                </c:pt>
                <c:pt idx="240">
                  <c:v>-0.41</c:v>
                </c:pt>
                <c:pt idx="241">
                  <c:v>-0.41</c:v>
                </c:pt>
                <c:pt idx="242">
                  <c:v>-0.378</c:v>
                </c:pt>
                <c:pt idx="243">
                  <c:v>-0.378</c:v>
                </c:pt>
                <c:pt idx="244">
                  <c:v>-0.379</c:v>
                </c:pt>
                <c:pt idx="245">
                  <c:v>-0.379</c:v>
                </c:pt>
                <c:pt idx="246">
                  <c:v>-0.379</c:v>
                </c:pt>
                <c:pt idx="247">
                  <c:v>-0.379</c:v>
                </c:pt>
                <c:pt idx="248">
                  <c:v>-0.379</c:v>
                </c:pt>
                <c:pt idx="249">
                  <c:v>-0.376</c:v>
                </c:pt>
                <c:pt idx="250">
                  <c:v>-0.38</c:v>
                </c:pt>
                <c:pt idx="251">
                  <c:v>-0.38</c:v>
                </c:pt>
                <c:pt idx="252">
                  <c:v>-0.38100000000000001</c:v>
                </c:pt>
                <c:pt idx="253">
                  <c:v>-0.377</c:v>
                </c:pt>
                <c:pt idx="254">
                  <c:v>-0.378</c:v>
                </c:pt>
                <c:pt idx="255">
                  <c:v>-0.378</c:v>
                </c:pt>
                <c:pt idx="256">
                  <c:v>-0.378</c:v>
                </c:pt>
                <c:pt idx="257">
                  <c:v>-0.378</c:v>
                </c:pt>
                <c:pt idx="258">
                  <c:v>-0.374</c:v>
                </c:pt>
                <c:pt idx="259">
                  <c:v>-0.379</c:v>
                </c:pt>
                <c:pt idx="260">
                  <c:v>-0.379</c:v>
                </c:pt>
                <c:pt idx="261">
                  <c:v>-0.17499999999999999</c:v>
                </c:pt>
                <c:pt idx="262">
                  <c:v>-0.17499999999999999</c:v>
                </c:pt>
                <c:pt idx="263">
                  <c:v>-0.17699999999999999</c:v>
                </c:pt>
                <c:pt idx="264">
                  <c:v>-0.17699999999999999</c:v>
                </c:pt>
                <c:pt idx="265">
                  <c:v>-0.17399999999999999</c:v>
                </c:pt>
                <c:pt idx="266">
                  <c:v>-0.17699999999999999</c:v>
                </c:pt>
                <c:pt idx="267">
                  <c:v>-0.17399999999999999</c:v>
                </c:pt>
                <c:pt idx="268">
                  <c:v>-0.17699999999999999</c:v>
                </c:pt>
                <c:pt idx="269">
                  <c:v>-0.17399999999999999</c:v>
                </c:pt>
                <c:pt idx="270">
                  <c:v>-0.17699999999999999</c:v>
                </c:pt>
                <c:pt idx="271">
                  <c:v>-0.17299999999999999</c:v>
                </c:pt>
                <c:pt idx="272">
                  <c:v>-0.14099999999999999</c:v>
                </c:pt>
                <c:pt idx="273">
                  <c:v>-0.14099999999999999</c:v>
                </c:pt>
                <c:pt idx="274">
                  <c:v>-0.14599999999999999</c:v>
                </c:pt>
                <c:pt idx="275">
                  <c:v>-0.157</c:v>
                </c:pt>
                <c:pt idx="276">
                  <c:v>-0.14099999999999999</c:v>
                </c:pt>
                <c:pt idx="277">
                  <c:v>-0.14299999999999999</c:v>
                </c:pt>
                <c:pt idx="278">
                  <c:v>-0.14000000000000001</c:v>
                </c:pt>
                <c:pt idx="279">
                  <c:v>-0.14599999999999999</c:v>
                </c:pt>
                <c:pt idx="280">
                  <c:v>-0.14799999999999999</c:v>
                </c:pt>
                <c:pt idx="281">
                  <c:v>-0.14899999999999999</c:v>
                </c:pt>
                <c:pt idx="282">
                  <c:v>-0.13200000000000001</c:v>
                </c:pt>
                <c:pt idx="283">
                  <c:v>-0.13400000000000001</c:v>
                </c:pt>
                <c:pt idx="284">
                  <c:v>-0.13</c:v>
                </c:pt>
                <c:pt idx="285">
                  <c:v>-0.13200000000000001</c:v>
                </c:pt>
                <c:pt idx="286">
                  <c:v>-0.13400000000000001</c:v>
                </c:pt>
                <c:pt idx="287">
                  <c:v>-0.13</c:v>
                </c:pt>
                <c:pt idx="288">
                  <c:v>-0.13200000000000001</c:v>
                </c:pt>
                <c:pt idx="289">
                  <c:v>-0.13800000000000001</c:v>
                </c:pt>
                <c:pt idx="290">
                  <c:v>-0.129</c:v>
                </c:pt>
                <c:pt idx="291">
                  <c:v>-0.126</c:v>
                </c:pt>
                <c:pt idx="292">
                  <c:v>-0.156</c:v>
                </c:pt>
                <c:pt idx="293">
                  <c:v>-0.17</c:v>
                </c:pt>
                <c:pt idx="294">
                  <c:v>-0.151</c:v>
                </c:pt>
                <c:pt idx="295">
                  <c:v>-0.14799999999999999</c:v>
                </c:pt>
                <c:pt idx="296">
                  <c:v>-0.15</c:v>
                </c:pt>
                <c:pt idx="297">
                  <c:v>-0.16900000000000001</c:v>
                </c:pt>
                <c:pt idx="298">
                  <c:v>-0.14899999999999999</c:v>
                </c:pt>
                <c:pt idx="299">
                  <c:v>-0.15</c:v>
                </c:pt>
                <c:pt idx="300">
                  <c:v>-0.161</c:v>
                </c:pt>
                <c:pt idx="301">
                  <c:v>-0.14899999999999999</c:v>
                </c:pt>
                <c:pt idx="302">
                  <c:v>-0.151</c:v>
                </c:pt>
                <c:pt idx="303">
                  <c:v>-0.221</c:v>
                </c:pt>
                <c:pt idx="304">
                  <c:v>-0.22</c:v>
                </c:pt>
                <c:pt idx="305">
                  <c:v>-0.22800000000000001</c:v>
                </c:pt>
                <c:pt idx="306">
                  <c:v>-0.252</c:v>
                </c:pt>
                <c:pt idx="307">
                  <c:v>-0.151</c:v>
                </c:pt>
                <c:pt idx="308">
                  <c:v>-0.26400000000000001</c:v>
                </c:pt>
                <c:pt idx="309">
                  <c:v>-0.122</c:v>
                </c:pt>
                <c:pt idx="310">
                  <c:v>-0.152</c:v>
                </c:pt>
                <c:pt idx="311">
                  <c:v>-0.253</c:v>
                </c:pt>
                <c:pt idx="312">
                  <c:v>-0.252</c:v>
                </c:pt>
                <c:pt idx="313">
                  <c:v>-0.25900000000000001</c:v>
                </c:pt>
                <c:pt idx="314">
                  <c:v>-0.255</c:v>
                </c:pt>
                <c:pt idx="315">
                  <c:v>-0.23699999999999999</c:v>
                </c:pt>
                <c:pt idx="316">
                  <c:v>-0.248</c:v>
                </c:pt>
                <c:pt idx="317">
                  <c:v>-0.255</c:v>
                </c:pt>
                <c:pt idx="318">
                  <c:v>-0.25</c:v>
                </c:pt>
                <c:pt idx="319">
                  <c:v>-0.246</c:v>
                </c:pt>
                <c:pt idx="320">
                  <c:v>-0.249</c:v>
                </c:pt>
                <c:pt idx="321">
                  <c:v>-0.252</c:v>
                </c:pt>
                <c:pt idx="322">
                  <c:v>-0.255</c:v>
                </c:pt>
                <c:pt idx="323">
                  <c:v>-0.20100000000000001</c:v>
                </c:pt>
                <c:pt idx="324">
                  <c:v>-0.2</c:v>
                </c:pt>
                <c:pt idx="325">
                  <c:v>-0.187</c:v>
                </c:pt>
                <c:pt idx="326">
                  <c:v>-0.19500000000000001</c:v>
                </c:pt>
                <c:pt idx="327">
                  <c:v>-0.19800000000000001</c:v>
                </c:pt>
                <c:pt idx="328">
                  <c:v>-0.20100000000000001</c:v>
                </c:pt>
                <c:pt idx="329">
                  <c:v>-0.20499999999999999</c:v>
                </c:pt>
                <c:pt idx="330">
                  <c:v>-0.191</c:v>
                </c:pt>
                <c:pt idx="331">
                  <c:v>-0.2</c:v>
                </c:pt>
                <c:pt idx="332">
                  <c:v>-0.23200000000000001</c:v>
                </c:pt>
                <c:pt idx="333">
                  <c:v>-0.214</c:v>
                </c:pt>
                <c:pt idx="334">
                  <c:v>-0.115</c:v>
                </c:pt>
                <c:pt idx="335">
                  <c:v>-0.115</c:v>
                </c:pt>
                <c:pt idx="336">
                  <c:v>-0.115</c:v>
                </c:pt>
                <c:pt idx="337">
                  <c:v>-0.104</c:v>
                </c:pt>
                <c:pt idx="338">
                  <c:v>-0.105</c:v>
                </c:pt>
                <c:pt idx="339">
                  <c:v>-0.109</c:v>
                </c:pt>
                <c:pt idx="340">
                  <c:v>-8.8999999999999996E-2</c:v>
                </c:pt>
                <c:pt idx="341">
                  <c:v>-6.8000000000000005E-2</c:v>
                </c:pt>
                <c:pt idx="342">
                  <c:v>-6.0999999999999999E-2</c:v>
                </c:pt>
                <c:pt idx="343">
                  <c:v>8.9999999999999993E-3</c:v>
                </c:pt>
                <c:pt idx="344">
                  <c:v>0.28299999999999997</c:v>
                </c:pt>
                <c:pt idx="345">
                  <c:v>0.31</c:v>
                </c:pt>
                <c:pt idx="346">
                  <c:v>0.309</c:v>
                </c:pt>
                <c:pt idx="347">
                  <c:v>0.308</c:v>
                </c:pt>
                <c:pt idx="348">
                  <c:v>0.313</c:v>
                </c:pt>
                <c:pt idx="349">
                  <c:v>0.311</c:v>
                </c:pt>
                <c:pt idx="350">
                  <c:v>0.315</c:v>
                </c:pt>
                <c:pt idx="351">
                  <c:v>0.33500000000000002</c:v>
                </c:pt>
                <c:pt idx="352">
                  <c:v>0.35</c:v>
                </c:pt>
                <c:pt idx="353">
                  <c:v>0.40300000000000002</c:v>
                </c:pt>
                <c:pt idx="354">
                  <c:v>0.35499999999999998</c:v>
                </c:pt>
                <c:pt idx="355">
                  <c:v>0.36599999999999999</c:v>
                </c:pt>
                <c:pt idx="356">
                  <c:v>0.34899999999999998</c:v>
                </c:pt>
                <c:pt idx="357">
                  <c:v>0.313</c:v>
                </c:pt>
                <c:pt idx="358">
                  <c:v>0.34899999999999998</c:v>
                </c:pt>
                <c:pt idx="359">
                  <c:v>0.25600000000000001</c:v>
                </c:pt>
                <c:pt idx="360">
                  <c:v>0.25900000000000001</c:v>
                </c:pt>
                <c:pt idx="361">
                  <c:v>0.28799999999999998</c:v>
                </c:pt>
                <c:pt idx="362">
                  <c:v>0.29499999999999998</c:v>
                </c:pt>
                <c:pt idx="363">
                  <c:v>0.27800000000000002</c:v>
                </c:pt>
                <c:pt idx="364">
                  <c:v>0.27800000000000002</c:v>
                </c:pt>
                <c:pt idx="365">
                  <c:v>0.28199999999999997</c:v>
                </c:pt>
                <c:pt idx="366">
                  <c:v>0.28599999999999998</c:v>
                </c:pt>
                <c:pt idx="367">
                  <c:v>0.25600000000000001</c:v>
                </c:pt>
                <c:pt idx="368">
                  <c:v>0.27900000000000003</c:v>
                </c:pt>
                <c:pt idx="369">
                  <c:v>0.28399999999999997</c:v>
                </c:pt>
                <c:pt idx="370">
                  <c:v>0.28899999999999998</c:v>
                </c:pt>
                <c:pt idx="371">
                  <c:v>0.28899999999999998</c:v>
                </c:pt>
                <c:pt idx="372">
                  <c:v>0.29299999999999998</c:v>
                </c:pt>
                <c:pt idx="373">
                  <c:v>0.40699999999999997</c:v>
                </c:pt>
                <c:pt idx="374">
                  <c:v>0.52</c:v>
                </c:pt>
                <c:pt idx="375">
                  <c:v>0.51400000000000001</c:v>
                </c:pt>
                <c:pt idx="376">
                  <c:v>0.48299999999999998</c:v>
                </c:pt>
                <c:pt idx="377">
                  <c:v>0.52900000000000003</c:v>
                </c:pt>
                <c:pt idx="378">
                  <c:v>0.53400000000000003</c:v>
                </c:pt>
                <c:pt idx="379">
                  <c:v>0.57099999999999995</c:v>
                </c:pt>
                <c:pt idx="380">
                  <c:v>0.60899999999999999</c:v>
                </c:pt>
                <c:pt idx="381">
                  <c:v>0.58399999999999996</c:v>
                </c:pt>
                <c:pt idx="382">
                  <c:v>0.61799999999999999</c:v>
                </c:pt>
                <c:pt idx="383">
                  <c:v>0.625</c:v>
                </c:pt>
                <c:pt idx="384">
                  <c:v>0.63800000000000001</c:v>
                </c:pt>
                <c:pt idx="385">
                  <c:v>0.63800000000000001</c:v>
                </c:pt>
                <c:pt idx="386">
                  <c:v>0.65</c:v>
                </c:pt>
                <c:pt idx="387">
                  <c:v>0.627</c:v>
                </c:pt>
                <c:pt idx="388">
                  <c:v>0.60399999999999998</c:v>
                </c:pt>
                <c:pt idx="389">
                  <c:v>0.63600000000000001</c:v>
                </c:pt>
                <c:pt idx="390">
                  <c:v>0.46800000000000003</c:v>
                </c:pt>
                <c:pt idx="391">
                  <c:v>0.63400000000000001</c:v>
                </c:pt>
                <c:pt idx="392">
                  <c:v>0.56599999999999995</c:v>
                </c:pt>
                <c:pt idx="393">
                  <c:v>0.58299999999999996</c:v>
                </c:pt>
                <c:pt idx="394">
                  <c:v>0.61199999999999999</c:v>
                </c:pt>
                <c:pt idx="395">
                  <c:v>0.66700000000000004</c:v>
                </c:pt>
                <c:pt idx="396">
                  <c:v>0.64500000000000002</c:v>
                </c:pt>
                <c:pt idx="397">
                  <c:v>0.66500000000000004</c:v>
                </c:pt>
                <c:pt idx="398">
                  <c:v>0.78</c:v>
                </c:pt>
                <c:pt idx="399">
                  <c:v>1.0009999999999999</c:v>
                </c:pt>
                <c:pt idx="400">
                  <c:v>1.056</c:v>
                </c:pt>
                <c:pt idx="401">
                  <c:v>0.81100000000000005</c:v>
                </c:pt>
                <c:pt idx="402">
                  <c:v>0.86899999999999999</c:v>
                </c:pt>
                <c:pt idx="403">
                  <c:v>0.86599999999999999</c:v>
                </c:pt>
                <c:pt idx="404">
                  <c:v>0.90500000000000003</c:v>
                </c:pt>
                <c:pt idx="405">
                  <c:v>0.85099999999999998</c:v>
                </c:pt>
                <c:pt idx="406">
                  <c:v>0.89200000000000002</c:v>
                </c:pt>
                <c:pt idx="407">
                  <c:v>0.90300000000000002</c:v>
                </c:pt>
                <c:pt idx="408">
                  <c:v>0.88300000000000001</c:v>
                </c:pt>
                <c:pt idx="409">
                  <c:v>0.81499999999999995</c:v>
                </c:pt>
                <c:pt idx="410">
                  <c:v>0.91</c:v>
                </c:pt>
                <c:pt idx="411">
                  <c:v>0.86499999999999999</c:v>
                </c:pt>
                <c:pt idx="412">
                  <c:v>0.93799999999999994</c:v>
                </c:pt>
                <c:pt idx="413">
                  <c:v>0.873</c:v>
                </c:pt>
                <c:pt idx="414">
                  <c:v>0.99099999999999999</c:v>
                </c:pt>
                <c:pt idx="415">
                  <c:v>1.0820000000000001</c:v>
                </c:pt>
                <c:pt idx="416">
                  <c:v>1.056</c:v>
                </c:pt>
                <c:pt idx="417">
                  <c:v>1.071</c:v>
                </c:pt>
                <c:pt idx="418">
                  <c:v>1.137</c:v>
                </c:pt>
                <c:pt idx="419">
                  <c:v>1.135</c:v>
                </c:pt>
                <c:pt idx="420">
                  <c:v>1.028</c:v>
                </c:pt>
                <c:pt idx="421">
                  <c:v>1.0189999999999999</c:v>
                </c:pt>
                <c:pt idx="422">
                  <c:v>1.002</c:v>
                </c:pt>
                <c:pt idx="423">
                  <c:v>1.091</c:v>
                </c:pt>
                <c:pt idx="424">
                  <c:v>1.079</c:v>
                </c:pt>
                <c:pt idx="425">
                  <c:v>1.1599999999999999</c:v>
                </c:pt>
                <c:pt idx="426">
                  <c:v>1.1830000000000001</c:v>
                </c:pt>
                <c:pt idx="427">
                  <c:v>1.206</c:v>
                </c:pt>
                <c:pt idx="428">
                  <c:v>1.2649999999999999</c:v>
                </c:pt>
                <c:pt idx="429">
                  <c:v>1.2529999999999999</c:v>
                </c:pt>
                <c:pt idx="430">
                  <c:v>1.298</c:v>
                </c:pt>
                <c:pt idx="431">
                  <c:v>1.4339999999999999</c:v>
                </c:pt>
                <c:pt idx="432">
                  <c:v>1.4239999999999999</c:v>
                </c:pt>
                <c:pt idx="433">
                  <c:v>1.4379999999999999</c:v>
                </c:pt>
                <c:pt idx="434">
                  <c:v>1.417</c:v>
                </c:pt>
                <c:pt idx="435">
                  <c:v>1.391</c:v>
                </c:pt>
                <c:pt idx="436">
                  <c:v>1.494</c:v>
                </c:pt>
                <c:pt idx="437">
                  <c:v>1.5049999999999999</c:v>
                </c:pt>
                <c:pt idx="438">
                  <c:v>1.4690000000000001</c:v>
                </c:pt>
                <c:pt idx="439">
                  <c:v>1.5429999999999999</c:v>
                </c:pt>
                <c:pt idx="440">
                  <c:v>1.387</c:v>
                </c:pt>
                <c:pt idx="441">
                  <c:v>1.2889999999999999</c:v>
                </c:pt>
                <c:pt idx="442">
                  <c:v>1.4950000000000001</c:v>
                </c:pt>
                <c:pt idx="443">
                  <c:v>1.4650000000000001</c:v>
                </c:pt>
                <c:pt idx="444">
                  <c:v>1.429</c:v>
                </c:pt>
                <c:pt idx="445">
                  <c:v>1.4610000000000001</c:v>
                </c:pt>
                <c:pt idx="446">
                  <c:v>1.4490000000000001</c:v>
                </c:pt>
                <c:pt idx="447">
                  <c:v>1.51</c:v>
                </c:pt>
                <c:pt idx="448">
                  <c:v>1.585</c:v>
                </c:pt>
                <c:pt idx="449">
                  <c:v>1.508</c:v>
                </c:pt>
                <c:pt idx="450">
                  <c:v>1.625</c:v>
                </c:pt>
                <c:pt idx="451">
                  <c:v>1.619</c:v>
                </c:pt>
                <c:pt idx="452">
                  <c:v>1.63</c:v>
                </c:pt>
                <c:pt idx="453">
                  <c:v>1.627</c:v>
                </c:pt>
                <c:pt idx="454">
                  <c:v>1.62</c:v>
                </c:pt>
                <c:pt idx="455">
                  <c:v>1.6930000000000001</c:v>
                </c:pt>
                <c:pt idx="456">
                  <c:v>1.605</c:v>
                </c:pt>
                <c:pt idx="457">
                  <c:v>1.651</c:v>
                </c:pt>
                <c:pt idx="458">
                  <c:v>1.619</c:v>
                </c:pt>
                <c:pt idx="459">
                  <c:v>1.6559999999999999</c:v>
                </c:pt>
                <c:pt idx="460">
                  <c:v>1.6639999999999999</c:v>
                </c:pt>
                <c:pt idx="461">
                  <c:v>1.6879999999999999</c:v>
                </c:pt>
                <c:pt idx="462">
                  <c:v>1.6539999999999999</c:v>
                </c:pt>
                <c:pt idx="463">
                  <c:v>1.663</c:v>
                </c:pt>
                <c:pt idx="464">
                  <c:v>1.726</c:v>
                </c:pt>
                <c:pt idx="465">
                  <c:v>1.589</c:v>
                </c:pt>
                <c:pt idx="466">
                  <c:v>1.5620000000000001</c:v>
                </c:pt>
                <c:pt idx="467">
                  <c:v>1.5389999999999999</c:v>
                </c:pt>
                <c:pt idx="468">
                  <c:v>1.552</c:v>
                </c:pt>
                <c:pt idx="469">
                  <c:v>1.607</c:v>
                </c:pt>
                <c:pt idx="470">
                  <c:v>1.522</c:v>
                </c:pt>
                <c:pt idx="471">
                  <c:v>1.5580000000000001</c:v>
                </c:pt>
                <c:pt idx="472">
                  <c:v>1.5629999999999999</c:v>
                </c:pt>
                <c:pt idx="473">
                  <c:v>1.5649999999999999</c:v>
                </c:pt>
                <c:pt idx="474">
                  <c:v>1.5589999999999999</c:v>
                </c:pt>
                <c:pt idx="475">
                  <c:v>1.556</c:v>
                </c:pt>
                <c:pt idx="476">
                  <c:v>1.5620000000000001</c:v>
                </c:pt>
                <c:pt idx="477">
                  <c:v>1.583</c:v>
                </c:pt>
                <c:pt idx="478">
                  <c:v>1.5649999999999999</c:v>
                </c:pt>
                <c:pt idx="479">
                  <c:v>1.5589999999999999</c:v>
                </c:pt>
                <c:pt idx="480">
                  <c:v>1.5609999999999999</c:v>
                </c:pt>
                <c:pt idx="481">
                  <c:v>1.5620000000000001</c:v>
                </c:pt>
                <c:pt idx="482">
                  <c:v>1.5640000000000001</c:v>
                </c:pt>
                <c:pt idx="483">
                  <c:v>1.56</c:v>
                </c:pt>
                <c:pt idx="484">
                  <c:v>1.4970000000000001</c:v>
                </c:pt>
                <c:pt idx="485">
                  <c:v>1.669</c:v>
                </c:pt>
                <c:pt idx="486">
                  <c:v>1.679</c:v>
                </c:pt>
                <c:pt idx="487">
                  <c:v>1.677</c:v>
                </c:pt>
                <c:pt idx="488">
                  <c:v>1.68</c:v>
                </c:pt>
                <c:pt idx="489">
                  <c:v>1.718</c:v>
                </c:pt>
                <c:pt idx="490">
                  <c:v>1.6819999999999999</c:v>
                </c:pt>
                <c:pt idx="491">
                  <c:v>1.7330000000000001</c:v>
                </c:pt>
                <c:pt idx="492">
                  <c:v>1.732</c:v>
                </c:pt>
                <c:pt idx="493">
                  <c:v>1.7529999999999999</c:v>
                </c:pt>
                <c:pt idx="494">
                  <c:v>1.8009999999999999</c:v>
                </c:pt>
                <c:pt idx="495">
                  <c:v>1.8340000000000001</c:v>
                </c:pt>
                <c:pt idx="496">
                  <c:v>1.8340000000000001</c:v>
                </c:pt>
                <c:pt idx="497">
                  <c:v>1.859</c:v>
                </c:pt>
                <c:pt idx="498">
                  <c:v>1.839</c:v>
                </c:pt>
                <c:pt idx="499">
                  <c:v>1.891</c:v>
                </c:pt>
                <c:pt idx="500">
                  <c:v>1.84</c:v>
                </c:pt>
                <c:pt idx="501">
                  <c:v>1.867</c:v>
                </c:pt>
                <c:pt idx="502">
                  <c:v>1.867</c:v>
                </c:pt>
                <c:pt idx="503">
                  <c:v>1.879</c:v>
                </c:pt>
                <c:pt idx="504">
                  <c:v>2.0739999999999998</c:v>
                </c:pt>
                <c:pt idx="505">
                  <c:v>2.0049999999999999</c:v>
                </c:pt>
                <c:pt idx="506">
                  <c:v>2.0190000000000001</c:v>
                </c:pt>
                <c:pt idx="507">
                  <c:v>2.0209999999999999</c:v>
                </c:pt>
                <c:pt idx="508">
                  <c:v>2.0230000000000001</c:v>
                </c:pt>
                <c:pt idx="509">
                  <c:v>2.1080000000000001</c:v>
                </c:pt>
                <c:pt idx="510">
                  <c:v>2.0590000000000002</c:v>
                </c:pt>
                <c:pt idx="511">
                  <c:v>2.0619999999999998</c:v>
                </c:pt>
                <c:pt idx="512">
                  <c:v>2.0870000000000002</c:v>
                </c:pt>
                <c:pt idx="513">
                  <c:v>2.0630000000000002</c:v>
                </c:pt>
                <c:pt idx="514">
                  <c:v>2.141</c:v>
                </c:pt>
                <c:pt idx="515">
                  <c:v>2.0640000000000001</c:v>
                </c:pt>
                <c:pt idx="516">
                  <c:v>2.0640000000000001</c:v>
                </c:pt>
                <c:pt idx="517">
                  <c:v>2.0720000000000001</c:v>
                </c:pt>
                <c:pt idx="518">
                  <c:v>2.0750000000000002</c:v>
                </c:pt>
                <c:pt idx="519">
                  <c:v>2.1269999999999998</c:v>
                </c:pt>
                <c:pt idx="520">
                  <c:v>2.089</c:v>
                </c:pt>
                <c:pt idx="521">
                  <c:v>2.0720000000000001</c:v>
                </c:pt>
                <c:pt idx="522">
                  <c:v>2.5099999999999998</c:v>
                </c:pt>
                <c:pt idx="523">
                  <c:v>2.649</c:v>
                </c:pt>
                <c:pt idx="524">
                  <c:v>2.5230000000000001</c:v>
                </c:pt>
                <c:pt idx="525">
                  <c:v>2.5230000000000001</c:v>
                </c:pt>
                <c:pt idx="526">
                  <c:v>2.5459999999999998</c:v>
                </c:pt>
                <c:pt idx="527">
                  <c:v>2.5459999999999998</c:v>
                </c:pt>
                <c:pt idx="528">
                  <c:v>2.5449999999999999</c:v>
                </c:pt>
                <c:pt idx="529">
                  <c:v>2.6339999999999999</c:v>
                </c:pt>
                <c:pt idx="530">
                  <c:v>2.8029999999999999</c:v>
                </c:pt>
                <c:pt idx="531">
                  <c:v>2.7280000000000002</c:v>
                </c:pt>
                <c:pt idx="532">
                  <c:v>2.73</c:v>
                </c:pt>
                <c:pt idx="533">
                  <c:v>2.702</c:v>
                </c:pt>
                <c:pt idx="534">
                  <c:v>2.7240000000000002</c:v>
                </c:pt>
                <c:pt idx="535">
                  <c:v>2.7170000000000001</c:v>
                </c:pt>
                <c:pt idx="536">
                  <c:v>2.7229999999999999</c:v>
                </c:pt>
                <c:pt idx="537">
                  <c:v>2.7250000000000001</c:v>
                </c:pt>
                <c:pt idx="538">
                  <c:v>2.7770000000000001</c:v>
                </c:pt>
                <c:pt idx="539">
                  <c:v>2.7850000000000001</c:v>
                </c:pt>
                <c:pt idx="540">
                  <c:v>2.778</c:v>
                </c:pt>
                <c:pt idx="541">
                  <c:v>2.8050000000000002</c:v>
                </c:pt>
                <c:pt idx="542">
                  <c:v>2.774</c:v>
                </c:pt>
                <c:pt idx="543">
                  <c:v>2.782</c:v>
                </c:pt>
                <c:pt idx="544">
                  <c:v>2.78</c:v>
                </c:pt>
                <c:pt idx="545">
                  <c:v>2.778</c:v>
                </c:pt>
                <c:pt idx="546">
                  <c:v>2.7810000000000001</c:v>
                </c:pt>
                <c:pt idx="547">
                  <c:v>2.7789999999999999</c:v>
                </c:pt>
                <c:pt idx="548">
                  <c:v>2.782</c:v>
                </c:pt>
                <c:pt idx="549">
                  <c:v>3.0739999999999998</c:v>
                </c:pt>
                <c:pt idx="550">
                  <c:v>3.0750000000000002</c:v>
                </c:pt>
                <c:pt idx="551">
                  <c:v>3.0760000000000001</c:v>
                </c:pt>
                <c:pt idx="552">
                  <c:v>3.1360000000000001</c:v>
                </c:pt>
                <c:pt idx="553">
                  <c:v>3.1379999999999999</c:v>
                </c:pt>
                <c:pt idx="554">
                  <c:v>3.1360000000000001</c:v>
                </c:pt>
                <c:pt idx="555">
                  <c:v>3.1389999999999998</c:v>
                </c:pt>
                <c:pt idx="556">
                  <c:v>3.1360000000000001</c:v>
                </c:pt>
                <c:pt idx="557">
                  <c:v>3.1389999999999998</c:v>
                </c:pt>
                <c:pt idx="558">
                  <c:v>3.1960000000000002</c:v>
                </c:pt>
                <c:pt idx="559">
                  <c:v>3.1960000000000002</c:v>
                </c:pt>
                <c:pt idx="560">
                  <c:v>3.194</c:v>
                </c:pt>
                <c:pt idx="561">
                  <c:v>3.1930000000000001</c:v>
                </c:pt>
                <c:pt idx="562">
                  <c:v>3.1960000000000002</c:v>
                </c:pt>
                <c:pt idx="563">
                  <c:v>3.1949999999999998</c:v>
                </c:pt>
                <c:pt idx="564">
                  <c:v>3.1949999999999998</c:v>
                </c:pt>
                <c:pt idx="565">
                  <c:v>3.22</c:v>
                </c:pt>
                <c:pt idx="566">
                  <c:v>3.2450000000000001</c:v>
                </c:pt>
                <c:pt idx="567">
                  <c:v>3.26</c:v>
                </c:pt>
                <c:pt idx="568">
                  <c:v>3.2810000000000001</c:v>
                </c:pt>
                <c:pt idx="569">
                  <c:v>3.2629999999999999</c:v>
                </c:pt>
                <c:pt idx="570">
                  <c:v>3.2389999999999999</c:v>
                </c:pt>
                <c:pt idx="571">
                  <c:v>3.2429999999999999</c:v>
                </c:pt>
                <c:pt idx="572">
                  <c:v>3.266</c:v>
                </c:pt>
                <c:pt idx="573">
                  <c:v>3.14</c:v>
                </c:pt>
                <c:pt idx="574">
                  <c:v>3.2309999999999999</c:v>
                </c:pt>
                <c:pt idx="575">
                  <c:v>3.2170000000000001</c:v>
                </c:pt>
                <c:pt idx="576">
                  <c:v>3.2160000000000002</c:v>
                </c:pt>
                <c:pt idx="577">
                  <c:v>3.2480000000000002</c:v>
                </c:pt>
                <c:pt idx="578">
                  <c:v>3.2730000000000001</c:v>
                </c:pt>
                <c:pt idx="579">
                  <c:v>3.28</c:v>
                </c:pt>
                <c:pt idx="580">
                  <c:v>3.28</c:v>
                </c:pt>
                <c:pt idx="581">
                  <c:v>3.2789999999999999</c:v>
                </c:pt>
                <c:pt idx="582">
                  <c:v>3.27</c:v>
                </c:pt>
                <c:pt idx="583">
                  <c:v>3.2829999999999999</c:v>
                </c:pt>
                <c:pt idx="584">
                  <c:v>3.343</c:v>
                </c:pt>
                <c:pt idx="585">
                  <c:v>3.2570000000000001</c:v>
                </c:pt>
                <c:pt idx="586">
                  <c:v>3.2759999999999998</c:v>
                </c:pt>
                <c:pt idx="587">
                  <c:v>3.2749999999999999</c:v>
                </c:pt>
                <c:pt idx="588">
                  <c:v>3.2410000000000001</c:v>
                </c:pt>
                <c:pt idx="589">
                  <c:v>3.298</c:v>
                </c:pt>
                <c:pt idx="590">
                  <c:v>3.298</c:v>
                </c:pt>
                <c:pt idx="591">
                  <c:v>3.298</c:v>
                </c:pt>
                <c:pt idx="592">
                  <c:v>3.298</c:v>
                </c:pt>
                <c:pt idx="593">
                  <c:v>3.27</c:v>
                </c:pt>
                <c:pt idx="594">
                  <c:v>3.4</c:v>
                </c:pt>
                <c:pt idx="595">
                  <c:v>3.4340000000000002</c:v>
                </c:pt>
                <c:pt idx="596">
                  <c:v>3.4929999999999999</c:v>
                </c:pt>
                <c:pt idx="597">
                  <c:v>3.5070000000000001</c:v>
                </c:pt>
                <c:pt idx="598">
                  <c:v>3.488</c:v>
                </c:pt>
                <c:pt idx="599">
                  <c:v>3.5070000000000001</c:v>
                </c:pt>
                <c:pt idx="600">
                  <c:v>3.496</c:v>
                </c:pt>
                <c:pt idx="601">
                  <c:v>3.4980000000000002</c:v>
                </c:pt>
                <c:pt idx="602">
                  <c:v>3.5</c:v>
                </c:pt>
                <c:pt idx="603">
                  <c:v>3.4660000000000002</c:v>
                </c:pt>
                <c:pt idx="604">
                  <c:v>3.4969999999999999</c:v>
                </c:pt>
                <c:pt idx="605">
                  <c:v>3.5</c:v>
                </c:pt>
                <c:pt idx="606">
                  <c:v>3.5</c:v>
                </c:pt>
                <c:pt idx="607">
                  <c:v>3.4969999999999999</c:v>
                </c:pt>
                <c:pt idx="608">
                  <c:v>3.5139999999999998</c:v>
                </c:pt>
                <c:pt idx="609">
                  <c:v>3.476</c:v>
                </c:pt>
                <c:pt idx="610">
                  <c:v>3.504</c:v>
                </c:pt>
                <c:pt idx="611">
                  <c:v>3.512</c:v>
                </c:pt>
                <c:pt idx="612">
                  <c:v>3.504</c:v>
                </c:pt>
                <c:pt idx="613">
                  <c:v>3.4529999999999998</c:v>
                </c:pt>
                <c:pt idx="614">
                  <c:v>3.4249999999999998</c:v>
                </c:pt>
                <c:pt idx="615">
                  <c:v>3.45</c:v>
                </c:pt>
                <c:pt idx="616">
                  <c:v>3.452</c:v>
                </c:pt>
                <c:pt idx="617">
                  <c:v>3.5209999999999999</c:v>
                </c:pt>
                <c:pt idx="618">
                  <c:v>3.4990000000000001</c:v>
                </c:pt>
                <c:pt idx="619">
                  <c:v>3.4990000000000001</c:v>
                </c:pt>
                <c:pt idx="620">
                  <c:v>3.5190000000000001</c:v>
                </c:pt>
                <c:pt idx="621">
                  <c:v>3.5350000000000001</c:v>
                </c:pt>
                <c:pt idx="622">
                  <c:v>3.52</c:v>
                </c:pt>
                <c:pt idx="623">
                  <c:v>3.5270000000000001</c:v>
                </c:pt>
                <c:pt idx="624">
                  <c:v>3.5219999999999998</c:v>
                </c:pt>
                <c:pt idx="625">
                  <c:v>3.5249999999999999</c:v>
                </c:pt>
                <c:pt idx="626">
                  <c:v>3.5190000000000001</c:v>
                </c:pt>
                <c:pt idx="627">
                  <c:v>3.5270000000000001</c:v>
                </c:pt>
                <c:pt idx="628">
                  <c:v>3.5249999999999999</c:v>
                </c:pt>
                <c:pt idx="629">
                  <c:v>3.4740000000000002</c:v>
                </c:pt>
                <c:pt idx="630">
                  <c:v>3.5209999999999999</c:v>
                </c:pt>
                <c:pt idx="631">
                  <c:v>3.4820000000000002</c:v>
                </c:pt>
                <c:pt idx="632">
                  <c:v>3.4820000000000002</c:v>
                </c:pt>
                <c:pt idx="633">
                  <c:v>3.496</c:v>
                </c:pt>
                <c:pt idx="634">
                  <c:v>3.472</c:v>
                </c:pt>
                <c:pt idx="635">
                  <c:v>3.452</c:v>
                </c:pt>
                <c:pt idx="636">
                  <c:v>3.4550000000000001</c:v>
                </c:pt>
                <c:pt idx="637">
                  <c:v>3.464</c:v>
                </c:pt>
                <c:pt idx="638">
                  <c:v>3.4910000000000001</c:v>
                </c:pt>
                <c:pt idx="639">
                  <c:v>3.516</c:v>
                </c:pt>
                <c:pt idx="640">
                  <c:v>3.5459999999999998</c:v>
                </c:pt>
                <c:pt idx="641">
                  <c:v>3.544</c:v>
                </c:pt>
                <c:pt idx="642">
                  <c:v>3.5510000000000002</c:v>
                </c:pt>
                <c:pt idx="643">
                  <c:v>3.55</c:v>
                </c:pt>
                <c:pt idx="644">
                  <c:v>3.5830000000000002</c:v>
                </c:pt>
                <c:pt idx="645">
                  <c:v>3.5830000000000002</c:v>
                </c:pt>
                <c:pt idx="646">
                  <c:v>3.5870000000000002</c:v>
                </c:pt>
                <c:pt idx="647">
                  <c:v>3.6259999999999999</c:v>
                </c:pt>
                <c:pt idx="648">
                  <c:v>3.6389999999999998</c:v>
                </c:pt>
                <c:pt idx="649">
                  <c:v>3.6659999999999999</c:v>
                </c:pt>
                <c:pt idx="650">
                  <c:v>3.6469999999999998</c:v>
                </c:pt>
                <c:pt idx="651">
                  <c:v>3.6659999999999999</c:v>
                </c:pt>
                <c:pt idx="652">
                  <c:v>3.6320000000000001</c:v>
                </c:pt>
                <c:pt idx="653">
                  <c:v>3.6859999999999999</c:v>
                </c:pt>
                <c:pt idx="654">
                  <c:v>3.6970000000000001</c:v>
                </c:pt>
                <c:pt idx="655">
                  <c:v>3.7210000000000001</c:v>
                </c:pt>
                <c:pt idx="656">
                  <c:v>3.778</c:v>
                </c:pt>
                <c:pt idx="657">
                  <c:v>3.8130000000000002</c:v>
                </c:pt>
                <c:pt idx="658">
                  <c:v>3.7989999999999999</c:v>
                </c:pt>
                <c:pt idx="659">
                  <c:v>3.6850000000000001</c:v>
                </c:pt>
                <c:pt idx="660">
                  <c:v>3.7250000000000001</c:v>
                </c:pt>
                <c:pt idx="661">
                  <c:v>3.718</c:v>
                </c:pt>
                <c:pt idx="662">
                  <c:v>3.6859999999999999</c:v>
                </c:pt>
                <c:pt idx="663">
                  <c:v>3.6779999999999999</c:v>
                </c:pt>
                <c:pt idx="664">
                  <c:v>3.6739999999999999</c:v>
                </c:pt>
                <c:pt idx="665">
                  <c:v>3.7040000000000002</c:v>
                </c:pt>
                <c:pt idx="666">
                  <c:v>3.7050000000000001</c:v>
                </c:pt>
                <c:pt idx="667">
                  <c:v>3.7010000000000001</c:v>
                </c:pt>
                <c:pt idx="668">
                  <c:v>3.7149999999999999</c:v>
                </c:pt>
                <c:pt idx="669">
                  <c:v>3.7029999999999998</c:v>
                </c:pt>
                <c:pt idx="670">
                  <c:v>3.7029999999999998</c:v>
                </c:pt>
                <c:pt idx="671">
                  <c:v>3.694</c:v>
                </c:pt>
                <c:pt idx="672">
                  <c:v>3.7040000000000002</c:v>
                </c:pt>
                <c:pt idx="673">
                  <c:v>3.7639999999999998</c:v>
                </c:pt>
                <c:pt idx="674">
                  <c:v>3.7629999999999999</c:v>
                </c:pt>
                <c:pt idx="675">
                  <c:v>3.7650000000000001</c:v>
                </c:pt>
                <c:pt idx="676">
                  <c:v>3.7559999999999998</c:v>
                </c:pt>
                <c:pt idx="677">
                  <c:v>3.7629999999999999</c:v>
                </c:pt>
                <c:pt idx="678">
                  <c:v>3.7210000000000001</c:v>
                </c:pt>
                <c:pt idx="679">
                  <c:v>3.7250000000000001</c:v>
                </c:pt>
                <c:pt idx="680">
                  <c:v>3.7360000000000002</c:v>
                </c:pt>
                <c:pt idx="681">
                  <c:v>3.7490000000000001</c:v>
                </c:pt>
                <c:pt idx="682">
                  <c:v>3.7789999999999999</c:v>
                </c:pt>
                <c:pt idx="683">
                  <c:v>3.7749999999999999</c:v>
                </c:pt>
                <c:pt idx="684">
                  <c:v>3.7829999999999999</c:v>
                </c:pt>
                <c:pt idx="685">
                  <c:v>3.7610000000000001</c:v>
                </c:pt>
                <c:pt idx="686">
                  <c:v>3.7530000000000001</c:v>
                </c:pt>
                <c:pt idx="687">
                  <c:v>3.7629999999999999</c:v>
                </c:pt>
                <c:pt idx="688">
                  <c:v>3.8650000000000002</c:v>
                </c:pt>
                <c:pt idx="689">
                  <c:v>3.9049999999999998</c:v>
                </c:pt>
                <c:pt idx="690">
                  <c:v>3.8980000000000001</c:v>
                </c:pt>
                <c:pt idx="691">
                  <c:v>3.92</c:v>
                </c:pt>
                <c:pt idx="692">
                  <c:v>3.8730000000000002</c:v>
                </c:pt>
                <c:pt idx="693">
                  <c:v>3.86</c:v>
                </c:pt>
                <c:pt idx="694">
                  <c:v>3.8719999999999999</c:v>
                </c:pt>
                <c:pt idx="695">
                  <c:v>3.875</c:v>
                </c:pt>
                <c:pt idx="696">
                  <c:v>3.8719999999999999</c:v>
                </c:pt>
                <c:pt idx="697">
                  <c:v>3.875</c:v>
                </c:pt>
                <c:pt idx="698">
                  <c:v>3.7050000000000001</c:v>
                </c:pt>
                <c:pt idx="699">
                  <c:v>3.71</c:v>
                </c:pt>
                <c:pt idx="700">
                  <c:v>3.718</c:v>
                </c:pt>
                <c:pt idx="701">
                  <c:v>3.7069999999999999</c:v>
                </c:pt>
                <c:pt idx="702">
                  <c:v>3.7029999999999998</c:v>
                </c:pt>
                <c:pt idx="703">
                  <c:v>3.7040000000000002</c:v>
                </c:pt>
                <c:pt idx="704">
                  <c:v>3.7090000000000001</c:v>
                </c:pt>
                <c:pt idx="705">
                  <c:v>3.7050000000000001</c:v>
                </c:pt>
                <c:pt idx="706">
                  <c:v>3.847</c:v>
                </c:pt>
                <c:pt idx="707">
                  <c:v>3.8730000000000002</c:v>
                </c:pt>
                <c:pt idx="708">
                  <c:v>3.9039999999999999</c:v>
                </c:pt>
                <c:pt idx="709">
                  <c:v>3.9209999999999998</c:v>
                </c:pt>
                <c:pt idx="710">
                  <c:v>3.9329999999999998</c:v>
                </c:pt>
                <c:pt idx="711">
                  <c:v>3.9180000000000001</c:v>
                </c:pt>
                <c:pt idx="712">
                  <c:v>3.9209999999999998</c:v>
                </c:pt>
                <c:pt idx="713">
                  <c:v>3.92</c:v>
                </c:pt>
                <c:pt idx="714">
                  <c:v>3.9209999999999998</c:v>
                </c:pt>
                <c:pt idx="715">
                  <c:v>3.919</c:v>
                </c:pt>
                <c:pt idx="716">
                  <c:v>3.9180000000000001</c:v>
                </c:pt>
                <c:pt idx="717">
                  <c:v>3.907</c:v>
                </c:pt>
                <c:pt idx="718">
                  <c:v>3.92</c:v>
                </c:pt>
                <c:pt idx="719">
                  <c:v>3.9209999999999998</c:v>
                </c:pt>
                <c:pt idx="720">
                  <c:v>3.919</c:v>
                </c:pt>
                <c:pt idx="721">
                  <c:v>3.9180000000000001</c:v>
                </c:pt>
                <c:pt idx="722">
                  <c:v>3.9319999999999999</c:v>
                </c:pt>
                <c:pt idx="723">
                  <c:v>3.8759999999999999</c:v>
                </c:pt>
                <c:pt idx="724">
                  <c:v>3.871</c:v>
                </c:pt>
                <c:pt idx="725">
                  <c:v>3.964</c:v>
                </c:pt>
                <c:pt idx="726">
                  <c:v>3.94</c:v>
                </c:pt>
                <c:pt idx="727">
                  <c:v>3.9590000000000001</c:v>
                </c:pt>
                <c:pt idx="728">
                  <c:v>3.9830000000000001</c:v>
                </c:pt>
                <c:pt idx="729">
                  <c:v>4.0190000000000001</c:v>
                </c:pt>
                <c:pt idx="730">
                  <c:v>3.9710000000000001</c:v>
                </c:pt>
                <c:pt idx="731">
                  <c:v>3.9750000000000001</c:v>
                </c:pt>
                <c:pt idx="732">
                  <c:v>3.97</c:v>
                </c:pt>
                <c:pt idx="733">
                  <c:v>3.9689999999999999</c:v>
                </c:pt>
                <c:pt idx="734">
                  <c:v>3.9670000000000001</c:v>
                </c:pt>
                <c:pt idx="735">
                  <c:v>4.0270000000000001</c:v>
                </c:pt>
                <c:pt idx="736">
                  <c:v>4.0369999999999999</c:v>
                </c:pt>
                <c:pt idx="737">
                  <c:v>4.0750000000000002</c:v>
                </c:pt>
                <c:pt idx="738">
                  <c:v>4.0119999999999996</c:v>
                </c:pt>
                <c:pt idx="739">
                  <c:v>4.0679999999999996</c:v>
                </c:pt>
                <c:pt idx="740">
                  <c:v>4.0890000000000004</c:v>
                </c:pt>
                <c:pt idx="741">
                  <c:v>4.08</c:v>
                </c:pt>
                <c:pt idx="742">
                  <c:v>4.08</c:v>
                </c:pt>
                <c:pt idx="743">
                  <c:v>4.141</c:v>
                </c:pt>
                <c:pt idx="744">
                  <c:v>4.0999999999999996</c:v>
                </c:pt>
                <c:pt idx="745">
                  <c:v>4.0999999999999996</c:v>
                </c:pt>
                <c:pt idx="746">
                  <c:v>4.101</c:v>
                </c:pt>
                <c:pt idx="747">
                  <c:v>4.101</c:v>
                </c:pt>
                <c:pt idx="748">
                  <c:v>4.1210000000000004</c:v>
                </c:pt>
                <c:pt idx="749">
                  <c:v>4.12</c:v>
                </c:pt>
                <c:pt idx="750">
                  <c:v>4.1639999999999997</c:v>
                </c:pt>
                <c:pt idx="751">
                  <c:v>4.1210000000000004</c:v>
                </c:pt>
                <c:pt idx="752">
                  <c:v>4.1180000000000003</c:v>
                </c:pt>
                <c:pt idx="753">
                  <c:v>4.1189999999999998</c:v>
                </c:pt>
                <c:pt idx="754">
                  <c:v>4.1219999999999999</c:v>
                </c:pt>
                <c:pt idx="755">
                  <c:v>4.1180000000000003</c:v>
                </c:pt>
                <c:pt idx="756">
                  <c:v>4.1189999999999998</c:v>
                </c:pt>
                <c:pt idx="757">
                  <c:v>4.12</c:v>
                </c:pt>
                <c:pt idx="758">
                  <c:v>4.0629999999999997</c:v>
                </c:pt>
                <c:pt idx="759">
                  <c:v>4.0640000000000001</c:v>
                </c:pt>
                <c:pt idx="760">
                  <c:v>4.0650000000000004</c:v>
                </c:pt>
                <c:pt idx="761">
                  <c:v>4.0599999999999996</c:v>
                </c:pt>
                <c:pt idx="762">
                  <c:v>4.0609999999999999</c:v>
                </c:pt>
                <c:pt idx="763">
                  <c:v>4.0609999999999999</c:v>
                </c:pt>
                <c:pt idx="764">
                  <c:v>4.0220000000000002</c:v>
                </c:pt>
                <c:pt idx="765">
                  <c:v>4.0220000000000002</c:v>
                </c:pt>
                <c:pt idx="766">
                  <c:v>4.0220000000000002</c:v>
                </c:pt>
                <c:pt idx="767">
                  <c:v>4.0220000000000002</c:v>
                </c:pt>
                <c:pt idx="768">
                  <c:v>4.0209999999999999</c:v>
                </c:pt>
                <c:pt idx="769">
                  <c:v>4.0209999999999999</c:v>
                </c:pt>
                <c:pt idx="770">
                  <c:v>4.0119999999999996</c:v>
                </c:pt>
                <c:pt idx="771">
                  <c:v>4.008</c:v>
                </c:pt>
                <c:pt idx="772">
                  <c:v>4.0570000000000004</c:v>
                </c:pt>
                <c:pt idx="773">
                  <c:v>4.0110000000000001</c:v>
                </c:pt>
                <c:pt idx="774">
                  <c:v>4.01</c:v>
                </c:pt>
                <c:pt idx="775">
                  <c:v>4.0579999999999998</c:v>
                </c:pt>
                <c:pt idx="776">
                  <c:v>4.0579999999999998</c:v>
                </c:pt>
                <c:pt idx="777">
                  <c:v>4.0579999999999998</c:v>
                </c:pt>
                <c:pt idx="778">
                  <c:v>4.01</c:v>
                </c:pt>
                <c:pt idx="779">
                  <c:v>4.0129999999999999</c:v>
                </c:pt>
                <c:pt idx="780">
                  <c:v>3.984</c:v>
                </c:pt>
                <c:pt idx="781">
                  <c:v>3.984</c:v>
                </c:pt>
                <c:pt idx="782">
                  <c:v>3.8490000000000002</c:v>
                </c:pt>
                <c:pt idx="783">
                  <c:v>3.9729999999999999</c:v>
                </c:pt>
                <c:pt idx="784">
                  <c:v>3.976</c:v>
                </c:pt>
                <c:pt idx="785">
                  <c:v>3.9860000000000002</c:v>
                </c:pt>
                <c:pt idx="786">
                  <c:v>3.97</c:v>
                </c:pt>
                <c:pt idx="787">
                  <c:v>3.9740000000000002</c:v>
                </c:pt>
                <c:pt idx="788">
                  <c:v>3.968</c:v>
                </c:pt>
                <c:pt idx="789">
                  <c:v>3.972</c:v>
                </c:pt>
                <c:pt idx="790">
                  <c:v>3.9769999999999999</c:v>
                </c:pt>
                <c:pt idx="791">
                  <c:v>3.976</c:v>
                </c:pt>
                <c:pt idx="792">
                  <c:v>3.9510000000000001</c:v>
                </c:pt>
                <c:pt idx="793">
                  <c:v>3.9580000000000002</c:v>
                </c:pt>
                <c:pt idx="794">
                  <c:v>3.968</c:v>
                </c:pt>
                <c:pt idx="795">
                  <c:v>3.98</c:v>
                </c:pt>
                <c:pt idx="796">
                  <c:v>3.9750000000000001</c:v>
                </c:pt>
                <c:pt idx="797">
                  <c:v>3.9609999999999999</c:v>
                </c:pt>
                <c:pt idx="798">
                  <c:v>3.992</c:v>
                </c:pt>
                <c:pt idx="799">
                  <c:v>3.9950000000000001</c:v>
                </c:pt>
                <c:pt idx="800">
                  <c:v>3.98</c:v>
                </c:pt>
                <c:pt idx="801">
                  <c:v>3.9940000000000002</c:v>
                </c:pt>
                <c:pt idx="802">
                  <c:v>3.9929999999999999</c:v>
                </c:pt>
                <c:pt idx="803">
                  <c:v>3.9929999999999999</c:v>
                </c:pt>
                <c:pt idx="804">
                  <c:v>4.1589999999999998</c:v>
                </c:pt>
                <c:pt idx="805">
                  <c:v>4.0069999999999997</c:v>
                </c:pt>
                <c:pt idx="806">
                  <c:v>4.0119999999999996</c:v>
                </c:pt>
                <c:pt idx="807">
                  <c:v>4.0220000000000002</c:v>
                </c:pt>
                <c:pt idx="808">
                  <c:v>4.0220000000000002</c:v>
                </c:pt>
                <c:pt idx="809">
                  <c:v>4.0220000000000002</c:v>
                </c:pt>
                <c:pt idx="810">
                  <c:v>4.0220000000000002</c:v>
                </c:pt>
                <c:pt idx="811">
                  <c:v>4.0220000000000002</c:v>
                </c:pt>
                <c:pt idx="812">
                  <c:v>4.0279999999999996</c:v>
                </c:pt>
                <c:pt idx="813">
                  <c:v>4.0229999999999997</c:v>
                </c:pt>
                <c:pt idx="814">
                  <c:v>4.0170000000000003</c:v>
                </c:pt>
                <c:pt idx="815">
                  <c:v>4.0789999999999997</c:v>
                </c:pt>
                <c:pt idx="816">
                  <c:v>4.0759999999999996</c:v>
                </c:pt>
                <c:pt idx="817">
                  <c:v>4.1159999999999997</c:v>
                </c:pt>
                <c:pt idx="818">
                  <c:v>4.0410000000000004</c:v>
                </c:pt>
                <c:pt idx="819">
                  <c:v>4.0359999999999996</c:v>
                </c:pt>
                <c:pt idx="820">
                  <c:v>4.0359999999999996</c:v>
                </c:pt>
                <c:pt idx="821">
                  <c:v>4.0599999999999996</c:v>
                </c:pt>
                <c:pt idx="822">
                  <c:v>4.0419999999999998</c:v>
                </c:pt>
                <c:pt idx="823">
                  <c:v>4.0419999999999998</c:v>
                </c:pt>
                <c:pt idx="824">
                  <c:v>4.0270000000000001</c:v>
                </c:pt>
                <c:pt idx="825">
                  <c:v>4.0369999999999999</c:v>
                </c:pt>
                <c:pt idx="826">
                  <c:v>4.0220000000000002</c:v>
                </c:pt>
                <c:pt idx="827">
                  <c:v>4.0430000000000001</c:v>
                </c:pt>
                <c:pt idx="828">
                  <c:v>4.0110000000000001</c:v>
                </c:pt>
                <c:pt idx="829">
                  <c:v>4.0279999999999996</c:v>
                </c:pt>
                <c:pt idx="830">
                  <c:v>4.0439999999999996</c:v>
                </c:pt>
                <c:pt idx="831">
                  <c:v>4.056</c:v>
                </c:pt>
                <c:pt idx="832">
                  <c:v>4.0519999999999996</c:v>
                </c:pt>
                <c:pt idx="833">
                  <c:v>4.056</c:v>
                </c:pt>
                <c:pt idx="834">
                  <c:v>4.1429999999999998</c:v>
                </c:pt>
                <c:pt idx="835">
                  <c:v>4.024</c:v>
                </c:pt>
                <c:pt idx="836">
                  <c:v>4.024</c:v>
                </c:pt>
                <c:pt idx="837">
                  <c:v>4.024</c:v>
                </c:pt>
                <c:pt idx="838">
                  <c:v>4.024</c:v>
                </c:pt>
                <c:pt idx="839">
                  <c:v>4.1219999999999999</c:v>
                </c:pt>
                <c:pt idx="840">
                  <c:v>4.0279999999999996</c:v>
                </c:pt>
                <c:pt idx="841">
                  <c:v>4.0279999999999996</c:v>
                </c:pt>
                <c:pt idx="842">
                  <c:v>4.0270000000000001</c:v>
                </c:pt>
                <c:pt idx="843">
                  <c:v>4.2249999999999996</c:v>
                </c:pt>
                <c:pt idx="844">
                  <c:v>4.032</c:v>
                </c:pt>
                <c:pt idx="845">
                  <c:v>4.032</c:v>
                </c:pt>
                <c:pt idx="846">
                  <c:v>4.032</c:v>
                </c:pt>
                <c:pt idx="847">
                  <c:v>4.0369999999999999</c:v>
                </c:pt>
                <c:pt idx="848">
                  <c:v>4.032</c:v>
                </c:pt>
                <c:pt idx="849">
                  <c:v>4.1589999999999998</c:v>
                </c:pt>
                <c:pt idx="850">
                  <c:v>4.0529999999999999</c:v>
                </c:pt>
                <c:pt idx="851">
                  <c:v>4.069</c:v>
                </c:pt>
                <c:pt idx="852">
                  <c:v>3.9649999999999999</c:v>
                </c:pt>
                <c:pt idx="853">
                  <c:v>3.96</c:v>
                </c:pt>
                <c:pt idx="854">
                  <c:v>3.9649999999999999</c:v>
                </c:pt>
                <c:pt idx="855">
                  <c:v>3.9089999999999998</c:v>
                </c:pt>
                <c:pt idx="856">
                  <c:v>3.915</c:v>
                </c:pt>
                <c:pt idx="857">
                  <c:v>3.91</c:v>
                </c:pt>
                <c:pt idx="858">
                  <c:v>3.9079999999999999</c:v>
                </c:pt>
                <c:pt idx="859">
                  <c:v>3.9039999999999999</c:v>
                </c:pt>
                <c:pt idx="860">
                  <c:v>3.911</c:v>
                </c:pt>
                <c:pt idx="861">
                  <c:v>3.9049999999999998</c:v>
                </c:pt>
                <c:pt idx="862">
                  <c:v>3.9039999999999999</c:v>
                </c:pt>
                <c:pt idx="863">
                  <c:v>3.907</c:v>
                </c:pt>
                <c:pt idx="864">
                  <c:v>3.8969999999999998</c:v>
                </c:pt>
                <c:pt idx="865">
                  <c:v>3.8860000000000001</c:v>
                </c:pt>
                <c:pt idx="866">
                  <c:v>3.883</c:v>
                </c:pt>
                <c:pt idx="867">
                  <c:v>3.8860000000000001</c:v>
                </c:pt>
                <c:pt idx="868">
                  <c:v>3.8860000000000001</c:v>
                </c:pt>
                <c:pt idx="869">
                  <c:v>3.8849999999999998</c:v>
                </c:pt>
                <c:pt idx="870">
                  <c:v>3.8780000000000001</c:v>
                </c:pt>
                <c:pt idx="871">
                  <c:v>3.891</c:v>
                </c:pt>
                <c:pt idx="872">
                  <c:v>3.8820000000000001</c:v>
                </c:pt>
                <c:pt idx="873">
                  <c:v>3.887</c:v>
                </c:pt>
                <c:pt idx="874">
                  <c:v>3.887</c:v>
                </c:pt>
                <c:pt idx="875">
                  <c:v>3.7770000000000001</c:v>
                </c:pt>
                <c:pt idx="876">
                  <c:v>3.802</c:v>
                </c:pt>
                <c:pt idx="877">
                  <c:v>3.7989999999999999</c:v>
                </c:pt>
                <c:pt idx="878">
                  <c:v>3.8010000000000002</c:v>
                </c:pt>
                <c:pt idx="879">
                  <c:v>3.7559999999999998</c:v>
                </c:pt>
                <c:pt idx="880">
                  <c:v>3.7530000000000001</c:v>
                </c:pt>
                <c:pt idx="881">
                  <c:v>3.754</c:v>
                </c:pt>
                <c:pt idx="882">
                  <c:v>3.7429999999999999</c:v>
                </c:pt>
                <c:pt idx="883">
                  <c:v>3.7429999999999999</c:v>
                </c:pt>
                <c:pt idx="884">
                  <c:v>3.734</c:v>
                </c:pt>
                <c:pt idx="885">
                  <c:v>3.7429999999999999</c:v>
                </c:pt>
                <c:pt idx="886">
                  <c:v>3.7309999999999999</c:v>
                </c:pt>
                <c:pt idx="887">
                  <c:v>3.7360000000000002</c:v>
                </c:pt>
                <c:pt idx="888">
                  <c:v>3.75</c:v>
                </c:pt>
                <c:pt idx="889">
                  <c:v>3.7490000000000001</c:v>
                </c:pt>
                <c:pt idx="890">
                  <c:v>3.746</c:v>
                </c:pt>
                <c:pt idx="891">
                  <c:v>3.7469999999999999</c:v>
                </c:pt>
                <c:pt idx="892">
                  <c:v>3.734</c:v>
                </c:pt>
                <c:pt idx="893">
                  <c:v>3.7330000000000001</c:v>
                </c:pt>
                <c:pt idx="894">
                  <c:v>3.7330000000000001</c:v>
                </c:pt>
                <c:pt idx="895">
                  <c:v>3.7389999999999999</c:v>
                </c:pt>
                <c:pt idx="896">
                  <c:v>3.7509999999999999</c:v>
                </c:pt>
                <c:pt idx="897">
                  <c:v>3.7309999999999999</c:v>
                </c:pt>
                <c:pt idx="898">
                  <c:v>3.7210000000000001</c:v>
                </c:pt>
                <c:pt idx="899">
                  <c:v>3.7189999999999999</c:v>
                </c:pt>
                <c:pt idx="900">
                  <c:v>3.72</c:v>
                </c:pt>
                <c:pt idx="901">
                  <c:v>3.7149999999999999</c:v>
                </c:pt>
                <c:pt idx="902">
                  <c:v>3.657</c:v>
                </c:pt>
                <c:pt idx="903">
                  <c:v>3.6179999999999999</c:v>
                </c:pt>
                <c:pt idx="904">
                  <c:v>3.6179999999999999</c:v>
                </c:pt>
                <c:pt idx="905">
                  <c:v>3.6179999999999999</c:v>
                </c:pt>
                <c:pt idx="906">
                  <c:v>3.6219999999999999</c:v>
                </c:pt>
                <c:pt idx="907">
                  <c:v>3.617</c:v>
                </c:pt>
                <c:pt idx="908">
                  <c:v>3.621</c:v>
                </c:pt>
                <c:pt idx="909">
                  <c:v>3.6190000000000002</c:v>
                </c:pt>
                <c:pt idx="910">
                  <c:v>3.6190000000000002</c:v>
                </c:pt>
                <c:pt idx="911">
                  <c:v>3.637</c:v>
                </c:pt>
                <c:pt idx="912">
                  <c:v>3.6179999999999999</c:v>
                </c:pt>
                <c:pt idx="913">
                  <c:v>3.6320000000000001</c:v>
                </c:pt>
                <c:pt idx="914">
                  <c:v>3.6309999999999998</c:v>
                </c:pt>
                <c:pt idx="915">
                  <c:v>3.6360000000000001</c:v>
                </c:pt>
                <c:pt idx="916">
                  <c:v>3.6309999999999998</c:v>
                </c:pt>
                <c:pt idx="917">
                  <c:v>3.63</c:v>
                </c:pt>
                <c:pt idx="918">
                  <c:v>3.63</c:v>
                </c:pt>
                <c:pt idx="919">
                  <c:v>3.6240000000000001</c:v>
                </c:pt>
                <c:pt idx="920">
                  <c:v>3.629</c:v>
                </c:pt>
                <c:pt idx="921">
                  <c:v>3.6230000000000002</c:v>
                </c:pt>
                <c:pt idx="922">
                  <c:v>3.6219999999999999</c:v>
                </c:pt>
                <c:pt idx="923">
                  <c:v>3.5539999999999998</c:v>
                </c:pt>
                <c:pt idx="924">
                  <c:v>3.5550000000000002</c:v>
                </c:pt>
                <c:pt idx="925">
                  <c:v>3.5489999999999999</c:v>
                </c:pt>
                <c:pt idx="926">
                  <c:v>3.548</c:v>
                </c:pt>
                <c:pt idx="927">
                  <c:v>3.5419999999999998</c:v>
                </c:pt>
                <c:pt idx="928">
                  <c:v>3.54</c:v>
                </c:pt>
                <c:pt idx="929">
                  <c:v>3.532</c:v>
                </c:pt>
                <c:pt idx="930">
                  <c:v>3.5249999999999999</c:v>
                </c:pt>
                <c:pt idx="931">
                  <c:v>3.5230000000000001</c:v>
                </c:pt>
                <c:pt idx="932">
                  <c:v>3.5219999999999998</c:v>
                </c:pt>
                <c:pt idx="933">
                  <c:v>3.5150000000000001</c:v>
                </c:pt>
                <c:pt idx="934">
                  <c:v>3.504</c:v>
                </c:pt>
                <c:pt idx="935">
                  <c:v>3.4820000000000002</c:v>
                </c:pt>
                <c:pt idx="936">
                  <c:v>3.464</c:v>
                </c:pt>
                <c:pt idx="937">
                  <c:v>3.456</c:v>
                </c:pt>
                <c:pt idx="938">
                  <c:v>3.4689999999999999</c:v>
                </c:pt>
                <c:pt idx="939">
                  <c:v>3.427</c:v>
                </c:pt>
                <c:pt idx="940">
                  <c:v>3.4350000000000001</c:v>
                </c:pt>
                <c:pt idx="941">
                  <c:v>3.484</c:v>
                </c:pt>
                <c:pt idx="942">
                  <c:v>3.4049999999999998</c:v>
                </c:pt>
                <c:pt idx="943">
                  <c:v>3.4129999999999998</c:v>
                </c:pt>
                <c:pt idx="944">
                  <c:v>3.3889999999999998</c:v>
                </c:pt>
                <c:pt idx="945">
                  <c:v>3.2989999999999999</c:v>
                </c:pt>
                <c:pt idx="946">
                  <c:v>3.2789999999999999</c:v>
                </c:pt>
                <c:pt idx="947">
                  <c:v>3.2789999999999999</c:v>
                </c:pt>
                <c:pt idx="948">
                  <c:v>3.3239999999999998</c:v>
                </c:pt>
                <c:pt idx="949">
                  <c:v>3.278</c:v>
                </c:pt>
                <c:pt idx="950">
                  <c:v>3.278</c:v>
                </c:pt>
                <c:pt idx="951">
                  <c:v>3.282</c:v>
                </c:pt>
                <c:pt idx="952">
                  <c:v>3.278</c:v>
                </c:pt>
                <c:pt idx="953">
                  <c:v>3.282</c:v>
                </c:pt>
                <c:pt idx="954">
                  <c:v>3.2589999999999999</c:v>
                </c:pt>
                <c:pt idx="955">
                  <c:v>3.282</c:v>
                </c:pt>
                <c:pt idx="956">
                  <c:v>3.258</c:v>
                </c:pt>
                <c:pt idx="957">
                  <c:v>3.2429999999999999</c:v>
                </c:pt>
                <c:pt idx="958">
                  <c:v>3.2519999999999998</c:v>
                </c:pt>
                <c:pt idx="959">
                  <c:v>3.246</c:v>
                </c:pt>
                <c:pt idx="960">
                  <c:v>3.2509999999999999</c:v>
                </c:pt>
                <c:pt idx="961">
                  <c:v>3.2290000000000001</c:v>
                </c:pt>
                <c:pt idx="962">
                  <c:v>3.2290000000000001</c:v>
                </c:pt>
                <c:pt idx="963">
                  <c:v>3.2280000000000002</c:v>
                </c:pt>
                <c:pt idx="964">
                  <c:v>3.22</c:v>
                </c:pt>
                <c:pt idx="965">
                  <c:v>3.2080000000000002</c:v>
                </c:pt>
                <c:pt idx="966">
                  <c:v>3.2010000000000001</c:v>
                </c:pt>
                <c:pt idx="967">
                  <c:v>3.2</c:v>
                </c:pt>
                <c:pt idx="968">
                  <c:v>3.1619999999999999</c:v>
                </c:pt>
                <c:pt idx="969">
                  <c:v>3.1379999999999999</c:v>
                </c:pt>
                <c:pt idx="970">
                  <c:v>3.0419999999999998</c:v>
                </c:pt>
                <c:pt idx="971">
                  <c:v>3.03</c:v>
                </c:pt>
                <c:pt idx="972">
                  <c:v>2.996</c:v>
                </c:pt>
                <c:pt idx="973">
                  <c:v>2.9969999999999999</c:v>
                </c:pt>
                <c:pt idx="974">
                  <c:v>2.9950000000000001</c:v>
                </c:pt>
                <c:pt idx="975">
                  <c:v>2.87</c:v>
                </c:pt>
                <c:pt idx="976">
                  <c:v>2.9169999999999998</c:v>
                </c:pt>
                <c:pt idx="977">
                  <c:v>2.9740000000000002</c:v>
                </c:pt>
                <c:pt idx="978">
                  <c:v>2.99</c:v>
                </c:pt>
                <c:pt idx="979">
                  <c:v>2.9729999999999999</c:v>
                </c:pt>
                <c:pt idx="980">
                  <c:v>2.9729999999999999</c:v>
                </c:pt>
                <c:pt idx="981">
                  <c:v>2.9740000000000002</c:v>
                </c:pt>
                <c:pt idx="982">
                  <c:v>3.0070000000000001</c:v>
                </c:pt>
                <c:pt idx="983">
                  <c:v>3.0030000000000001</c:v>
                </c:pt>
                <c:pt idx="984">
                  <c:v>3.0070000000000001</c:v>
                </c:pt>
                <c:pt idx="985">
                  <c:v>2.9009999999999998</c:v>
                </c:pt>
                <c:pt idx="986">
                  <c:v>2.9129999999999998</c:v>
                </c:pt>
                <c:pt idx="987">
                  <c:v>2.9129999999999998</c:v>
                </c:pt>
                <c:pt idx="988">
                  <c:v>2.9169999999999998</c:v>
                </c:pt>
                <c:pt idx="989">
                  <c:v>2.9079999999999999</c:v>
                </c:pt>
                <c:pt idx="990">
                  <c:v>2.9169999999999998</c:v>
                </c:pt>
                <c:pt idx="991">
                  <c:v>2.9039999999999999</c:v>
                </c:pt>
                <c:pt idx="992">
                  <c:v>2.9039999999999999</c:v>
                </c:pt>
                <c:pt idx="993">
                  <c:v>2.823</c:v>
                </c:pt>
                <c:pt idx="994">
                  <c:v>2.8849999999999998</c:v>
                </c:pt>
                <c:pt idx="995">
                  <c:v>2.8610000000000002</c:v>
                </c:pt>
                <c:pt idx="996">
                  <c:v>2.851</c:v>
                </c:pt>
                <c:pt idx="997">
                  <c:v>2.855</c:v>
                </c:pt>
                <c:pt idx="998">
                  <c:v>2.8149999999999999</c:v>
                </c:pt>
                <c:pt idx="999">
                  <c:v>2.8210000000000002</c:v>
                </c:pt>
                <c:pt idx="1000">
                  <c:v>2.819</c:v>
                </c:pt>
                <c:pt idx="1001">
                  <c:v>2.8079999999999998</c:v>
                </c:pt>
                <c:pt idx="1002">
                  <c:v>2.8119999999999998</c:v>
                </c:pt>
                <c:pt idx="1003">
                  <c:v>2.7829999999999999</c:v>
                </c:pt>
                <c:pt idx="1004">
                  <c:v>2.7440000000000002</c:v>
                </c:pt>
                <c:pt idx="1005">
                  <c:v>2.7530000000000001</c:v>
                </c:pt>
                <c:pt idx="1006">
                  <c:v>2.75</c:v>
                </c:pt>
                <c:pt idx="1007">
                  <c:v>2.718</c:v>
                </c:pt>
                <c:pt idx="1008">
                  <c:v>2.7149999999999999</c:v>
                </c:pt>
                <c:pt idx="1009">
                  <c:v>2.718</c:v>
                </c:pt>
                <c:pt idx="1010">
                  <c:v>2.7149999999999999</c:v>
                </c:pt>
                <c:pt idx="1011">
                  <c:v>2.2130000000000001</c:v>
                </c:pt>
                <c:pt idx="1012">
                  <c:v>2.7210000000000001</c:v>
                </c:pt>
                <c:pt idx="1013">
                  <c:v>2.6259999999999999</c:v>
                </c:pt>
                <c:pt idx="1014">
                  <c:v>2.6240000000000001</c:v>
                </c:pt>
                <c:pt idx="1015">
                  <c:v>2.625</c:v>
                </c:pt>
                <c:pt idx="1016">
                  <c:v>2.4140000000000001</c:v>
                </c:pt>
                <c:pt idx="1017">
                  <c:v>2.605</c:v>
                </c:pt>
                <c:pt idx="1018">
                  <c:v>2.6190000000000002</c:v>
                </c:pt>
                <c:pt idx="1019">
                  <c:v>2.5939999999999999</c:v>
                </c:pt>
                <c:pt idx="1020">
                  <c:v>2.5950000000000002</c:v>
                </c:pt>
                <c:pt idx="1021">
                  <c:v>2.5859999999999999</c:v>
                </c:pt>
                <c:pt idx="1022">
                  <c:v>2.5859999999999999</c:v>
                </c:pt>
                <c:pt idx="1023">
                  <c:v>2.524</c:v>
                </c:pt>
                <c:pt idx="1024">
                  <c:v>2.6440000000000001</c:v>
                </c:pt>
                <c:pt idx="1025">
                  <c:v>2.5270000000000001</c:v>
                </c:pt>
                <c:pt idx="1026">
                  <c:v>2.5270000000000001</c:v>
                </c:pt>
                <c:pt idx="1027">
                  <c:v>2.4540000000000002</c:v>
                </c:pt>
                <c:pt idx="1028">
                  <c:v>2.359</c:v>
                </c:pt>
                <c:pt idx="1029">
                  <c:v>2.391</c:v>
                </c:pt>
                <c:pt idx="1030">
                  <c:v>2.3780000000000001</c:v>
                </c:pt>
                <c:pt idx="1031">
                  <c:v>2.4</c:v>
                </c:pt>
                <c:pt idx="1032">
                  <c:v>2.4140000000000001</c:v>
                </c:pt>
                <c:pt idx="1033">
                  <c:v>2.3919999999999999</c:v>
                </c:pt>
                <c:pt idx="1034">
                  <c:v>2.391</c:v>
                </c:pt>
                <c:pt idx="1035">
                  <c:v>2.3919999999999999</c:v>
                </c:pt>
                <c:pt idx="1036">
                  <c:v>2.4</c:v>
                </c:pt>
                <c:pt idx="1037">
                  <c:v>2.4</c:v>
                </c:pt>
                <c:pt idx="1038">
                  <c:v>2.4</c:v>
                </c:pt>
                <c:pt idx="1039">
                  <c:v>2.4</c:v>
                </c:pt>
                <c:pt idx="1040">
                  <c:v>2.399</c:v>
                </c:pt>
                <c:pt idx="1041">
                  <c:v>2.4220000000000002</c:v>
                </c:pt>
                <c:pt idx="1042">
                  <c:v>2.4220000000000002</c:v>
                </c:pt>
                <c:pt idx="1043">
                  <c:v>2.4220000000000002</c:v>
                </c:pt>
                <c:pt idx="1044">
                  <c:v>2.399</c:v>
                </c:pt>
                <c:pt idx="1045">
                  <c:v>2.3969999999999998</c:v>
                </c:pt>
                <c:pt idx="1046">
                  <c:v>2.3969999999999998</c:v>
                </c:pt>
                <c:pt idx="1047">
                  <c:v>2.395</c:v>
                </c:pt>
                <c:pt idx="1048">
                  <c:v>2.3660000000000001</c:v>
                </c:pt>
                <c:pt idx="1049">
                  <c:v>2.3210000000000002</c:v>
                </c:pt>
                <c:pt idx="1050">
                  <c:v>2.33</c:v>
                </c:pt>
                <c:pt idx="1051">
                  <c:v>2.3319999999999999</c:v>
                </c:pt>
                <c:pt idx="1052">
                  <c:v>2.3290000000000002</c:v>
                </c:pt>
                <c:pt idx="1053">
                  <c:v>2.327</c:v>
                </c:pt>
                <c:pt idx="1054">
                  <c:v>2.3109999999999999</c:v>
                </c:pt>
                <c:pt idx="1055">
                  <c:v>2.2989999999999999</c:v>
                </c:pt>
                <c:pt idx="1056">
                  <c:v>2.3010000000000002</c:v>
                </c:pt>
                <c:pt idx="1057">
                  <c:v>2.2930000000000001</c:v>
                </c:pt>
                <c:pt idx="1058">
                  <c:v>2.3079999999999998</c:v>
                </c:pt>
                <c:pt idx="1059">
                  <c:v>2.327</c:v>
                </c:pt>
                <c:pt idx="1060">
                  <c:v>2.3290000000000002</c:v>
                </c:pt>
                <c:pt idx="1061">
                  <c:v>2.3260000000000001</c:v>
                </c:pt>
                <c:pt idx="1062">
                  <c:v>2.323</c:v>
                </c:pt>
                <c:pt idx="1063">
                  <c:v>2.3149999999999999</c:v>
                </c:pt>
                <c:pt idx="1064">
                  <c:v>2.3109999999999999</c:v>
                </c:pt>
                <c:pt idx="1065">
                  <c:v>2.3130000000000002</c:v>
                </c:pt>
                <c:pt idx="1066">
                  <c:v>2.294</c:v>
                </c:pt>
                <c:pt idx="1067">
                  <c:v>2.2799999999999998</c:v>
                </c:pt>
                <c:pt idx="1068">
                  <c:v>2.2810000000000001</c:v>
                </c:pt>
                <c:pt idx="1069">
                  <c:v>2.2799999999999998</c:v>
                </c:pt>
                <c:pt idx="1070">
                  <c:v>2.2869999999999999</c:v>
                </c:pt>
                <c:pt idx="1071">
                  <c:v>2.2829999999999999</c:v>
                </c:pt>
                <c:pt idx="1072">
                  <c:v>2.2850000000000001</c:v>
                </c:pt>
                <c:pt idx="1073">
                  <c:v>2.2749999999999999</c:v>
                </c:pt>
                <c:pt idx="1074">
                  <c:v>2.274</c:v>
                </c:pt>
                <c:pt idx="1075">
                  <c:v>2.2749999999999999</c:v>
                </c:pt>
                <c:pt idx="1076">
                  <c:v>2.2799999999999998</c:v>
                </c:pt>
                <c:pt idx="1077">
                  <c:v>2.2770000000000001</c:v>
                </c:pt>
                <c:pt idx="1078">
                  <c:v>2.274</c:v>
                </c:pt>
                <c:pt idx="1079">
                  <c:v>2.2770000000000001</c:v>
                </c:pt>
                <c:pt idx="1080">
                  <c:v>2.278</c:v>
                </c:pt>
                <c:pt idx="1081">
                  <c:v>2.2789999999999999</c:v>
                </c:pt>
                <c:pt idx="1082">
                  <c:v>2.2799999999999998</c:v>
                </c:pt>
                <c:pt idx="1083">
                  <c:v>2.282</c:v>
                </c:pt>
                <c:pt idx="1084">
                  <c:v>2.2810000000000001</c:v>
                </c:pt>
                <c:pt idx="1085">
                  <c:v>2.282</c:v>
                </c:pt>
                <c:pt idx="1086">
                  <c:v>2.2829999999999999</c:v>
                </c:pt>
                <c:pt idx="1087">
                  <c:v>2.2799999999999998</c:v>
                </c:pt>
                <c:pt idx="1088">
                  <c:v>2.286</c:v>
                </c:pt>
                <c:pt idx="1089">
                  <c:v>2.29</c:v>
                </c:pt>
                <c:pt idx="1090">
                  <c:v>2.302</c:v>
                </c:pt>
                <c:pt idx="1091">
                  <c:v>2.2989999999999999</c:v>
                </c:pt>
                <c:pt idx="1092">
                  <c:v>2.2970000000000002</c:v>
                </c:pt>
                <c:pt idx="1093">
                  <c:v>2.294</c:v>
                </c:pt>
                <c:pt idx="1094">
                  <c:v>2.3010000000000002</c:v>
                </c:pt>
                <c:pt idx="1095">
                  <c:v>2.2949999999999999</c:v>
                </c:pt>
                <c:pt idx="1096">
                  <c:v>2.2999999999999998</c:v>
                </c:pt>
                <c:pt idx="1097">
                  <c:v>2.3050000000000002</c:v>
                </c:pt>
                <c:pt idx="1098">
                  <c:v>2.3069999999999999</c:v>
                </c:pt>
                <c:pt idx="1099">
                  <c:v>2.302</c:v>
                </c:pt>
                <c:pt idx="1100">
                  <c:v>2.3039999999999998</c:v>
                </c:pt>
                <c:pt idx="1101">
                  <c:v>2.3050000000000002</c:v>
                </c:pt>
                <c:pt idx="1102">
                  <c:v>2.3069999999999999</c:v>
                </c:pt>
                <c:pt idx="1103">
                  <c:v>2.3170000000000002</c:v>
                </c:pt>
                <c:pt idx="1104">
                  <c:v>2.3039999999999998</c:v>
                </c:pt>
                <c:pt idx="1105">
                  <c:v>2.3050000000000002</c:v>
                </c:pt>
                <c:pt idx="1106">
                  <c:v>2.3069999999999999</c:v>
                </c:pt>
                <c:pt idx="1107">
                  <c:v>2.3090000000000002</c:v>
                </c:pt>
                <c:pt idx="1108">
                  <c:v>2.3050000000000002</c:v>
                </c:pt>
                <c:pt idx="1109">
                  <c:v>2.306</c:v>
                </c:pt>
                <c:pt idx="1110">
                  <c:v>2.282</c:v>
                </c:pt>
                <c:pt idx="1111">
                  <c:v>2.2629999999999999</c:v>
                </c:pt>
                <c:pt idx="1112">
                  <c:v>2.258</c:v>
                </c:pt>
                <c:pt idx="1113">
                  <c:v>2.2410000000000001</c:v>
                </c:pt>
                <c:pt idx="1114">
                  <c:v>2.282</c:v>
                </c:pt>
                <c:pt idx="1115">
                  <c:v>2.2749999999999999</c:v>
                </c:pt>
                <c:pt idx="1116">
                  <c:v>2.2599999999999998</c:v>
                </c:pt>
                <c:pt idx="1117">
                  <c:v>2.2490000000000001</c:v>
                </c:pt>
                <c:pt idx="1118">
                  <c:v>2.2610000000000001</c:v>
                </c:pt>
                <c:pt idx="1119">
                  <c:v>2.2570000000000001</c:v>
                </c:pt>
                <c:pt idx="1120">
                  <c:v>2.2570000000000001</c:v>
                </c:pt>
                <c:pt idx="1121">
                  <c:v>2.2570000000000001</c:v>
                </c:pt>
                <c:pt idx="1122">
                  <c:v>2.2410000000000001</c:v>
                </c:pt>
                <c:pt idx="1123">
                  <c:v>2.242</c:v>
                </c:pt>
                <c:pt idx="1124">
                  <c:v>2.2389999999999999</c:v>
                </c:pt>
                <c:pt idx="1125">
                  <c:v>2.2589999999999999</c:v>
                </c:pt>
                <c:pt idx="1126">
                  <c:v>2.2599999999999998</c:v>
                </c:pt>
                <c:pt idx="1127">
                  <c:v>2.2810000000000001</c:v>
                </c:pt>
                <c:pt idx="1128">
                  <c:v>2.29</c:v>
                </c:pt>
                <c:pt idx="1129">
                  <c:v>2.29</c:v>
                </c:pt>
                <c:pt idx="1130">
                  <c:v>2.2919999999999998</c:v>
                </c:pt>
                <c:pt idx="1131">
                  <c:v>2.3199999999999998</c:v>
                </c:pt>
                <c:pt idx="1132">
                  <c:v>2.3159999999999998</c:v>
                </c:pt>
                <c:pt idx="1133">
                  <c:v>2.2970000000000002</c:v>
                </c:pt>
                <c:pt idx="1134">
                  <c:v>2.3029999999999999</c:v>
                </c:pt>
                <c:pt idx="1135">
                  <c:v>2.3017500000000002</c:v>
                </c:pt>
                <c:pt idx="1136">
                  <c:v>2.3066399999999998</c:v>
                </c:pt>
                <c:pt idx="1137">
                  <c:v>2.319</c:v>
                </c:pt>
                <c:pt idx="1138">
                  <c:v>2.3050000000000002</c:v>
                </c:pt>
                <c:pt idx="1139">
                  <c:v>2.3050000000000002</c:v>
                </c:pt>
                <c:pt idx="1140">
                  <c:v>2.3069999999999999</c:v>
                </c:pt>
                <c:pt idx="1141">
                  <c:v>2.2999999999999998</c:v>
                </c:pt>
                <c:pt idx="1142">
                  <c:v>2.2930000000000001</c:v>
                </c:pt>
                <c:pt idx="1143">
                  <c:v>2.294</c:v>
                </c:pt>
                <c:pt idx="1144">
                  <c:v>2.294</c:v>
                </c:pt>
                <c:pt idx="1145">
                  <c:v>2.2949999999999999</c:v>
                </c:pt>
                <c:pt idx="1146">
                  <c:v>2.3220000000000001</c:v>
                </c:pt>
                <c:pt idx="1147">
                  <c:v>2.2949999999999999</c:v>
                </c:pt>
                <c:pt idx="1148">
                  <c:v>2.2949999999999999</c:v>
                </c:pt>
                <c:pt idx="1149">
                  <c:v>2.2949999999999999</c:v>
                </c:pt>
                <c:pt idx="1150">
                  <c:v>2.2909999999999999</c:v>
                </c:pt>
                <c:pt idx="1151">
                  <c:v>2.274</c:v>
                </c:pt>
                <c:pt idx="1152">
                  <c:v>2.2610000000000001</c:v>
                </c:pt>
                <c:pt idx="1153">
                  <c:v>2.2599999999999998</c:v>
                </c:pt>
                <c:pt idx="1154">
                  <c:v>2.246</c:v>
                </c:pt>
                <c:pt idx="1155">
                  <c:v>2.246</c:v>
                </c:pt>
                <c:pt idx="1156">
                  <c:v>2.2210000000000001</c:v>
                </c:pt>
                <c:pt idx="1157">
                  <c:v>2.206</c:v>
                </c:pt>
                <c:pt idx="1158">
                  <c:v>2.2029999999999998</c:v>
                </c:pt>
                <c:pt idx="1159">
                  <c:v>2.1960000000000002</c:v>
                </c:pt>
                <c:pt idx="1160">
                  <c:v>2.1960000000000002</c:v>
                </c:pt>
                <c:pt idx="1161">
                  <c:v>2.1880000000000002</c:v>
                </c:pt>
                <c:pt idx="1162">
                  <c:v>2.1960000000000002</c:v>
                </c:pt>
                <c:pt idx="1163">
                  <c:v>2.1579999999999999</c:v>
                </c:pt>
                <c:pt idx="1164">
                  <c:v>2.1579999999999999</c:v>
                </c:pt>
                <c:pt idx="1165">
                  <c:v>2.1579999999999999</c:v>
                </c:pt>
                <c:pt idx="1166">
                  <c:v>2.145</c:v>
                </c:pt>
                <c:pt idx="1167">
                  <c:v>2.149</c:v>
                </c:pt>
                <c:pt idx="1168">
                  <c:v>2.1480000000000001</c:v>
                </c:pt>
                <c:pt idx="1169">
                  <c:v>2.1469999999999998</c:v>
                </c:pt>
                <c:pt idx="1170">
                  <c:v>2.1190000000000002</c:v>
                </c:pt>
                <c:pt idx="1171">
                  <c:v>2.109</c:v>
                </c:pt>
                <c:pt idx="1172">
                  <c:v>2.1030000000000002</c:v>
                </c:pt>
                <c:pt idx="1173">
                  <c:v>2.1019999999999999</c:v>
                </c:pt>
                <c:pt idx="1174">
                  <c:v>2.0990000000000002</c:v>
                </c:pt>
                <c:pt idx="1175">
                  <c:v>2.0979999999999999</c:v>
                </c:pt>
                <c:pt idx="1176">
                  <c:v>2.1120000000000001</c:v>
                </c:pt>
                <c:pt idx="1177">
                  <c:v>2.101</c:v>
                </c:pt>
                <c:pt idx="1178">
                  <c:v>2.0990000000000002</c:v>
                </c:pt>
                <c:pt idx="1179">
                  <c:v>2.0960000000000001</c:v>
                </c:pt>
                <c:pt idx="1180">
                  <c:v>2.0529999999999999</c:v>
                </c:pt>
                <c:pt idx="1181">
                  <c:v>2.0760000000000001</c:v>
                </c:pt>
                <c:pt idx="1182">
                  <c:v>2.0630000000000002</c:v>
                </c:pt>
                <c:pt idx="1183">
                  <c:v>2.0569999999999999</c:v>
                </c:pt>
                <c:pt idx="1184">
                  <c:v>2.0659999999999998</c:v>
                </c:pt>
                <c:pt idx="1185">
                  <c:v>2.0680000000000001</c:v>
                </c:pt>
                <c:pt idx="1186">
                  <c:v>2.0670000000000002</c:v>
                </c:pt>
                <c:pt idx="1187">
                  <c:v>2.0699999999999998</c:v>
                </c:pt>
                <c:pt idx="1188">
                  <c:v>2.073</c:v>
                </c:pt>
                <c:pt idx="1189">
                  <c:v>2.069</c:v>
                </c:pt>
                <c:pt idx="1190">
                  <c:v>2.0680000000000001</c:v>
                </c:pt>
                <c:pt idx="1191">
                  <c:v>2.0710000000000002</c:v>
                </c:pt>
                <c:pt idx="1192">
                  <c:v>2.069</c:v>
                </c:pt>
                <c:pt idx="1193">
                  <c:v>2.0680000000000001</c:v>
                </c:pt>
                <c:pt idx="1194">
                  <c:v>2.0630000000000002</c:v>
                </c:pt>
                <c:pt idx="1195">
                  <c:v>2.0619999999999998</c:v>
                </c:pt>
                <c:pt idx="1196">
                  <c:v>2.0710000000000002</c:v>
                </c:pt>
                <c:pt idx="1197">
                  <c:v>2.0640000000000001</c:v>
                </c:pt>
                <c:pt idx="1198">
                  <c:v>2.0680000000000001</c:v>
                </c:pt>
                <c:pt idx="1199">
                  <c:v>2.0569999999999999</c:v>
                </c:pt>
                <c:pt idx="1200">
                  <c:v>2.0609999999999999</c:v>
                </c:pt>
                <c:pt idx="1201">
                  <c:v>2.0590000000000002</c:v>
                </c:pt>
                <c:pt idx="1202">
                  <c:v>2.0569999999999999</c:v>
                </c:pt>
                <c:pt idx="1203">
                  <c:v>2.036</c:v>
                </c:pt>
                <c:pt idx="1204">
                  <c:v>2.0270000000000001</c:v>
                </c:pt>
                <c:pt idx="1205">
                  <c:v>2.0299999999999998</c:v>
                </c:pt>
                <c:pt idx="1206">
                  <c:v>2.028</c:v>
                </c:pt>
                <c:pt idx="1207">
                  <c:v>2.0299999999999998</c:v>
                </c:pt>
                <c:pt idx="1208">
                  <c:v>2.0489999999999999</c:v>
                </c:pt>
                <c:pt idx="1209">
                  <c:v>2.032</c:v>
                </c:pt>
                <c:pt idx="1210">
                  <c:v>2.0299999999999998</c:v>
                </c:pt>
                <c:pt idx="1211">
                  <c:v>2.028</c:v>
                </c:pt>
                <c:pt idx="1212">
                  <c:v>2.0310000000000001</c:v>
                </c:pt>
                <c:pt idx="1213">
                  <c:v>2.0289999999999999</c:v>
                </c:pt>
                <c:pt idx="1214">
                  <c:v>2.028</c:v>
                </c:pt>
                <c:pt idx="1215">
                  <c:v>2.0259999999999998</c:v>
                </c:pt>
                <c:pt idx="1216">
                  <c:v>2.024</c:v>
                </c:pt>
                <c:pt idx="1217">
                  <c:v>2.0219999999999998</c:v>
                </c:pt>
                <c:pt idx="1218">
                  <c:v>2.0339999999999998</c:v>
                </c:pt>
                <c:pt idx="1219">
                  <c:v>2.0329999999999999</c:v>
                </c:pt>
                <c:pt idx="1220">
                  <c:v>2.0310000000000001</c:v>
                </c:pt>
                <c:pt idx="1221">
                  <c:v>2.0339999999999998</c:v>
                </c:pt>
                <c:pt idx="1222">
                  <c:v>2.0369999999999999</c:v>
                </c:pt>
                <c:pt idx="1223">
                  <c:v>1.998</c:v>
                </c:pt>
                <c:pt idx="1224">
                  <c:v>2.0009999999999999</c:v>
                </c:pt>
                <c:pt idx="1225">
                  <c:v>1.998</c:v>
                </c:pt>
                <c:pt idx="1226">
                  <c:v>2.024</c:v>
                </c:pt>
                <c:pt idx="1227">
                  <c:v>2.0019999999999998</c:v>
                </c:pt>
                <c:pt idx="1228">
                  <c:v>2</c:v>
                </c:pt>
                <c:pt idx="1229">
                  <c:v>2.036</c:v>
                </c:pt>
                <c:pt idx="1230">
                  <c:v>2.0339999999999998</c:v>
                </c:pt>
                <c:pt idx="1231">
                  <c:v>2.032</c:v>
                </c:pt>
                <c:pt idx="1232">
                  <c:v>1.891</c:v>
                </c:pt>
                <c:pt idx="1233">
                  <c:v>1.9</c:v>
                </c:pt>
                <c:pt idx="1234">
                  <c:v>1.881</c:v>
                </c:pt>
                <c:pt idx="1235">
                  <c:v>1.877</c:v>
                </c:pt>
                <c:pt idx="1236">
                  <c:v>1.8680000000000001</c:v>
                </c:pt>
                <c:pt idx="1237">
                  <c:v>1.8779999999999999</c:v>
                </c:pt>
                <c:pt idx="1238">
                  <c:v>1.879</c:v>
                </c:pt>
                <c:pt idx="1239">
                  <c:v>1.8819999999999999</c:v>
                </c:pt>
                <c:pt idx="1240">
                  <c:v>1.8779999999999999</c:v>
                </c:pt>
                <c:pt idx="1241">
                  <c:v>1.8740000000000001</c:v>
                </c:pt>
                <c:pt idx="1242">
                  <c:v>1.869</c:v>
                </c:pt>
                <c:pt idx="1243">
                  <c:v>1.865</c:v>
                </c:pt>
                <c:pt idx="1244">
                  <c:v>1.867</c:v>
                </c:pt>
                <c:pt idx="1245">
                  <c:v>1.8680000000000001</c:v>
                </c:pt>
                <c:pt idx="1246">
                  <c:v>1.863</c:v>
                </c:pt>
                <c:pt idx="1247">
                  <c:v>1.8520000000000001</c:v>
                </c:pt>
                <c:pt idx="1248">
                  <c:v>1.859</c:v>
                </c:pt>
                <c:pt idx="1249">
                  <c:v>1.8240000000000001</c:v>
                </c:pt>
                <c:pt idx="1250">
                  <c:v>1.84</c:v>
                </c:pt>
                <c:pt idx="1251">
                  <c:v>1.8480000000000001</c:v>
                </c:pt>
                <c:pt idx="1252">
                  <c:v>1.84</c:v>
                </c:pt>
                <c:pt idx="1253">
                  <c:v>1.841</c:v>
                </c:pt>
                <c:pt idx="1254">
                  <c:v>1.85</c:v>
                </c:pt>
                <c:pt idx="1255">
                  <c:v>1.8420000000000001</c:v>
                </c:pt>
                <c:pt idx="1256">
                  <c:v>1.8340000000000001</c:v>
                </c:pt>
                <c:pt idx="1257">
                  <c:v>1.825</c:v>
                </c:pt>
                <c:pt idx="1258">
                  <c:v>1.8340000000000001</c:v>
                </c:pt>
                <c:pt idx="1259">
                  <c:v>1.835</c:v>
                </c:pt>
                <c:pt idx="1260">
                  <c:v>1.8440000000000001</c:v>
                </c:pt>
                <c:pt idx="1261">
                  <c:v>1.84</c:v>
                </c:pt>
                <c:pt idx="1262">
                  <c:v>1.845</c:v>
                </c:pt>
                <c:pt idx="1263">
                  <c:v>1.845</c:v>
                </c:pt>
                <c:pt idx="1264">
                  <c:v>1.857</c:v>
                </c:pt>
                <c:pt idx="1265">
                  <c:v>1.8520000000000001</c:v>
                </c:pt>
                <c:pt idx="1266">
                  <c:v>1.8680000000000001</c:v>
                </c:pt>
                <c:pt idx="1267">
                  <c:v>1.8540000000000001</c:v>
                </c:pt>
                <c:pt idx="1268">
                  <c:v>1.859</c:v>
                </c:pt>
                <c:pt idx="1269">
                  <c:v>1.8779999999999999</c:v>
                </c:pt>
                <c:pt idx="1270">
                  <c:v>1.8740000000000001</c:v>
                </c:pt>
                <c:pt idx="1271">
                  <c:v>1.875</c:v>
                </c:pt>
                <c:pt idx="1272">
                  <c:v>1.8640000000000001</c:v>
                </c:pt>
                <c:pt idx="1273">
                  <c:v>1.8859999999999999</c:v>
                </c:pt>
                <c:pt idx="1274">
                  <c:v>1.88</c:v>
                </c:pt>
                <c:pt idx="1275">
                  <c:v>1.88</c:v>
                </c:pt>
                <c:pt idx="1276">
                  <c:v>1.885</c:v>
                </c:pt>
                <c:pt idx="1277">
                  <c:v>1.873</c:v>
                </c:pt>
                <c:pt idx="1278">
                  <c:v>1.8779999999999999</c:v>
                </c:pt>
                <c:pt idx="1279">
                  <c:v>1.89</c:v>
                </c:pt>
                <c:pt idx="1280">
                  <c:v>1.891</c:v>
                </c:pt>
                <c:pt idx="1281">
                  <c:v>1.915</c:v>
                </c:pt>
                <c:pt idx="1282">
                  <c:v>1.8879999999999999</c:v>
                </c:pt>
                <c:pt idx="1283">
                  <c:v>1.889</c:v>
                </c:pt>
                <c:pt idx="1284">
                  <c:v>1.887</c:v>
                </c:pt>
                <c:pt idx="1285">
                  <c:v>1.883</c:v>
                </c:pt>
                <c:pt idx="1286">
                  <c:v>1.8680000000000001</c:v>
                </c:pt>
                <c:pt idx="1287">
                  <c:v>1.88</c:v>
                </c:pt>
                <c:pt idx="1288">
                  <c:v>1.87</c:v>
                </c:pt>
                <c:pt idx="1289">
                  <c:v>1.962</c:v>
                </c:pt>
                <c:pt idx="1290">
                  <c:v>1.9590000000000001</c:v>
                </c:pt>
                <c:pt idx="1291">
                  <c:v>1.9379999999999999</c:v>
                </c:pt>
                <c:pt idx="1292">
                  <c:v>1.94</c:v>
                </c:pt>
                <c:pt idx="1293">
                  <c:v>1.9470000000000001</c:v>
                </c:pt>
                <c:pt idx="1294">
                  <c:v>1.9770000000000001</c:v>
                </c:pt>
                <c:pt idx="1295">
                  <c:v>1.974</c:v>
                </c:pt>
                <c:pt idx="1296">
                  <c:v>1.9730000000000001</c:v>
                </c:pt>
                <c:pt idx="1297">
                  <c:v>1.9650000000000001</c:v>
                </c:pt>
                <c:pt idx="1298">
                  <c:v>1.9650000000000001</c:v>
                </c:pt>
                <c:pt idx="1299">
                  <c:v>1.9650000000000001</c:v>
                </c:pt>
                <c:pt idx="1300">
                  <c:v>1.9650000000000001</c:v>
                </c:pt>
                <c:pt idx="1301">
                  <c:v>1.986</c:v>
                </c:pt>
                <c:pt idx="1302">
                  <c:v>1.948</c:v>
                </c:pt>
                <c:pt idx="1303">
                  <c:v>1.948</c:v>
                </c:pt>
              </c:numCache>
            </c:numRef>
          </c:val>
          <c:smooth val="0"/>
          <c:extLst>
            <c:ext xmlns:c16="http://schemas.microsoft.com/office/drawing/2014/chart" uri="{C3380CC4-5D6E-409C-BE32-E72D297353CC}">
              <c16:uniqueId val="{0000000D-2451-445B-BF3E-7C25A3310044}"/>
            </c:ext>
          </c:extLst>
        </c:ser>
        <c:dLbls>
          <c:showLegendKey val="0"/>
          <c:showVal val="0"/>
          <c:showCatName val="0"/>
          <c:showSerName val="0"/>
          <c:showPercent val="0"/>
          <c:showBubbleSize val="0"/>
        </c:dLbls>
        <c:smooth val="0"/>
        <c:axId val="81240832"/>
        <c:axId val="81242368"/>
      </c:lineChart>
      <c:dateAx>
        <c:axId val="81240832"/>
        <c:scaling>
          <c:orientation val="minMax"/>
        </c:scaling>
        <c:delete val="0"/>
        <c:axPos val="b"/>
        <c:numFmt formatCode="yyyy;@" sourceLinked="0"/>
        <c:majorTickMark val="cross"/>
        <c:minorTickMark val="none"/>
        <c:tickLblPos val="low"/>
        <c:spPr>
          <a:ln w="3175" cmpd="sng">
            <a:solidFill>
              <a:sysClr val="windowText" lastClr="000000">
                <a:lumMod val="100000"/>
              </a:sysClr>
            </a:solidFill>
          </a:ln>
        </c:spPr>
        <c:txPr>
          <a:bodyPr rot="0" vert="horz"/>
          <a:lstStyle/>
          <a:p>
            <a:pPr>
              <a:defRPr/>
            </a:pPr>
            <a:endParaRPr lang="sv-SE"/>
          </a:p>
        </c:txPr>
        <c:crossAx val="81242368"/>
        <c:crosses val="autoZero"/>
        <c:auto val="1"/>
        <c:lblOffset val="100"/>
        <c:baseTimeUnit val="days"/>
        <c:majorUnit val="1"/>
        <c:majorTimeUnit val="years"/>
        <c:minorUnit val="12"/>
        <c:minorTimeUnit val="months"/>
      </c:dateAx>
      <c:valAx>
        <c:axId val="81242368"/>
        <c:scaling>
          <c:orientation val="minMax"/>
        </c:scaling>
        <c:delete val="0"/>
        <c:axPos val="l"/>
        <c:numFmt formatCode="General"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spPr>
        <a:noFill/>
        <a:ln w="3175">
          <a:solidFill>
            <a:srgbClr val="000000"/>
          </a:solidFill>
          <a:prstDash val="solid"/>
        </a:ln>
      </c:spPr>
    </c:plotArea>
    <c:legend>
      <c:legendPos val="l"/>
      <c:layout>
        <c:manualLayout>
          <c:xMode val="edge"/>
          <c:yMode val="edge"/>
          <c:x val="9.4963540783449207E-2"/>
          <c:y val="9.1651917703835392E-2"/>
          <c:w val="0.31580611521406188"/>
          <c:h val="0.21798608077216156"/>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scatterChart>
        <c:scatterStyle val="smoothMarker"/>
        <c:varyColors val="0"/>
        <c:ser>
          <c:idx val="0"/>
          <c:order val="0"/>
          <c:tx>
            <c:strRef>
              <c:f>Statsformat!$A$9</c:f>
              <c:strCache>
                <c:ptCount val="1"/>
                <c:pt idx="0">
                  <c:v>2021</c:v>
                </c:pt>
              </c:strCache>
            </c:strRef>
          </c:tx>
          <c:spPr>
            <a:ln w="12700">
              <a:solidFill>
                <a:srgbClr val="000000"/>
              </a:solidFill>
              <a:prstDash val="solid"/>
            </a:ln>
          </c:spPr>
          <c:dPt>
            <c:idx val="0"/>
            <c:bubble3D val="0"/>
            <c:extLst>
              <c:ext xmlns:c16="http://schemas.microsoft.com/office/drawing/2014/chart" uri="{C3380CC4-5D6E-409C-BE32-E72D297353CC}">
                <c16:uniqueId val="{00000000-D020-4167-8B28-F8DCDE4B03CA}"/>
              </c:ext>
            </c:extLst>
          </c:dPt>
          <c:dPt>
            <c:idx val="1"/>
            <c:bubble3D val="0"/>
            <c:extLst>
              <c:ext xmlns:c16="http://schemas.microsoft.com/office/drawing/2014/chart" uri="{C3380CC4-5D6E-409C-BE32-E72D297353CC}">
                <c16:uniqueId val="{00000001-D020-4167-8B28-F8DCDE4B03CA}"/>
              </c:ext>
            </c:extLst>
          </c:dPt>
          <c:dPt>
            <c:idx val="2"/>
            <c:bubble3D val="0"/>
            <c:extLst>
              <c:ext xmlns:c16="http://schemas.microsoft.com/office/drawing/2014/chart" uri="{C3380CC4-5D6E-409C-BE32-E72D297353CC}">
                <c16:uniqueId val="{00000002-D020-4167-8B28-F8DCDE4B03CA}"/>
              </c:ext>
            </c:extLst>
          </c:dPt>
          <c:dPt>
            <c:idx val="3"/>
            <c:bubble3D val="0"/>
            <c:extLst>
              <c:ext xmlns:c16="http://schemas.microsoft.com/office/drawing/2014/chart" uri="{C3380CC4-5D6E-409C-BE32-E72D297353CC}">
                <c16:uniqueId val="{00000003-D020-4167-8B28-F8DCDE4B03CA}"/>
              </c:ext>
            </c:extLst>
          </c:dPt>
          <c:dPt>
            <c:idx val="4"/>
            <c:bubble3D val="0"/>
            <c:extLst>
              <c:ext xmlns:c16="http://schemas.microsoft.com/office/drawing/2014/chart" uri="{C3380CC4-5D6E-409C-BE32-E72D297353CC}">
                <c16:uniqueId val="{00000004-D020-4167-8B28-F8DCDE4B03CA}"/>
              </c:ext>
            </c:extLst>
          </c:dPt>
          <c:dPt>
            <c:idx val="5"/>
            <c:bubble3D val="0"/>
            <c:extLst>
              <c:ext xmlns:c16="http://schemas.microsoft.com/office/drawing/2014/chart" uri="{C3380CC4-5D6E-409C-BE32-E72D297353CC}">
                <c16:uniqueId val="{00000005-D020-4167-8B28-F8DCDE4B03CA}"/>
              </c:ext>
            </c:extLst>
          </c:dPt>
          <c:dPt>
            <c:idx val="6"/>
            <c:bubble3D val="0"/>
            <c:extLst>
              <c:ext xmlns:c16="http://schemas.microsoft.com/office/drawing/2014/chart" uri="{C3380CC4-5D6E-409C-BE32-E72D297353CC}">
                <c16:uniqueId val="{00000006-D020-4167-8B28-F8DCDE4B03CA}"/>
              </c:ext>
            </c:extLst>
          </c:dPt>
          <c:dPt>
            <c:idx val="7"/>
            <c:bubble3D val="0"/>
            <c:extLst>
              <c:ext xmlns:c16="http://schemas.microsoft.com/office/drawing/2014/chart" uri="{C3380CC4-5D6E-409C-BE32-E72D297353CC}">
                <c16:uniqueId val="{00000007-D020-4167-8B28-F8DCDE4B03CA}"/>
              </c:ext>
            </c:extLst>
          </c:dPt>
          <c:dPt>
            <c:idx val="8"/>
            <c:bubble3D val="0"/>
            <c:extLst>
              <c:ext xmlns:c16="http://schemas.microsoft.com/office/drawing/2014/chart" uri="{C3380CC4-5D6E-409C-BE32-E72D297353CC}">
                <c16:uniqueId val="{00000008-D020-4167-8B28-F8DCDE4B03CA}"/>
              </c:ext>
            </c:extLst>
          </c:dPt>
          <c:dPt>
            <c:idx val="9"/>
            <c:bubble3D val="0"/>
            <c:extLst>
              <c:ext xmlns:c16="http://schemas.microsoft.com/office/drawing/2014/chart" uri="{C3380CC4-5D6E-409C-BE32-E72D297353CC}">
                <c16:uniqueId val="{00000009-D020-4167-8B28-F8DCDE4B03CA}"/>
              </c:ext>
            </c:extLst>
          </c:dPt>
          <c:dPt>
            <c:idx val="10"/>
            <c:bubble3D val="0"/>
            <c:extLst>
              <c:ext xmlns:c16="http://schemas.microsoft.com/office/drawing/2014/chart" uri="{C3380CC4-5D6E-409C-BE32-E72D297353CC}">
                <c16:uniqueId val="{0000000A-D020-4167-8B28-F8DCDE4B03CA}"/>
              </c:ext>
            </c:extLst>
          </c:dPt>
          <c:xVal>
            <c:numRef>
              <c:f>Statsformat!$B$8:$D$8</c:f>
              <c:numCache>
                <c:formatCode>0.00</c:formatCode>
                <c:ptCount val="3"/>
                <c:pt idx="0">
                  <c:v>0.5</c:v>
                </c:pt>
                <c:pt idx="1">
                  <c:v>5</c:v>
                </c:pt>
                <c:pt idx="2">
                  <c:v>10</c:v>
                </c:pt>
              </c:numCache>
            </c:numRef>
          </c:xVal>
          <c:yVal>
            <c:numRef>
              <c:f>Statsformat!$B$9:$D$9</c:f>
              <c:numCache>
                <c:formatCode>0.00</c:formatCode>
                <c:ptCount val="3"/>
                <c:pt idx="0">
                  <c:v>-0.18021999999999999</c:v>
                </c:pt>
                <c:pt idx="1">
                  <c:v>-3.7663000000000002E-2</c:v>
                </c:pt>
                <c:pt idx="2">
                  <c:v>0.26859</c:v>
                </c:pt>
              </c:numCache>
            </c:numRef>
          </c:yVal>
          <c:smooth val="1"/>
          <c:extLst>
            <c:ext xmlns:c16="http://schemas.microsoft.com/office/drawing/2014/chart" uri="{C3380CC4-5D6E-409C-BE32-E72D297353CC}">
              <c16:uniqueId val="{0000000B-D020-4167-8B28-F8DCDE4B03CA}"/>
            </c:ext>
          </c:extLst>
        </c:ser>
        <c:ser>
          <c:idx val="1"/>
          <c:order val="1"/>
          <c:tx>
            <c:strRef>
              <c:f>Statsformat!$A$10</c:f>
              <c:strCache>
                <c:ptCount val="1"/>
                <c:pt idx="0">
                  <c:v>2022</c:v>
                </c:pt>
              </c:strCache>
            </c:strRef>
          </c:tx>
          <c:spPr>
            <a:ln w="25400">
              <a:solidFill>
                <a:srgbClr val="000000"/>
              </a:solidFill>
              <a:prstDash val="solid"/>
            </a:ln>
          </c:spPr>
          <c:xVal>
            <c:numRef>
              <c:f>Statsformat!$B$8:$D$8</c:f>
              <c:numCache>
                <c:formatCode>0.00</c:formatCode>
                <c:ptCount val="3"/>
                <c:pt idx="0">
                  <c:v>0.5</c:v>
                </c:pt>
                <c:pt idx="1">
                  <c:v>5</c:v>
                </c:pt>
                <c:pt idx="2">
                  <c:v>10</c:v>
                </c:pt>
              </c:numCache>
            </c:numRef>
          </c:xVal>
          <c:yVal>
            <c:numRef>
              <c:f>Statsformat!$B$10:$D$10</c:f>
              <c:numCache>
                <c:formatCode>0.00</c:formatCode>
                <c:ptCount val="3"/>
                <c:pt idx="0">
                  <c:v>0.89595000000000002</c:v>
                </c:pt>
                <c:pt idx="1">
                  <c:v>1.5856600000000001</c:v>
                </c:pt>
                <c:pt idx="2">
                  <c:v>1.53024</c:v>
                </c:pt>
              </c:numCache>
            </c:numRef>
          </c:yVal>
          <c:smooth val="1"/>
          <c:extLst>
            <c:ext xmlns:c16="http://schemas.microsoft.com/office/drawing/2014/chart" uri="{C3380CC4-5D6E-409C-BE32-E72D297353CC}">
              <c16:uniqueId val="{0000000C-D020-4167-8B28-F8DCDE4B03CA}"/>
            </c:ext>
          </c:extLst>
        </c:ser>
        <c:ser>
          <c:idx val="2"/>
          <c:order val="2"/>
          <c:tx>
            <c:strRef>
              <c:f>Statsformat!$A$11</c:f>
              <c:strCache>
                <c:ptCount val="1"/>
                <c:pt idx="0">
                  <c:v>2023</c:v>
                </c:pt>
              </c:strCache>
            </c:strRef>
          </c:tx>
          <c:spPr>
            <a:ln w="12700">
              <a:solidFill>
                <a:srgbClr val="000000"/>
              </a:solidFill>
              <a:prstDash val="sysDash"/>
            </a:ln>
          </c:spPr>
          <c:xVal>
            <c:numRef>
              <c:f>Statsformat!$B$8:$D$8</c:f>
              <c:numCache>
                <c:formatCode>0.00</c:formatCode>
                <c:ptCount val="3"/>
                <c:pt idx="0">
                  <c:v>0.5</c:v>
                </c:pt>
                <c:pt idx="1">
                  <c:v>5</c:v>
                </c:pt>
                <c:pt idx="2">
                  <c:v>10</c:v>
                </c:pt>
              </c:numCache>
            </c:numRef>
          </c:xVal>
          <c:yVal>
            <c:numRef>
              <c:f>Statsformat!$B$11:$D$11</c:f>
              <c:numCache>
                <c:formatCode>0.00</c:formatCode>
                <c:ptCount val="3"/>
                <c:pt idx="0">
                  <c:v>3.5460500000000001</c:v>
                </c:pt>
                <c:pt idx="1">
                  <c:v>2.6341000000000001</c:v>
                </c:pt>
                <c:pt idx="2">
                  <c:v>2.51783</c:v>
                </c:pt>
              </c:numCache>
            </c:numRef>
          </c:yVal>
          <c:smooth val="1"/>
          <c:extLst>
            <c:ext xmlns:c16="http://schemas.microsoft.com/office/drawing/2014/chart" uri="{C3380CC4-5D6E-409C-BE32-E72D297353CC}">
              <c16:uniqueId val="{0000000D-D020-4167-8B28-F8DCDE4B03CA}"/>
            </c:ext>
          </c:extLst>
        </c:ser>
        <c:ser>
          <c:idx val="3"/>
          <c:order val="3"/>
          <c:tx>
            <c:strRef>
              <c:f>Statsformat!$A$12</c:f>
              <c:strCache>
                <c:ptCount val="1"/>
                <c:pt idx="0">
                  <c:v>2024</c:v>
                </c:pt>
              </c:strCache>
            </c:strRef>
          </c:tx>
          <c:xVal>
            <c:numRef>
              <c:f>Statsformat!$B$8:$D$8</c:f>
              <c:numCache>
                <c:formatCode>0.00</c:formatCode>
                <c:ptCount val="3"/>
                <c:pt idx="0">
                  <c:v>0.5</c:v>
                </c:pt>
                <c:pt idx="1">
                  <c:v>5</c:v>
                </c:pt>
                <c:pt idx="2">
                  <c:v>10</c:v>
                </c:pt>
              </c:numCache>
            </c:numRef>
          </c:xVal>
          <c:yVal>
            <c:numRef>
              <c:f>Statsformat!$B$12:$D$12</c:f>
              <c:numCache>
                <c:formatCode>0.00</c:formatCode>
                <c:ptCount val="3"/>
                <c:pt idx="0">
                  <c:v>3.2932899999999998</c:v>
                </c:pt>
                <c:pt idx="1">
                  <c:v>2.1176900000000001</c:v>
                </c:pt>
                <c:pt idx="2">
                  <c:v>2.1972100000000001</c:v>
                </c:pt>
              </c:numCache>
            </c:numRef>
          </c:yVal>
          <c:smooth val="1"/>
          <c:extLst>
            <c:ext xmlns:c16="http://schemas.microsoft.com/office/drawing/2014/chart" uri="{C3380CC4-5D6E-409C-BE32-E72D297353CC}">
              <c16:uniqueId val="{0000000E-D020-4167-8B28-F8DCDE4B03CA}"/>
            </c:ext>
          </c:extLst>
        </c:ser>
        <c:ser>
          <c:idx val="4"/>
          <c:order val="4"/>
          <c:tx>
            <c:strRef>
              <c:f>Statsformat!$A$13</c:f>
              <c:strCache>
                <c:ptCount val="1"/>
                <c:pt idx="0">
                  <c:v>2025</c:v>
                </c:pt>
              </c:strCache>
            </c:strRef>
          </c:tx>
          <c:xVal>
            <c:numRef>
              <c:f>Statsformat!$B$8:$D$8</c:f>
              <c:numCache>
                <c:formatCode>0.00</c:formatCode>
                <c:ptCount val="3"/>
                <c:pt idx="0">
                  <c:v>0.5</c:v>
                </c:pt>
                <c:pt idx="1">
                  <c:v>5</c:v>
                </c:pt>
                <c:pt idx="2">
                  <c:v>10</c:v>
                </c:pt>
              </c:numCache>
            </c:numRef>
          </c:xVal>
          <c:yVal>
            <c:numRef>
              <c:f>Statsformat!$B$13:$D$13</c:f>
              <c:numCache>
                <c:formatCode>0.00</c:formatCode>
                <c:ptCount val="3"/>
                <c:pt idx="0">
                  <c:v>2.1025299999999998</c:v>
                </c:pt>
                <c:pt idx="1">
                  <c:v>2.16479</c:v>
                </c:pt>
                <c:pt idx="2">
                  <c:v>2.4761799999999998</c:v>
                </c:pt>
              </c:numCache>
            </c:numRef>
          </c:yVal>
          <c:smooth val="1"/>
          <c:extLst>
            <c:ext xmlns:c16="http://schemas.microsoft.com/office/drawing/2014/chart" uri="{C3380CC4-5D6E-409C-BE32-E72D297353CC}">
              <c16:uniqueId val="{0000000F-D020-4167-8B28-F8DCDE4B03CA}"/>
            </c:ext>
          </c:extLst>
        </c:ser>
        <c:dLbls>
          <c:showLegendKey val="0"/>
          <c:showVal val="0"/>
          <c:showCatName val="0"/>
          <c:showSerName val="0"/>
          <c:showPercent val="0"/>
          <c:showBubbleSize val="0"/>
        </c:dLbls>
        <c:axId val="81240832"/>
        <c:axId val="81242368"/>
      </c:scatterChart>
      <c:valAx>
        <c:axId val="81240832"/>
        <c:scaling>
          <c:orientation val="minMax"/>
          <c:max val="10"/>
        </c:scaling>
        <c:delete val="0"/>
        <c:axPos val="b"/>
        <c:numFmt formatCode="0.00" sourceLinked="1"/>
        <c:majorTickMark val="none"/>
        <c:minorTickMark val="none"/>
        <c:tickLblPos val="low"/>
        <c:spPr>
          <a:ln w="3175" cmpd="sng">
            <a:solidFill>
              <a:sysClr val="windowText" lastClr="000000">
                <a:lumMod val="100000"/>
              </a:sysClr>
            </a:solidFill>
          </a:ln>
        </c:spPr>
        <c:txPr>
          <a:bodyPr rot="0" vert="horz"/>
          <a:lstStyle/>
          <a:p>
            <a:pPr>
              <a:defRPr/>
            </a:pPr>
            <a:endParaRPr lang="sv-SE"/>
          </a:p>
        </c:txPr>
        <c:crossAx val="81242368"/>
        <c:crosses val="autoZero"/>
        <c:crossBetween val="midCat"/>
        <c:majorUnit val="5"/>
      </c:valAx>
      <c:valAx>
        <c:axId val="81242368"/>
        <c:scaling>
          <c:orientation val="minMax"/>
          <c:min val="-1"/>
        </c:scaling>
        <c:delete val="0"/>
        <c:axPos val="l"/>
        <c:numFmt formatCode="0.0" sourceLinked="0"/>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 val="autoZero"/>
        <c:crossBetween val="midCat"/>
      </c:valAx>
      <c:spPr>
        <a:noFill/>
        <a:ln w="3175">
          <a:solidFill>
            <a:srgbClr val="000000"/>
          </a:solidFill>
          <a:prstDash val="solid"/>
        </a:ln>
      </c:spPr>
    </c:plotArea>
    <c:legend>
      <c:legendPos val="b"/>
      <c:layout>
        <c:manualLayout>
          <c:xMode val="edge"/>
          <c:yMode val="edge"/>
          <c:x val="0.10684176587301586"/>
          <c:y val="0.822277324879227"/>
          <c:w val="0.83041369047619051"/>
          <c:h val="6.7479619565217391E-2"/>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0"/>
          <c:order val="0"/>
          <c:tx>
            <c:strRef>
              <c:f>Statsformat!$B$8</c:f>
              <c:strCache>
                <c:ptCount val="1"/>
                <c:pt idx="0">
                  <c:v>Konsumentprisindex (KPI), totalt, 1980=100, årsförändring efter månad</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0-2A1B-47F0-8E53-3A30838E0577}"/>
              </c:ext>
            </c:extLst>
          </c:dPt>
          <c:dPt>
            <c:idx val="1"/>
            <c:bubble3D val="0"/>
            <c:extLst>
              <c:ext xmlns:c16="http://schemas.microsoft.com/office/drawing/2014/chart" uri="{C3380CC4-5D6E-409C-BE32-E72D297353CC}">
                <c16:uniqueId val="{00000001-2A1B-47F0-8E53-3A30838E0577}"/>
              </c:ext>
            </c:extLst>
          </c:dPt>
          <c:dPt>
            <c:idx val="2"/>
            <c:bubble3D val="0"/>
            <c:extLst>
              <c:ext xmlns:c16="http://schemas.microsoft.com/office/drawing/2014/chart" uri="{C3380CC4-5D6E-409C-BE32-E72D297353CC}">
                <c16:uniqueId val="{00000002-2A1B-47F0-8E53-3A30838E0577}"/>
              </c:ext>
            </c:extLst>
          </c:dPt>
          <c:dPt>
            <c:idx val="3"/>
            <c:bubble3D val="0"/>
            <c:extLst>
              <c:ext xmlns:c16="http://schemas.microsoft.com/office/drawing/2014/chart" uri="{C3380CC4-5D6E-409C-BE32-E72D297353CC}">
                <c16:uniqueId val="{00000003-2A1B-47F0-8E53-3A30838E0577}"/>
              </c:ext>
            </c:extLst>
          </c:dPt>
          <c:dPt>
            <c:idx val="4"/>
            <c:bubble3D val="0"/>
            <c:extLst>
              <c:ext xmlns:c16="http://schemas.microsoft.com/office/drawing/2014/chart" uri="{C3380CC4-5D6E-409C-BE32-E72D297353CC}">
                <c16:uniqueId val="{00000004-2A1B-47F0-8E53-3A30838E0577}"/>
              </c:ext>
            </c:extLst>
          </c:dPt>
          <c:dPt>
            <c:idx val="5"/>
            <c:bubble3D val="0"/>
            <c:extLst>
              <c:ext xmlns:c16="http://schemas.microsoft.com/office/drawing/2014/chart" uri="{C3380CC4-5D6E-409C-BE32-E72D297353CC}">
                <c16:uniqueId val="{00000005-2A1B-47F0-8E53-3A30838E0577}"/>
              </c:ext>
            </c:extLst>
          </c:dPt>
          <c:dPt>
            <c:idx val="6"/>
            <c:bubble3D val="0"/>
            <c:extLst>
              <c:ext xmlns:c16="http://schemas.microsoft.com/office/drawing/2014/chart" uri="{C3380CC4-5D6E-409C-BE32-E72D297353CC}">
                <c16:uniqueId val="{00000006-2A1B-47F0-8E53-3A30838E0577}"/>
              </c:ext>
            </c:extLst>
          </c:dPt>
          <c:dPt>
            <c:idx val="7"/>
            <c:bubble3D val="0"/>
            <c:extLst>
              <c:ext xmlns:c16="http://schemas.microsoft.com/office/drawing/2014/chart" uri="{C3380CC4-5D6E-409C-BE32-E72D297353CC}">
                <c16:uniqueId val="{00000007-2A1B-47F0-8E53-3A30838E0577}"/>
              </c:ext>
            </c:extLst>
          </c:dPt>
          <c:dPt>
            <c:idx val="8"/>
            <c:bubble3D val="0"/>
            <c:extLst>
              <c:ext xmlns:c16="http://schemas.microsoft.com/office/drawing/2014/chart" uri="{C3380CC4-5D6E-409C-BE32-E72D297353CC}">
                <c16:uniqueId val="{00000008-2A1B-47F0-8E53-3A30838E0577}"/>
              </c:ext>
            </c:extLst>
          </c:dPt>
          <c:dPt>
            <c:idx val="9"/>
            <c:bubble3D val="0"/>
            <c:extLst>
              <c:ext xmlns:c16="http://schemas.microsoft.com/office/drawing/2014/chart" uri="{C3380CC4-5D6E-409C-BE32-E72D297353CC}">
                <c16:uniqueId val="{00000009-2A1B-47F0-8E53-3A30838E0577}"/>
              </c:ext>
            </c:extLst>
          </c:dPt>
          <c:dPt>
            <c:idx val="10"/>
            <c:bubble3D val="0"/>
            <c:extLst>
              <c:ext xmlns:c16="http://schemas.microsoft.com/office/drawing/2014/chart" uri="{C3380CC4-5D6E-409C-BE32-E72D297353CC}">
                <c16:uniqueId val="{0000000A-2A1B-47F0-8E53-3A30838E0577}"/>
              </c:ext>
            </c:extLst>
          </c:dPt>
          <c:cat>
            <c:numRef>
              <c:f>Statsformat!$A$165:$A$224</c:f>
              <c:numCache>
                <c:formatCode>m/d/yyyy</c:formatCode>
                <c:ptCount val="60"/>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numCache>
            </c:numRef>
          </c:cat>
          <c:val>
            <c:numRef>
              <c:f>Statsformat!$B$165:$B$224</c:f>
              <c:numCache>
                <c:formatCode>0.0</c:formatCode>
                <c:ptCount val="60"/>
                <c:pt idx="0">
                  <c:v>1.6</c:v>
                </c:pt>
                <c:pt idx="1">
                  <c:v>1.4</c:v>
                </c:pt>
                <c:pt idx="2">
                  <c:v>1.7</c:v>
                </c:pt>
                <c:pt idx="3">
                  <c:v>2.2000000000000002</c:v>
                </c:pt>
                <c:pt idx="4">
                  <c:v>1.8</c:v>
                </c:pt>
                <c:pt idx="5">
                  <c:v>1.3</c:v>
                </c:pt>
                <c:pt idx="6">
                  <c:v>1.4</c:v>
                </c:pt>
                <c:pt idx="7">
                  <c:v>2.1</c:v>
                </c:pt>
                <c:pt idx="8">
                  <c:v>2.5</c:v>
                </c:pt>
                <c:pt idx="9">
                  <c:v>2.8</c:v>
                </c:pt>
                <c:pt idx="10">
                  <c:v>3.3</c:v>
                </c:pt>
                <c:pt idx="11">
                  <c:v>3.9</c:v>
                </c:pt>
                <c:pt idx="12">
                  <c:v>3.7</c:v>
                </c:pt>
                <c:pt idx="13">
                  <c:v>4.3</c:v>
                </c:pt>
                <c:pt idx="14">
                  <c:v>6</c:v>
                </c:pt>
                <c:pt idx="15">
                  <c:v>6.4</c:v>
                </c:pt>
                <c:pt idx="16">
                  <c:v>7.3</c:v>
                </c:pt>
                <c:pt idx="17">
                  <c:v>8.6999999999999993</c:v>
                </c:pt>
                <c:pt idx="18">
                  <c:v>8.5</c:v>
                </c:pt>
                <c:pt idx="19">
                  <c:v>9.8000000000000007</c:v>
                </c:pt>
                <c:pt idx="20">
                  <c:v>10.8</c:v>
                </c:pt>
                <c:pt idx="21">
                  <c:v>10.9</c:v>
                </c:pt>
                <c:pt idx="22">
                  <c:v>11.5</c:v>
                </c:pt>
                <c:pt idx="23">
                  <c:v>12.3</c:v>
                </c:pt>
                <c:pt idx="24">
                  <c:v>11.7</c:v>
                </c:pt>
                <c:pt idx="25">
                  <c:v>12</c:v>
                </c:pt>
                <c:pt idx="26">
                  <c:v>10.6</c:v>
                </c:pt>
                <c:pt idx="27">
                  <c:v>10.5</c:v>
                </c:pt>
                <c:pt idx="28">
                  <c:v>9.6999999999999993</c:v>
                </c:pt>
                <c:pt idx="29">
                  <c:v>9.3000000000000007</c:v>
                </c:pt>
                <c:pt idx="30">
                  <c:v>9.3000000000000007</c:v>
                </c:pt>
                <c:pt idx="31">
                  <c:v>7.5</c:v>
                </c:pt>
                <c:pt idx="32">
                  <c:v>6.5</c:v>
                </c:pt>
                <c:pt idx="33">
                  <c:v>6.5</c:v>
                </c:pt>
                <c:pt idx="34">
                  <c:v>5.8</c:v>
                </c:pt>
                <c:pt idx="35">
                  <c:v>4.4000000000000004</c:v>
                </c:pt>
                <c:pt idx="36">
                  <c:v>5.4</c:v>
                </c:pt>
                <c:pt idx="37">
                  <c:v>4.5</c:v>
                </c:pt>
                <c:pt idx="38">
                  <c:v>4.0999999999999996</c:v>
                </c:pt>
                <c:pt idx="39">
                  <c:v>3.9</c:v>
                </c:pt>
                <c:pt idx="40">
                  <c:v>3.7</c:v>
                </c:pt>
                <c:pt idx="41">
                  <c:v>2.6</c:v>
                </c:pt>
                <c:pt idx="42">
                  <c:v>2.6</c:v>
                </c:pt>
                <c:pt idx="43">
                  <c:v>1.9</c:v>
                </c:pt>
                <c:pt idx="44">
                  <c:v>1.6</c:v>
                </c:pt>
                <c:pt idx="45">
                  <c:v>1.6</c:v>
                </c:pt>
                <c:pt idx="46">
                  <c:v>1.6</c:v>
                </c:pt>
                <c:pt idx="47">
                  <c:v>0.8</c:v>
                </c:pt>
                <c:pt idx="48">
                  <c:v>0.9</c:v>
                </c:pt>
                <c:pt idx="49">
                  <c:v>1.3</c:v>
                </c:pt>
                <c:pt idx="50">
                  <c:v>0.5</c:v>
                </c:pt>
                <c:pt idx="51">
                  <c:v>0.3</c:v>
                </c:pt>
                <c:pt idx="52">
                  <c:v>0.2</c:v>
                </c:pt>
                <c:pt idx="53">
                  <c:v>0.7</c:v>
                </c:pt>
                <c:pt idx="54">
                  <c:v>0.8</c:v>
                </c:pt>
                <c:pt idx="55">
                  <c:v>1.1000000000000001</c:v>
                </c:pt>
                <c:pt idx="56">
                  <c:v>0.9</c:v>
                </c:pt>
                <c:pt idx="57">
                  <c:v>0.9</c:v>
                </c:pt>
                <c:pt idx="58">
                  <c:v>0.3</c:v>
                </c:pt>
                <c:pt idx="59">
                  <c:v>0.3</c:v>
                </c:pt>
              </c:numCache>
            </c:numRef>
          </c:val>
          <c:smooth val="0"/>
          <c:extLst>
            <c:ext xmlns:c16="http://schemas.microsoft.com/office/drawing/2014/chart" uri="{C3380CC4-5D6E-409C-BE32-E72D297353CC}">
              <c16:uniqueId val="{0000000B-2A1B-47F0-8E53-3A30838E0577}"/>
            </c:ext>
          </c:extLst>
        </c:ser>
        <c:dLbls>
          <c:showLegendKey val="0"/>
          <c:showVal val="0"/>
          <c:showCatName val="0"/>
          <c:showSerName val="0"/>
          <c:showPercent val="0"/>
          <c:showBubbleSize val="0"/>
        </c:dLbls>
        <c:smooth val="0"/>
        <c:axId val="81240832"/>
        <c:axId val="81242368"/>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1"/>
        <c:lblOffset val="100"/>
        <c:baseTimeUnit val="months"/>
        <c:majorUnit val="1"/>
        <c:majorTimeUnit val="years"/>
        <c:minorUnit val="4"/>
        <c:minorTimeUnit val="months"/>
      </c:dateAx>
      <c:valAx>
        <c:axId val="81242368"/>
        <c:scaling>
          <c:orientation val="minMax"/>
        </c:scaling>
        <c:delete val="0"/>
        <c:axPos val="l"/>
        <c:numFmt formatCode="0.0"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spPr>
        <a:noFill/>
        <a:ln w="3175">
          <a:solidFill>
            <a:srgbClr val="000000"/>
          </a:solidFill>
          <a:prstDash val="solid"/>
        </a:ln>
      </c:spPr>
    </c:plotArea>
    <c:legend>
      <c:legendPos val="b"/>
      <c:layout>
        <c:manualLayout>
          <c:xMode val="edge"/>
          <c:yMode val="edge"/>
          <c:x val="0.12554328561690525"/>
          <c:y val="7.8938640132669977E-2"/>
          <c:w val="0.79314723926380371"/>
          <c:h val="2.9397493927520248E-2"/>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0"/>
          <c:order val="0"/>
          <c:tx>
            <c:strRef>
              <c:f>Statsformat!$B$8</c:f>
              <c:strCache>
                <c:ptCount val="1"/>
                <c:pt idx="0">
                  <c:v>SEK per USD</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0-6353-45A4-A2C9-46AD4CA61480}"/>
              </c:ext>
            </c:extLst>
          </c:dPt>
          <c:dPt>
            <c:idx val="1"/>
            <c:bubble3D val="0"/>
            <c:extLst>
              <c:ext xmlns:c16="http://schemas.microsoft.com/office/drawing/2014/chart" uri="{C3380CC4-5D6E-409C-BE32-E72D297353CC}">
                <c16:uniqueId val="{00000001-6353-45A4-A2C9-46AD4CA61480}"/>
              </c:ext>
            </c:extLst>
          </c:dPt>
          <c:dPt>
            <c:idx val="2"/>
            <c:bubble3D val="0"/>
            <c:extLst>
              <c:ext xmlns:c16="http://schemas.microsoft.com/office/drawing/2014/chart" uri="{C3380CC4-5D6E-409C-BE32-E72D297353CC}">
                <c16:uniqueId val="{00000002-6353-45A4-A2C9-46AD4CA61480}"/>
              </c:ext>
            </c:extLst>
          </c:dPt>
          <c:dPt>
            <c:idx val="3"/>
            <c:bubble3D val="0"/>
            <c:extLst>
              <c:ext xmlns:c16="http://schemas.microsoft.com/office/drawing/2014/chart" uri="{C3380CC4-5D6E-409C-BE32-E72D297353CC}">
                <c16:uniqueId val="{00000003-6353-45A4-A2C9-46AD4CA61480}"/>
              </c:ext>
            </c:extLst>
          </c:dPt>
          <c:dPt>
            <c:idx val="4"/>
            <c:bubble3D val="0"/>
            <c:extLst>
              <c:ext xmlns:c16="http://schemas.microsoft.com/office/drawing/2014/chart" uri="{C3380CC4-5D6E-409C-BE32-E72D297353CC}">
                <c16:uniqueId val="{00000004-6353-45A4-A2C9-46AD4CA61480}"/>
              </c:ext>
            </c:extLst>
          </c:dPt>
          <c:dPt>
            <c:idx val="5"/>
            <c:bubble3D val="0"/>
            <c:extLst>
              <c:ext xmlns:c16="http://schemas.microsoft.com/office/drawing/2014/chart" uri="{C3380CC4-5D6E-409C-BE32-E72D297353CC}">
                <c16:uniqueId val="{00000005-6353-45A4-A2C9-46AD4CA61480}"/>
              </c:ext>
            </c:extLst>
          </c:dPt>
          <c:dPt>
            <c:idx val="6"/>
            <c:bubble3D val="0"/>
            <c:extLst>
              <c:ext xmlns:c16="http://schemas.microsoft.com/office/drawing/2014/chart" uri="{C3380CC4-5D6E-409C-BE32-E72D297353CC}">
                <c16:uniqueId val="{00000006-6353-45A4-A2C9-46AD4CA61480}"/>
              </c:ext>
            </c:extLst>
          </c:dPt>
          <c:dPt>
            <c:idx val="7"/>
            <c:bubble3D val="0"/>
            <c:extLst>
              <c:ext xmlns:c16="http://schemas.microsoft.com/office/drawing/2014/chart" uri="{C3380CC4-5D6E-409C-BE32-E72D297353CC}">
                <c16:uniqueId val="{00000007-6353-45A4-A2C9-46AD4CA61480}"/>
              </c:ext>
            </c:extLst>
          </c:dPt>
          <c:dPt>
            <c:idx val="8"/>
            <c:bubble3D val="0"/>
            <c:extLst>
              <c:ext xmlns:c16="http://schemas.microsoft.com/office/drawing/2014/chart" uri="{C3380CC4-5D6E-409C-BE32-E72D297353CC}">
                <c16:uniqueId val="{00000008-6353-45A4-A2C9-46AD4CA61480}"/>
              </c:ext>
            </c:extLst>
          </c:dPt>
          <c:dPt>
            <c:idx val="9"/>
            <c:bubble3D val="0"/>
            <c:extLst>
              <c:ext xmlns:c16="http://schemas.microsoft.com/office/drawing/2014/chart" uri="{C3380CC4-5D6E-409C-BE32-E72D297353CC}">
                <c16:uniqueId val="{00000009-6353-45A4-A2C9-46AD4CA61480}"/>
              </c:ext>
            </c:extLst>
          </c:dPt>
          <c:dPt>
            <c:idx val="10"/>
            <c:bubble3D val="0"/>
            <c:extLst>
              <c:ext xmlns:c16="http://schemas.microsoft.com/office/drawing/2014/chart" uri="{C3380CC4-5D6E-409C-BE32-E72D297353CC}">
                <c16:uniqueId val="{0000000A-6353-45A4-A2C9-46AD4CA61480}"/>
              </c:ext>
            </c:extLst>
          </c:dPt>
          <c:cat>
            <c:numRef>
              <c:f>Statsformat!$A$9:$A$1312</c:f>
              <c:numCache>
                <c:formatCode>m/d/yyyy</c:formatCode>
                <c:ptCount val="1304"/>
                <c:pt idx="0">
                  <c:v>44197</c:v>
                </c:pt>
                <c:pt idx="1">
                  <c:v>44200</c:v>
                </c:pt>
                <c:pt idx="2">
                  <c:v>44201</c:v>
                </c:pt>
                <c:pt idx="3">
                  <c:v>44202</c:v>
                </c:pt>
                <c:pt idx="4">
                  <c:v>44203</c:v>
                </c:pt>
                <c:pt idx="5">
                  <c:v>44204</c:v>
                </c:pt>
                <c:pt idx="6">
                  <c:v>44207</c:v>
                </c:pt>
                <c:pt idx="7">
                  <c:v>44208</c:v>
                </c:pt>
                <c:pt idx="8">
                  <c:v>44209</c:v>
                </c:pt>
                <c:pt idx="9">
                  <c:v>44210</c:v>
                </c:pt>
                <c:pt idx="10">
                  <c:v>44211</c:v>
                </c:pt>
                <c:pt idx="11">
                  <c:v>44214</c:v>
                </c:pt>
                <c:pt idx="12">
                  <c:v>44215</c:v>
                </c:pt>
                <c:pt idx="13">
                  <c:v>44216</c:v>
                </c:pt>
                <c:pt idx="14">
                  <c:v>44217</c:v>
                </c:pt>
                <c:pt idx="15">
                  <c:v>44218</c:v>
                </c:pt>
                <c:pt idx="16">
                  <c:v>44221</c:v>
                </c:pt>
                <c:pt idx="17">
                  <c:v>44222</c:v>
                </c:pt>
                <c:pt idx="18">
                  <c:v>44223</c:v>
                </c:pt>
                <c:pt idx="19">
                  <c:v>44224</c:v>
                </c:pt>
                <c:pt idx="20">
                  <c:v>44225</c:v>
                </c:pt>
                <c:pt idx="21">
                  <c:v>44228</c:v>
                </c:pt>
                <c:pt idx="22">
                  <c:v>44229</c:v>
                </c:pt>
                <c:pt idx="23">
                  <c:v>44230</c:v>
                </c:pt>
                <c:pt idx="24">
                  <c:v>44231</c:v>
                </c:pt>
                <c:pt idx="25">
                  <c:v>44232</c:v>
                </c:pt>
                <c:pt idx="26">
                  <c:v>44235</c:v>
                </c:pt>
                <c:pt idx="27">
                  <c:v>44236</c:v>
                </c:pt>
                <c:pt idx="28">
                  <c:v>44237</c:v>
                </c:pt>
                <c:pt idx="29">
                  <c:v>44238</c:v>
                </c:pt>
                <c:pt idx="30">
                  <c:v>44239</c:v>
                </c:pt>
                <c:pt idx="31">
                  <c:v>44242</c:v>
                </c:pt>
                <c:pt idx="32">
                  <c:v>44243</c:v>
                </c:pt>
                <c:pt idx="33">
                  <c:v>44244</c:v>
                </c:pt>
                <c:pt idx="34">
                  <c:v>44245</c:v>
                </c:pt>
                <c:pt idx="35">
                  <c:v>44246</c:v>
                </c:pt>
                <c:pt idx="36">
                  <c:v>44249</c:v>
                </c:pt>
                <c:pt idx="37">
                  <c:v>44250</c:v>
                </c:pt>
                <c:pt idx="38">
                  <c:v>44251</c:v>
                </c:pt>
                <c:pt idx="39">
                  <c:v>44252</c:v>
                </c:pt>
                <c:pt idx="40">
                  <c:v>44253</c:v>
                </c:pt>
                <c:pt idx="41">
                  <c:v>44256</c:v>
                </c:pt>
                <c:pt idx="42">
                  <c:v>44257</c:v>
                </c:pt>
                <c:pt idx="43">
                  <c:v>44258</c:v>
                </c:pt>
                <c:pt idx="44">
                  <c:v>44259</c:v>
                </c:pt>
                <c:pt idx="45">
                  <c:v>44260</c:v>
                </c:pt>
                <c:pt idx="46">
                  <c:v>44263</c:v>
                </c:pt>
                <c:pt idx="47">
                  <c:v>44264</c:v>
                </c:pt>
                <c:pt idx="48">
                  <c:v>44265</c:v>
                </c:pt>
                <c:pt idx="49">
                  <c:v>44266</c:v>
                </c:pt>
                <c:pt idx="50">
                  <c:v>44267</c:v>
                </c:pt>
                <c:pt idx="51">
                  <c:v>44270</c:v>
                </c:pt>
                <c:pt idx="52">
                  <c:v>44271</c:v>
                </c:pt>
                <c:pt idx="53">
                  <c:v>44272</c:v>
                </c:pt>
                <c:pt idx="54">
                  <c:v>44273</c:v>
                </c:pt>
                <c:pt idx="55">
                  <c:v>44274</c:v>
                </c:pt>
                <c:pt idx="56">
                  <c:v>44277</c:v>
                </c:pt>
                <c:pt idx="57">
                  <c:v>44278</c:v>
                </c:pt>
                <c:pt idx="58">
                  <c:v>44279</c:v>
                </c:pt>
                <c:pt idx="59">
                  <c:v>44280</c:v>
                </c:pt>
                <c:pt idx="60">
                  <c:v>44281</c:v>
                </c:pt>
                <c:pt idx="61">
                  <c:v>44284</c:v>
                </c:pt>
                <c:pt idx="62">
                  <c:v>44285</c:v>
                </c:pt>
                <c:pt idx="63">
                  <c:v>44286</c:v>
                </c:pt>
                <c:pt idx="64">
                  <c:v>44287</c:v>
                </c:pt>
                <c:pt idx="65">
                  <c:v>44288</c:v>
                </c:pt>
                <c:pt idx="66">
                  <c:v>44291</c:v>
                </c:pt>
                <c:pt idx="67">
                  <c:v>44292</c:v>
                </c:pt>
                <c:pt idx="68">
                  <c:v>44293</c:v>
                </c:pt>
                <c:pt idx="69">
                  <c:v>44294</c:v>
                </c:pt>
                <c:pt idx="70">
                  <c:v>44295</c:v>
                </c:pt>
                <c:pt idx="71">
                  <c:v>44298</c:v>
                </c:pt>
                <c:pt idx="72">
                  <c:v>44299</c:v>
                </c:pt>
                <c:pt idx="73">
                  <c:v>44300</c:v>
                </c:pt>
                <c:pt idx="74">
                  <c:v>44301</c:v>
                </c:pt>
                <c:pt idx="75">
                  <c:v>44302</c:v>
                </c:pt>
                <c:pt idx="76">
                  <c:v>44305</c:v>
                </c:pt>
                <c:pt idx="77">
                  <c:v>44306</c:v>
                </c:pt>
                <c:pt idx="78">
                  <c:v>44307</c:v>
                </c:pt>
                <c:pt idx="79">
                  <c:v>44308</c:v>
                </c:pt>
                <c:pt idx="80">
                  <c:v>44309</c:v>
                </c:pt>
                <c:pt idx="81">
                  <c:v>44312</c:v>
                </c:pt>
                <c:pt idx="82">
                  <c:v>44313</c:v>
                </c:pt>
                <c:pt idx="83">
                  <c:v>44314</c:v>
                </c:pt>
                <c:pt idx="84">
                  <c:v>44315</c:v>
                </c:pt>
                <c:pt idx="85">
                  <c:v>44316</c:v>
                </c:pt>
                <c:pt idx="86">
                  <c:v>44319</c:v>
                </c:pt>
                <c:pt idx="87">
                  <c:v>44320</c:v>
                </c:pt>
                <c:pt idx="88">
                  <c:v>44321</c:v>
                </c:pt>
                <c:pt idx="89">
                  <c:v>44322</c:v>
                </c:pt>
                <c:pt idx="90">
                  <c:v>44323</c:v>
                </c:pt>
                <c:pt idx="91">
                  <c:v>44326</c:v>
                </c:pt>
                <c:pt idx="92">
                  <c:v>44327</c:v>
                </c:pt>
                <c:pt idx="93">
                  <c:v>44328</c:v>
                </c:pt>
                <c:pt idx="94">
                  <c:v>44329</c:v>
                </c:pt>
                <c:pt idx="95">
                  <c:v>44330</c:v>
                </c:pt>
                <c:pt idx="96">
                  <c:v>44333</c:v>
                </c:pt>
                <c:pt idx="97">
                  <c:v>44334</c:v>
                </c:pt>
                <c:pt idx="98">
                  <c:v>44335</c:v>
                </c:pt>
                <c:pt idx="99">
                  <c:v>44336</c:v>
                </c:pt>
                <c:pt idx="100">
                  <c:v>44337</c:v>
                </c:pt>
                <c:pt idx="101">
                  <c:v>44340</c:v>
                </c:pt>
                <c:pt idx="102">
                  <c:v>44341</c:v>
                </c:pt>
                <c:pt idx="103">
                  <c:v>44342</c:v>
                </c:pt>
                <c:pt idx="104">
                  <c:v>44343</c:v>
                </c:pt>
                <c:pt idx="105">
                  <c:v>44344</c:v>
                </c:pt>
                <c:pt idx="106">
                  <c:v>44347</c:v>
                </c:pt>
                <c:pt idx="107">
                  <c:v>44348</c:v>
                </c:pt>
                <c:pt idx="108">
                  <c:v>44349</c:v>
                </c:pt>
                <c:pt idx="109">
                  <c:v>44350</c:v>
                </c:pt>
                <c:pt idx="110">
                  <c:v>44351</c:v>
                </c:pt>
                <c:pt idx="111">
                  <c:v>44354</c:v>
                </c:pt>
                <c:pt idx="112">
                  <c:v>44355</c:v>
                </c:pt>
                <c:pt idx="113">
                  <c:v>44356</c:v>
                </c:pt>
                <c:pt idx="114">
                  <c:v>44357</c:v>
                </c:pt>
                <c:pt idx="115">
                  <c:v>44358</c:v>
                </c:pt>
                <c:pt idx="116">
                  <c:v>44361</c:v>
                </c:pt>
                <c:pt idx="117">
                  <c:v>44362</c:v>
                </c:pt>
                <c:pt idx="118">
                  <c:v>44363</c:v>
                </c:pt>
                <c:pt idx="119">
                  <c:v>44364</c:v>
                </c:pt>
                <c:pt idx="120">
                  <c:v>44365</c:v>
                </c:pt>
                <c:pt idx="121">
                  <c:v>44368</c:v>
                </c:pt>
                <c:pt idx="122">
                  <c:v>44369</c:v>
                </c:pt>
                <c:pt idx="123">
                  <c:v>44370</c:v>
                </c:pt>
                <c:pt idx="124">
                  <c:v>44371</c:v>
                </c:pt>
                <c:pt idx="125">
                  <c:v>44372</c:v>
                </c:pt>
                <c:pt idx="126">
                  <c:v>44375</c:v>
                </c:pt>
                <c:pt idx="127">
                  <c:v>44376</c:v>
                </c:pt>
                <c:pt idx="128">
                  <c:v>44377</c:v>
                </c:pt>
                <c:pt idx="129">
                  <c:v>44378</c:v>
                </c:pt>
                <c:pt idx="130">
                  <c:v>44379</c:v>
                </c:pt>
                <c:pt idx="131">
                  <c:v>44382</c:v>
                </c:pt>
                <c:pt idx="132">
                  <c:v>44383</c:v>
                </c:pt>
                <c:pt idx="133">
                  <c:v>44384</c:v>
                </c:pt>
                <c:pt idx="134">
                  <c:v>44385</c:v>
                </c:pt>
                <c:pt idx="135">
                  <c:v>44386</c:v>
                </c:pt>
                <c:pt idx="136">
                  <c:v>44389</c:v>
                </c:pt>
                <c:pt idx="137">
                  <c:v>44390</c:v>
                </c:pt>
                <c:pt idx="138">
                  <c:v>44391</c:v>
                </c:pt>
                <c:pt idx="139">
                  <c:v>44392</c:v>
                </c:pt>
                <c:pt idx="140">
                  <c:v>44393</c:v>
                </c:pt>
                <c:pt idx="141">
                  <c:v>44396</c:v>
                </c:pt>
                <c:pt idx="142">
                  <c:v>44397</c:v>
                </c:pt>
                <c:pt idx="143">
                  <c:v>44398</c:v>
                </c:pt>
                <c:pt idx="144">
                  <c:v>44399</c:v>
                </c:pt>
                <c:pt idx="145">
                  <c:v>44400</c:v>
                </c:pt>
                <c:pt idx="146">
                  <c:v>44403</c:v>
                </c:pt>
                <c:pt idx="147">
                  <c:v>44404</c:v>
                </c:pt>
                <c:pt idx="148">
                  <c:v>44405</c:v>
                </c:pt>
                <c:pt idx="149">
                  <c:v>44406</c:v>
                </c:pt>
                <c:pt idx="150">
                  <c:v>44407</c:v>
                </c:pt>
                <c:pt idx="151">
                  <c:v>44410</c:v>
                </c:pt>
                <c:pt idx="152">
                  <c:v>44411</c:v>
                </c:pt>
                <c:pt idx="153">
                  <c:v>44412</c:v>
                </c:pt>
                <c:pt idx="154">
                  <c:v>44413</c:v>
                </c:pt>
                <c:pt idx="155">
                  <c:v>44414</c:v>
                </c:pt>
                <c:pt idx="156">
                  <c:v>44417</c:v>
                </c:pt>
                <c:pt idx="157">
                  <c:v>44418</c:v>
                </c:pt>
                <c:pt idx="158">
                  <c:v>44419</c:v>
                </c:pt>
                <c:pt idx="159">
                  <c:v>44420</c:v>
                </c:pt>
                <c:pt idx="160">
                  <c:v>44421</c:v>
                </c:pt>
                <c:pt idx="161">
                  <c:v>44424</c:v>
                </c:pt>
                <c:pt idx="162">
                  <c:v>44425</c:v>
                </c:pt>
                <c:pt idx="163">
                  <c:v>44426</c:v>
                </c:pt>
                <c:pt idx="164">
                  <c:v>44427</c:v>
                </c:pt>
                <c:pt idx="165">
                  <c:v>44428</c:v>
                </c:pt>
                <c:pt idx="166">
                  <c:v>44431</c:v>
                </c:pt>
                <c:pt idx="167">
                  <c:v>44432</c:v>
                </c:pt>
                <c:pt idx="168">
                  <c:v>44433</c:v>
                </c:pt>
                <c:pt idx="169">
                  <c:v>44434</c:v>
                </c:pt>
                <c:pt idx="170">
                  <c:v>44435</c:v>
                </c:pt>
                <c:pt idx="171">
                  <c:v>44438</c:v>
                </c:pt>
                <c:pt idx="172">
                  <c:v>44439</c:v>
                </c:pt>
                <c:pt idx="173">
                  <c:v>44440</c:v>
                </c:pt>
                <c:pt idx="174">
                  <c:v>44441</c:v>
                </c:pt>
                <c:pt idx="175">
                  <c:v>44442</c:v>
                </c:pt>
                <c:pt idx="176">
                  <c:v>44445</c:v>
                </c:pt>
                <c:pt idx="177">
                  <c:v>44446</c:v>
                </c:pt>
                <c:pt idx="178">
                  <c:v>44447</c:v>
                </c:pt>
                <c:pt idx="179">
                  <c:v>44448</c:v>
                </c:pt>
                <c:pt idx="180">
                  <c:v>44449</c:v>
                </c:pt>
                <c:pt idx="181">
                  <c:v>44452</c:v>
                </c:pt>
                <c:pt idx="182">
                  <c:v>44453</c:v>
                </c:pt>
                <c:pt idx="183">
                  <c:v>44454</c:v>
                </c:pt>
                <c:pt idx="184">
                  <c:v>44455</c:v>
                </c:pt>
                <c:pt idx="185">
                  <c:v>44456</c:v>
                </c:pt>
                <c:pt idx="186">
                  <c:v>44459</c:v>
                </c:pt>
                <c:pt idx="187">
                  <c:v>44460</c:v>
                </c:pt>
                <c:pt idx="188">
                  <c:v>44461</c:v>
                </c:pt>
                <c:pt idx="189">
                  <c:v>44462</c:v>
                </c:pt>
                <c:pt idx="190">
                  <c:v>44463</c:v>
                </c:pt>
                <c:pt idx="191">
                  <c:v>44466</c:v>
                </c:pt>
                <c:pt idx="192">
                  <c:v>44467</c:v>
                </c:pt>
                <c:pt idx="193">
                  <c:v>44468</c:v>
                </c:pt>
                <c:pt idx="194">
                  <c:v>44469</c:v>
                </c:pt>
                <c:pt idx="195">
                  <c:v>44470</c:v>
                </c:pt>
                <c:pt idx="196">
                  <c:v>44473</c:v>
                </c:pt>
                <c:pt idx="197">
                  <c:v>44474</c:v>
                </c:pt>
                <c:pt idx="198">
                  <c:v>44475</c:v>
                </c:pt>
                <c:pt idx="199">
                  <c:v>44476</c:v>
                </c:pt>
                <c:pt idx="200">
                  <c:v>44477</c:v>
                </c:pt>
                <c:pt idx="201">
                  <c:v>44480</c:v>
                </c:pt>
                <c:pt idx="202">
                  <c:v>44481</c:v>
                </c:pt>
                <c:pt idx="203">
                  <c:v>44482</c:v>
                </c:pt>
                <c:pt idx="204">
                  <c:v>44483</c:v>
                </c:pt>
                <c:pt idx="205">
                  <c:v>44484</c:v>
                </c:pt>
                <c:pt idx="206">
                  <c:v>44487</c:v>
                </c:pt>
                <c:pt idx="207">
                  <c:v>44488</c:v>
                </c:pt>
                <c:pt idx="208">
                  <c:v>44489</c:v>
                </c:pt>
                <c:pt idx="209">
                  <c:v>44490</c:v>
                </c:pt>
                <c:pt idx="210">
                  <c:v>44491</c:v>
                </c:pt>
                <c:pt idx="211">
                  <c:v>44494</c:v>
                </c:pt>
                <c:pt idx="212">
                  <c:v>44495</c:v>
                </c:pt>
                <c:pt idx="213">
                  <c:v>44496</c:v>
                </c:pt>
                <c:pt idx="214">
                  <c:v>44497</c:v>
                </c:pt>
                <c:pt idx="215">
                  <c:v>44498</c:v>
                </c:pt>
                <c:pt idx="216">
                  <c:v>44501</c:v>
                </c:pt>
                <c:pt idx="217">
                  <c:v>44502</c:v>
                </c:pt>
                <c:pt idx="218">
                  <c:v>44503</c:v>
                </c:pt>
                <c:pt idx="219">
                  <c:v>44504</c:v>
                </c:pt>
                <c:pt idx="220">
                  <c:v>44505</c:v>
                </c:pt>
                <c:pt idx="221">
                  <c:v>44508</c:v>
                </c:pt>
                <c:pt idx="222">
                  <c:v>44509</c:v>
                </c:pt>
                <c:pt idx="223">
                  <c:v>44510</c:v>
                </c:pt>
                <c:pt idx="224">
                  <c:v>44511</c:v>
                </c:pt>
                <c:pt idx="225">
                  <c:v>44512</c:v>
                </c:pt>
                <c:pt idx="226">
                  <c:v>44515</c:v>
                </c:pt>
                <c:pt idx="227">
                  <c:v>44516</c:v>
                </c:pt>
                <c:pt idx="228">
                  <c:v>44517</c:v>
                </c:pt>
                <c:pt idx="229">
                  <c:v>44518</c:v>
                </c:pt>
                <c:pt idx="230">
                  <c:v>44519</c:v>
                </c:pt>
                <c:pt idx="231">
                  <c:v>44522</c:v>
                </c:pt>
                <c:pt idx="232">
                  <c:v>44523</c:v>
                </c:pt>
                <c:pt idx="233">
                  <c:v>44524</c:v>
                </c:pt>
                <c:pt idx="234">
                  <c:v>44525</c:v>
                </c:pt>
                <c:pt idx="235">
                  <c:v>44526</c:v>
                </c:pt>
                <c:pt idx="236">
                  <c:v>44529</c:v>
                </c:pt>
                <c:pt idx="237">
                  <c:v>44530</c:v>
                </c:pt>
                <c:pt idx="238">
                  <c:v>44531</c:v>
                </c:pt>
                <c:pt idx="239">
                  <c:v>44532</c:v>
                </c:pt>
                <c:pt idx="240">
                  <c:v>44533</c:v>
                </c:pt>
                <c:pt idx="241">
                  <c:v>44536</c:v>
                </c:pt>
                <c:pt idx="242">
                  <c:v>44537</c:v>
                </c:pt>
                <c:pt idx="243">
                  <c:v>44538</c:v>
                </c:pt>
                <c:pt idx="244">
                  <c:v>44539</c:v>
                </c:pt>
                <c:pt idx="245">
                  <c:v>44540</c:v>
                </c:pt>
                <c:pt idx="246">
                  <c:v>44543</c:v>
                </c:pt>
                <c:pt idx="247">
                  <c:v>44544</c:v>
                </c:pt>
                <c:pt idx="248">
                  <c:v>44545</c:v>
                </c:pt>
                <c:pt idx="249">
                  <c:v>44546</c:v>
                </c:pt>
                <c:pt idx="250">
                  <c:v>44547</c:v>
                </c:pt>
                <c:pt idx="251">
                  <c:v>44550</c:v>
                </c:pt>
                <c:pt idx="252">
                  <c:v>44551</c:v>
                </c:pt>
                <c:pt idx="253">
                  <c:v>44552</c:v>
                </c:pt>
                <c:pt idx="254">
                  <c:v>44553</c:v>
                </c:pt>
                <c:pt idx="255">
                  <c:v>44554</c:v>
                </c:pt>
                <c:pt idx="256">
                  <c:v>44557</c:v>
                </c:pt>
                <c:pt idx="257">
                  <c:v>44558</c:v>
                </c:pt>
                <c:pt idx="258">
                  <c:v>44559</c:v>
                </c:pt>
                <c:pt idx="259">
                  <c:v>44560</c:v>
                </c:pt>
                <c:pt idx="260">
                  <c:v>44561</c:v>
                </c:pt>
                <c:pt idx="261">
                  <c:v>44564</c:v>
                </c:pt>
                <c:pt idx="262">
                  <c:v>44565</c:v>
                </c:pt>
                <c:pt idx="263">
                  <c:v>44566</c:v>
                </c:pt>
                <c:pt idx="264">
                  <c:v>44567</c:v>
                </c:pt>
                <c:pt idx="265">
                  <c:v>44568</c:v>
                </c:pt>
                <c:pt idx="266">
                  <c:v>44571</c:v>
                </c:pt>
                <c:pt idx="267">
                  <c:v>44572</c:v>
                </c:pt>
                <c:pt idx="268">
                  <c:v>44573</c:v>
                </c:pt>
                <c:pt idx="269">
                  <c:v>44574</c:v>
                </c:pt>
                <c:pt idx="270">
                  <c:v>44575</c:v>
                </c:pt>
                <c:pt idx="271">
                  <c:v>44578</c:v>
                </c:pt>
                <c:pt idx="272">
                  <c:v>44579</c:v>
                </c:pt>
                <c:pt idx="273">
                  <c:v>44580</c:v>
                </c:pt>
                <c:pt idx="274">
                  <c:v>44581</c:v>
                </c:pt>
                <c:pt idx="275">
                  <c:v>44582</c:v>
                </c:pt>
                <c:pt idx="276">
                  <c:v>44585</c:v>
                </c:pt>
                <c:pt idx="277">
                  <c:v>44586</c:v>
                </c:pt>
                <c:pt idx="278">
                  <c:v>44587</c:v>
                </c:pt>
                <c:pt idx="279">
                  <c:v>44588</c:v>
                </c:pt>
                <c:pt idx="280">
                  <c:v>44589</c:v>
                </c:pt>
                <c:pt idx="281">
                  <c:v>44592</c:v>
                </c:pt>
                <c:pt idx="282">
                  <c:v>44593</c:v>
                </c:pt>
                <c:pt idx="283">
                  <c:v>44594</c:v>
                </c:pt>
                <c:pt idx="284">
                  <c:v>44595</c:v>
                </c:pt>
                <c:pt idx="285">
                  <c:v>44596</c:v>
                </c:pt>
                <c:pt idx="286">
                  <c:v>44599</c:v>
                </c:pt>
                <c:pt idx="287">
                  <c:v>44600</c:v>
                </c:pt>
                <c:pt idx="288">
                  <c:v>44601</c:v>
                </c:pt>
                <c:pt idx="289">
                  <c:v>44602</c:v>
                </c:pt>
                <c:pt idx="290">
                  <c:v>44603</c:v>
                </c:pt>
                <c:pt idx="291">
                  <c:v>44606</c:v>
                </c:pt>
                <c:pt idx="292">
                  <c:v>44607</c:v>
                </c:pt>
                <c:pt idx="293">
                  <c:v>44608</c:v>
                </c:pt>
                <c:pt idx="294">
                  <c:v>44609</c:v>
                </c:pt>
                <c:pt idx="295">
                  <c:v>44610</c:v>
                </c:pt>
                <c:pt idx="296">
                  <c:v>44613</c:v>
                </c:pt>
                <c:pt idx="297">
                  <c:v>44614</c:v>
                </c:pt>
                <c:pt idx="298">
                  <c:v>44615</c:v>
                </c:pt>
                <c:pt idx="299">
                  <c:v>44616</c:v>
                </c:pt>
                <c:pt idx="300">
                  <c:v>44617</c:v>
                </c:pt>
                <c:pt idx="301">
                  <c:v>44620</c:v>
                </c:pt>
                <c:pt idx="302">
                  <c:v>44621</c:v>
                </c:pt>
                <c:pt idx="303">
                  <c:v>44622</c:v>
                </c:pt>
                <c:pt idx="304">
                  <c:v>44623</c:v>
                </c:pt>
                <c:pt idx="305">
                  <c:v>44624</c:v>
                </c:pt>
                <c:pt idx="306">
                  <c:v>44627</c:v>
                </c:pt>
                <c:pt idx="307">
                  <c:v>44628</c:v>
                </c:pt>
                <c:pt idx="308">
                  <c:v>44629</c:v>
                </c:pt>
                <c:pt idx="309">
                  <c:v>44630</c:v>
                </c:pt>
                <c:pt idx="310">
                  <c:v>44631</c:v>
                </c:pt>
                <c:pt idx="311">
                  <c:v>44634</c:v>
                </c:pt>
                <c:pt idx="312">
                  <c:v>44635</c:v>
                </c:pt>
                <c:pt idx="313">
                  <c:v>44636</c:v>
                </c:pt>
                <c:pt idx="314">
                  <c:v>44637</c:v>
                </c:pt>
                <c:pt idx="315">
                  <c:v>44638</c:v>
                </c:pt>
                <c:pt idx="316">
                  <c:v>44641</c:v>
                </c:pt>
                <c:pt idx="317">
                  <c:v>44642</c:v>
                </c:pt>
                <c:pt idx="318">
                  <c:v>44643</c:v>
                </c:pt>
                <c:pt idx="319">
                  <c:v>44644</c:v>
                </c:pt>
                <c:pt idx="320">
                  <c:v>44645</c:v>
                </c:pt>
                <c:pt idx="321">
                  <c:v>44648</c:v>
                </c:pt>
                <c:pt idx="322">
                  <c:v>44649</c:v>
                </c:pt>
                <c:pt idx="323">
                  <c:v>44650</c:v>
                </c:pt>
                <c:pt idx="324">
                  <c:v>44651</c:v>
                </c:pt>
                <c:pt idx="325">
                  <c:v>44652</c:v>
                </c:pt>
                <c:pt idx="326">
                  <c:v>44655</c:v>
                </c:pt>
                <c:pt idx="327">
                  <c:v>44656</c:v>
                </c:pt>
                <c:pt idx="328">
                  <c:v>44657</c:v>
                </c:pt>
                <c:pt idx="329">
                  <c:v>44658</c:v>
                </c:pt>
                <c:pt idx="330">
                  <c:v>44659</c:v>
                </c:pt>
                <c:pt idx="331">
                  <c:v>44662</c:v>
                </c:pt>
                <c:pt idx="332">
                  <c:v>44663</c:v>
                </c:pt>
                <c:pt idx="333">
                  <c:v>44664</c:v>
                </c:pt>
                <c:pt idx="334">
                  <c:v>44665</c:v>
                </c:pt>
                <c:pt idx="335">
                  <c:v>44666</c:v>
                </c:pt>
                <c:pt idx="336">
                  <c:v>44669</c:v>
                </c:pt>
                <c:pt idx="337">
                  <c:v>44670</c:v>
                </c:pt>
                <c:pt idx="338">
                  <c:v>44671</c:v>
                </c:pt>
                <c:pt idx="339">
                  <c:v>44672</c:v>
                </c:pt>
                <c:pt idx="340">
                  <c:v>44673</c:v>
                </c:pt>
                <c:pt idx="341">
                  <c:v>44676</c:v>
                </c:pt>
                <c:pt idx="342">
                  <c:v>44677</c:v>
                </c:pt>
                <c:pt idx="343">
                  <c:v>44678</c:v>
                </c:pt>
                <c:pt idx="344">
                  <c:v>44679</c:v>
                </c:pt>
                <c:pt idx="345">
                  <c:v>44680</c:v>
                </c:pt>
                <c:pt idx="346">
                  <c:v>44683</c:v>
                </c:pt>
                <c:pt idx="347">
                  <c:v>44684</c:v>
                </c:pt>
                <c:pt idx="348">
                  <c:v>44685</c:v>
                </c:pt>
                <c:pt idx="349">
                  <c:v>44686</c:v>
                </c:pt>
                <c:pt idx="350">
                  <c:v>44687</c:v>
                </c:pt>
                <c:pt idx="351">
                  <c:v>44690</c:v>
                </c:pt>
                <c:pt idx="352">
                  <c:v>44691</c:v>
                </c:pt>
                <c:pt idx="353">
                  <c:v>44692</c:v>
                </c:pt>
                <c:pt idx="354">
                  <c:v>44693</c:v>
                </c:pt>
                <c:pt idx="355">
                  <c:v>44694</c:v>
                </c:pt>
                <c:pt idx="356">
                  <c:v>44697</c:v>
                </c:pt>
                <c:pt idx="357">
                  <c:v>44698</c:v>
                </c:pt>
                <c:pt idx="358">
                  <c:v>44699</c:v>
                </c:pt>
                <c:pt idx="359">
                  <c:v>44700</c:v>
                </c:pt>
                <c:pt idx="360">
                  <c:v>44701</c:v>
                </c:pt>
                <c:pt idx="361">
                  <c:v>44704</c:v>
                </c:pt>
                <c:pt idx="362">
                  <c:v>44705</c:v>
                </c:pt>
                <c:pt idx="363">
                  <c:v>44706</c:v>
                </c:pt>
                <c:pt idx="364">
                  <c:v>44707</c:v>
                </c:pt>
                <c:pt idx="365">
                  <c:v>44708</c:v>
                </c:pt>
                <c:pt idx="366">
                  <c:v>44711</c:v>
                </c:pt>
                <c:pt idx="367">
                  <c:v>44712</c:v>
                </c:pt>
                <c:pt idx="368">
                  <c:v>44713</c:v>
                </c:pt>
                <c:pt idx="369">
                  <c:v>44714</c:v>
                </c:pt>
                <c:pt idx="370">
                  <c:v>44715</c:v>
                </c:pt>
                <c:pt idx="371">
                  <c:v>44718</c:v>
                </c:pt>
                <c:pt idx="372">
                  <c:v>44719</c:v>
                </c:pt>
                <c:pt idx="373">
                  <c:v>44720</c:v>
                </c:pt>
                <c:pt idx="374">
                  <c:v>44721</c:v>
                </c:pt>
                <c:pt idx="375">
                  <c:v>44722</c:v>
                </c:pt>
                <c:pt idx="376">
                  <c:v>44725</c:v>
                </c:pt>
                <c:pt idx="377">
                  <c:v>44726</c:v>
                </c:pt>
                <c:pt idx="378">
                  <c:v>44727</c:v>
                </c:pt>
                <c:pt idx="379">
                  <c:v>44728</c:v>
                </c:pt>
                <c:pt idx="380">
                  <c:v>44729</c:v>
                </c:pt>
                <c:pt idx="381">
                  <c:v>44732</c:v>
                </c:pt>
                <c:pt idx="382">
                  <c:v>44733</c:v>
                </c:pt>
                <c:pt idx="383">
                  <c:v>44734</c:v>
                </c:pt>
                <c:pt idx="384">
                  <c:v>44735</c:v>
                </c:pt>
                <c:pt idx="385">
                  <c:v>44736</c:v>
                </c:pt>
                <c:pt idx="386">
                  <c:v>44739</c:v>
                </c:pt>
                <c:pt idx="387">
                  <c:v>44740</c:v>
                </c:pt>
                <c:pt idx="388">
                  <c:v>44741</c:v>
                </c:pt>
                <c:pt idx="389">
                  <c:v>44742</c:v>
                </c:pt>
                <c:pt idx="390">
                  <c:v>44743</c:v>
                </c:pt>
                <c:pt idx="391">
                  <c:v>44746</c:v>
                </c:pt>
                <c:pt idx="392">
                  <c:v>44747</c:v>
                </c:pt>
                <c:pt idx="393">
                  <c:v>44748</c:v>
                </c:pt>
                <c:pt idx="394">
                  <c:v>44749</c:v>
                </c:pt>
                <c:pt idx="395">
                  <c:v>44750</c:v>
                </c:pt>
                <c:pt idx="396">
                  <c:v>44753</c:v>
                </c:pt>
                <c:pt idx="397">
                  <c:v>44754</c:v>
                </c:pt>
                <c:pt idx="398">
                  <c:v>44755</c:v>
                </c:pt>
                <c:pt idx="399">
                  <c:v>44756</c:v>
                </c:pt>
                <c:pt idx="400">
                  <c:v>44757</c:v>
                </c:pt>
                <c:pt idx="401">
                  <c:v>44760</c:v>
                </c:pt>
                <c:pt idx="402">
                  <c:v>44761</c:v>
                </c:pt>
                <c:pt idx="403">
                  <c:v>44762</c:v>
                </c:pt>
                <c:pt idx="404">
                  <c:v>44763</c:v>
                </c:pt>
                <c:pt idx="405">
                  <c:v>44764</c:v>
                </c:pt>
                <c:pt idx="406">
                  <c:v>44767</c:v>
                </c:pt>
                <c:pt idx="407">
                  <c:v>44768</c:v>
                </c:pt>
                <c:pt idx="408">
                  <c:v>44769</c:v>
                </c:pt>
                <c:pt idx="409">
                  <c:v>44770</c:v>
                </c:pt>
                <c:pt idx="410">
                  <c:v>44771</c:v>
                </c:pt>
                <c:pt idx="411">
                  <c:v>44774</c:v>
                </c:pt>
                <c:pt idx="412">
                  <c:v>44775</c:v>
                </c:pt>
                <c:pt idx="413">
                  <c:v>44776</c:v>
                </c:pt>
                <c:pt idx="414">
                  <c:v>44777</c:v>
                </c:pt>
                <c:pt idx="415">
                  <c:v>44778</c:v>
                </c:pt>
                <c:pt idx="416">
                  <c:v>44781</c:v>
                </c:pt>
                <c:pt idx="417">
                  <c:v>44782</c:v>
                </c:pt>
                <c:pt idx="418">
                  <c:v>44783</c:v>
                </c:pt>
                <c:pt idx="419">
                  <c:v>44784</c:v>
                </c:pt>
                <c:pt idx="420">
                  <c:v>44785</c:v>
                </c:pt>
                <c:pt idx="421">
                  <c:v>44788</c:v>
                </c:pt>
                <c:pt idx="422">
                  <c:v>44789</c:v>
                </c:pt>
                <c:pt idx="423">
                  <c:v>44790</c:v>
                </c:pt>
                <c:pt idx="424">
                  <c:v>44791</c:v>
                </c:pt>
                <c:pt idx="425">
                  <c:v>44792</c:v>
                </c:pt>
                <c:pt idx="426">
                  <c:v>44795</c:v>
                </c:pt>
                <c:pt idx="427">
                  <c:v>44796</c:v>
                </c:pt>
                <c:pt idx="428">
                  <c:v>44797</c:v>
                </c:pt>
                <c:pt idx="429">
                  <c:v>44798</c:v>
                </c:pt>
                <c:pt idx="430">
                  <c:v>44799</c:v>
                </c:pt>
                <c:pt idx="431">
                  <c:v>44802</c:v>
                </c:pt>
                <c:pt idx="432">
                  <c:v>44803</c:v>
                </c:pt>
                <c:pt idx="433">
                  <c:v>44804</c:v>
                </c:pt>
                <c:pt idx="434">
                  <c:v>44805</c:v>
                </c:pt>
                <c:pt idx="435">
                  <c:v>44806</c:v>
                </c:pt>
                <c:pt idx="436">
                  <c:v>44809</c:v>
                </c:pt>
                <c:pt idx="437">
                  <c:v>44810</c:v>
                </c:pt>
                <c:pt idx="438">
                  <c:v>44811</c:v>
                </c:pt>
                <c:pt idx="439">
                  <c:v>44812</c:v>
                </c:pt>
                <c:pt idx="440">
                  <c:v>44813</c:v>
                </c:pt>
                <c:pt idx="441">
                  <c:v>44816</c:v>
                </c:pt>
                <c:pt idx="442">
                  <c:v>44817</c:v>
                </c:pt>
                <c:pt idx="443">
                  <c:v>44818</c:v>
                </c:pt>
                <c:pt idx="444">
                  <c:v>44819</c:v>
                </c:pt>
                <c:pt idx="445">
                  <c:v>44820</c:v>
                </c:pt>
                <c:pt idx="446">
                  <c:v>44823</c:v>
                </c:pt>
                <c:pt idx="447">
                  <c:v>44824</c:v>
                </c:pt>
                <c:pt idx="448">
                  <c:v>44825</c:v>
                </c:pt>
                <c:pt idx="449">
                  <c:v>44826</c:v>
                </c:pt>
                <c:pt idx="450">
                  <c:v>44827</c:v>
                </c:pt>
                <c:pt idx="451">
                  <c:v>44830</c:v>
                </c:pt>
                <c:pt idx="452">
                  <c:v>44831</c:v>
                </c:pt>
                <c:pt idx="453">
                  <c:v>44832</c:v>
                </c:pt>
                <c:pt idx="454">
                  <c:v>44833</c:v>
                </c:pt>
                <c:pt idx="455">
                  <c:v>44834</c:v>
                </c:pt>
                <c:pt idx="456">
                  <c:v>44837</c:v>
                </c:pt>
                <c:pt idx="457">
                  <c:v>44838</c:v>
                </c:pt>
                <c:pt idx="458">
                  <c:v>44839</c:v>
                </c:pt>
                <c:pt idx="459">
                  <c:v>44840</c:v>
                </c:pt>
                <c:pt idx="460">
                  <c:v>44841</c:v>
                </c:pt>
                <c:pt idx="461">
                  <c:v>44844</c:v>
                </c:pt>
                <c:pt idx="462">
                  <c:v>44845</c:v>
                </c:pt>
                <c:pt idx="463">
                  <c:v>44846</c:v>
                </c:pt>
                <c:pt idx="464">
                  <c:v>44847</c:v>
                </c:pt>
                <c:pt idx="465">
                  <c:v>44848</c:v>
                </c:pt>
                <c:pt idx="466">
                  <c:v>44851</c:v>
                </c:pt>
                <c:pt idx="467">
                  <c:v>44852</c:v>
                </c:pt>
                <c:pt idx="468">
                  <c:v>44853</c:v>
                </c:pt>
                <c:pt idx="469">
                  <c:v>44854</c:v>
                </c:pt>
                <c:pt idx="470">
                  <c:v>44855</c:v>
                </c:pt>
                <c:pt idx="471">
                  <c:v>44858</c:v>
                </c:pt>
                <c:pt idx="472">
                  <c:v>44859</c:v>
                </c:pt>
                <c:pt idx="473">
                  <c:v>44860</c:v>
                </c:pt>
                <c:pt idx="474">
                  <c:v>44861</c:v>
                </c:pt>
                <c:pt idx="475">
                  <c:v>44862</c:v>
                </c:pt>
                <c:pt idx="476">
                  <c:v>44865</c:v>
                </c:pt>
                <c:pt idx="477">
                  <c:v>44866</c:v>
                </c:pt>
                <c:pt idx="478">
                  <c:v>44867</c:v>
                </c:pt>
                <c:pt idx="479">
                  <c:v>44868</c:v>
                </c:pt>
                <c:pt idx="480">
                  <c:v>44869</c:v>
                </c:pt>
                <c:pt idx="481">
                  <c:v>44872</c:v>
                </c:pt>
                <c:pt idx="482">
                  <c:v>44873</c:v>
                </c:pt>
                <c:pt idx="483">
                  <c:v>44874</c:v>
                </c:pt>
                <c:pt idx="484">
                  <c:v>44875</c:v>
                </c:pt>
                <c:pt idx="485">
                  <c:v>44876</c:v>
                </c:pt>
                <c:pt idx="486">
                  <c:v>44879</c:v>
                </c:pt>
                <c:pt idx="487">
                  <c:v>44880</c:v>
                </c:pt>
                <c:pt idx="488">
                  <c:v>44881</c:v>
                </c:pt>
                <c:pt idx="489">
                  <c:v>44882</c:v>
                </c:pt>
                <c:pt idx="490">
                  <c:v>44883</c:v>
                </c:pt>
                <c:pt idx="491">
                  <c:v>44886</c:v>
                </c:pt>
                <c:pt idx="492">
                  <c:v>44887</c:v>
                </c:pt>
                <c:pt idx="493">
                  <c:v>44888</c:v>
                </c:pt>
                <c:pt idx="494">
                  <c:v>44889</c:v>
                </c:pt>
                <c:pt idx="495">
                  <c:v>44890</c:v>
                </c:pt>
                <c:pt idx="496">
                  <c:v>44893</c:v>
                </c:pt>
                <c:pt idx="497">
                  <c:v>44894</c:v>
                </c:pt>
                <c:pt idx="498">
                  <c:v>44895</c:v>
                </c:pt>
                <c:pt idx="499">
                  <c:v>44896</c:v>
                </c:pt>
                <c:pt idx="500">
                  <c:v>44897</c:v>
                </c:pt>
                <c:pt idx="501">
                  <c:v>44900</c:v>
                </c:pt>
                <c:pt idx="502">
                  <c:v>44901</c:v>
                </c:pt>
                <c:pt idx="503">
                  <c:v>44902</c:v>
                </c:pt>
                <c:pt idx="504">
                  <c:v>44903</c:v>
                </c:pt>
                <c:pt idx="505">
                  <c:v>44904</c:v>
                </c:pt>
                <c:pt idx="506">
                  <c:v>44907</c:v>
                </c:pt>
                <c:pt idx="507">
                  <c:v>44908</c:v>
                </c:pt>
                <c:pt idx="508">
                  <c:v>44909</c:v>
                </c:pt>
                <c:pt idx="509">
                  <c:v>44910</c:v>
                </c:pt>
                <c:pt idx="510">
                  <c:v>44911</c:v>
                </c:pt>
                <c:pt idx="511">
                  <c:v>44914</c:v>
                </c:pt>
                <c:pt idx="512">
                  <c:v>44915</c:v>
                </c:pt>
                <c:pt idx="513">
                  <c:v>44916</c:v>
                </c:pt>
                <c:pt idx="514">
                  <c:v>44917</c:v>
                </c:pt>
                <c:pt idx="515">
                  <c:v>44918</c:v>
                </c:pt>
                <c:pt idx="516">
                  <c:v>44921</c:v>
                </c:pt>
                <c:pt idx="517">
                  <c:v>44922</c:v>
                </c:pt>
                <c:pt idx="518">
                  <c:v>44923</c:v>
                </c:pt>
                <c:pt idx="519">
                  <c:v>44924</c:v>
                </c:pt>
                <c:pt idx="520">
                  <c:v>44925</c:v>
                </c:pt>
                <c:pt idx="521">
                  <c:v>44928</c:v>
                </c:pt>
                <c:pt idx="522">
                  <c:v>44929</c:v>
                </c:pt>
                <c:pt idx="523">
                  <c:v>44930</c:v>
                </c:pt>
                <c:pt idx="524">
                  <c:v>44931</c:v>
                </c:pt>
                <c:pt idx="525">
                  <c:v>44932</c:v>
                </c:pt>
                <c:pt idx="526">
                  <c:v>44935</c:v>
                </c:pt>
                <c:pt idx="527">
                  <c:v>44936</c:v>
                </c:pt>
                <c:pt idx="528">
                  <c:v>44937</c:v>
                </c:pt>
                <c:pt idx="529">
                  <c:v>44938</c:v>
                </c:pt>
                <c:pt idx="530">
                  <c:v>44939</c:v>
                </c:pt>
                <c:pt idx="531">
                  <c:v>44942</c:v>
                </c:pt>
                <c:pt idx="532">
                  <c:v>44943</c:v>
                </c:pt>
                <c:pt idx="533">
                  <c:v>44944</c:v>
                </c:pt>
                <c:pt idx="534">
                  <c:v>44945</c:v>
                </c:pt>
                <c:pt idx="535">
                  <c:v>44946</c:v>
                </c:pt>
                <c:pt idx="536">
                  <c:v>44949</c:v>
                </c:pt>
                <c:pt idx="537">
                  <c:v>44950</c:v>
                </c:pt>
                <c:pt idx="538">
                  <c:v>44951</c:v>
                </c:pt>
                <c:pt idx="539">
                  <c:v>44952</c:v>
                </c:pt>
                <c:pt idx="540">
                  <c:v>44953</c:v>
                </c:pt>
                <c:pt idx="541">
                  <c:v>44956</c:v>
                </c:pt>
                <c:pt idx="542">
                  <c:v>44957</c:v>
                </c:pt>
                <c:pt idx="543">
                  <c:v>44958</c:v>
                </c:pt>
                <c:pt idx="544">
                  <c:v>44959</c:v>
                </c:pt>
                <c:pt idx="545">
                  <c:v>44960</c:v>
                </c:pt>
                <c:pt idx="546">
                  <c:v>44963</c:v>
                </c:pt>
                <c:pt idx="547">
                  <c:v>44964</c:v>
                </c:pt>
                <c:pt idx="548">
                  <c:v>44965</c:v>
                </c:pt>
                <c:pt idx="549">
                  <c:v>44966</c:v>
                </c:pt>
                <c:pt idx="550">
                  <c:v>44967</c:v>
                </c:pt>
                <c:pt idx="551">
                  <c:v>44970</c:v>
                </c:pt>
                <c:pt idx="552">
                  <c:v>44971</c:v>
                </c:pt>
                <c:pt idx="553">
                  <c:v>44972</c:v>
                </c:pt>
                <c:pt idx="554">
                  <c:v>44973</c:v>
                </c:pt>
                <c:pt idx="555">
                  <c:v>44974</c:v>
                </c:pt>
                <c:pt idx="556">
                  <c:v>44977</c:v>
                </c:pt>
                <c:pt idx="557">
                  <c:v>44978</c:v>
                </c:pt>
                <c:pt idx="558">
                  <c:v>44979</c:v>
                </c:pt>
                <c:pt idx="559">
                  <c:v>44980</c:v>
                </c:pt>
                <c:pt idx="560">
                  <c:v>44981</c:v>
                </c:pt>
                <c:pt idx="561">
                  <c:v>44984</c:v>
                </c:pt>
                <c:pt idx="562">
                  <c:v>44985</c:v>
                </c:pt>
                <c:pt idx="563">
                  <c:v>44986</c:v>
                </c:pt>
                <c:pt idx="564">
                  <c:v>44987</c:v>
                </c:pt>
                <c:pt idx="565">
                  <c:v>44988</c:v>
                </c:pt>
                <c:pt idx="566">
                  <c:v>44991</c:v>
                </c:pt>
                <c:pt idx="567">
                  <c:v>44992</c:v>
                </c:pt>
                <c:pt idx="568">
                  <c:v>44993</c:v>
                </c:pt>
                <c:pt idx="569">
                  <c:v>44994</c:v>
                </c:pt>
                <c:pt idx="570">
                  <c:v>44995</c:v>
                </c:pt>
                <c:pt idx="571">
                  <c:v>44998</c:v>
                </c:pt>
                <c:pt idx="572">
                  <c:v>44999</c:v>
                </c:pt>
                <c:pt idx="573">
                  <c:v>45000</c:v>
                </c:pt>
                <c:pt idx="574">
                  <c:v>45001</c:v>
                </c:pt>
                <c:pt idx="575">
                  <c:v>45002</c:v>
                </c:pt>
                <c:pt idx="576">
                  <c:v>45005</c:v>
                </c:pt>
                <c:pt idx="577">
                  <c:v>45006</c:v>
                </c:pt>
                <c:pt idx="578">
                  <c:v>45007</c:v>
                </c:pt>
                <c:pt idx="579">
                  <c:v>45008</c:v>
                </c:pt>
                <c:pt idx="580">
                  <c:v>45009</c:v>
                </c:pt>
                <c:pt idx="581">
                  <c:v>45012</c:v>
                </c:pt>
                <c:pt idx="582">
                  <c:v>45013</c:v>
                </c:pt>
                <c:pt idx="583">
                  <c:v>45014</c:v>
                </c:pt>
                <c:pt idx="584">
                  <c:v>45015</c:v>
                </c:pt>
                <c:pt idx="585">
                  <c:v>45016</c:v>
                </c:pt>
                <c:pt idx="586">
                  <c:v>45019</c:v>
                </c:pt>
                <c:pt idx="587">
                  <c:v>45020</c:v>
                </c:pt>
                <c:pt idx="588">
                  <c:v>45021</c:v>
                </c:pt>
                <c:pt idx="589">
                  <c:v>45022</c:v>
                </c:pt>
                <c:pt idx="590">
                  <c:v>45023</c:v>
                </c:pt>
                <c:pt idx="591">
                  <c:v>45026</c:v>
                </c:pt>
                <c:pt idx="592">
                  <c:v>45027</c:v>
                </c:pt>
                <c:pt idx="593">
                  <c:v>45028</c:v>
                </c:pt>
                <c:pt idx="594">
                  <c:v>45029</c:v>
                </c:pt>
                <c:pt idx="595">
                  <c:v>45030</c:v>
                </c:pt>
                <c:pt idx="596">
                  <c:v>45033</c:v>
                </c:pt>
                <c:pt idx="597">
                  <c:v>45034</c:v>
                </c:pt>
                <c:pt idx="598">
                  <c:v>45035</c:v>
                </c:pt>
                <c:pt idx="599">
                  <c:v>45036</c:v>
                </c:pt>
                <c:pt idx="600">
                  <c:v>45037</c:v>
                </c:pt>
                <c:pt idx="601">
                  <c:v>45040</c:v>
                </c:pt>
                <c:pt idx="602">
                  <c:v>45041</c:v>
                </c:pt>
                <c:pt idx="603">
                  <c:v>45042</c:v>
                </c:pt>
                <c:pt idx="604">
                  <c:v>45043</c:v>
                </c:pt>
                <c:pt idx="605">
                  <c:v>45044</c:v>
                </c:pt>
                <c:pt idx="606">
                  <c:v>45047</c:v>
                </c:pt>
                <c:pt idx="607">
                  <c:v>45048</c:v>
                </c:pt>
                <c:pt idx="608">
                  <c:v>45049</c:v>
                </c:pt>
                <c:pt idx="609">
                  <c:v>45050</c:v>
                </c:pt>
                <c:pt idx="610">
                  <c:v>45051</c:v>
                </c:pt>
                <c:pt idx="611">
                  <c:v>45054</c:v>
                </c:pt>
                <c:pt idx="612">
                  <c:v>45055</c:v>
                </c:pt>
                <c:pt idx="613">
                  <c:v>45056</c:v>
                </c:pt>
                <c:pt idx="614">
                  <c:v>45057</c:v>
                </c:pt>
                <c:pt idx="615">
                  <c:v>45058</c:v>
                </c:pt>
                <c:pt idx="616">
                  <c:v>45061</c:v>
                </c:pt>
                <c:pt idx="617">
                  <c:v>45062</c:v>
                </c:pt>
                <c:pt idx="618">
                  <c:v>45063</c:v>
                </c:pt>
                <c:pt idx="619">
                  <c:v>45064</c:v>
                </c:pt>
                <c:pt idx="620">
                  <c:v>45065</c:v>
                </c:pt>
                <c:pt idx="621">
                  <c:v>45068</c:v>
                </c:pt>
                <c:pt idx="622">
                  <c:v>45069</c:v>
                </c:pt>
                <c:pt idx="623">
                  <c:v>45070</c:v>
                </c:pt>
                <c:pt idx="624">
                  <c:v>45071</c:v>
                </c:pt>
                <c:pt idx="625">
                  <c:v>45072</c:v>
                </c:pt>
                <c:pt idx="626">
                  <c:v>45075</c:v>
                </c:pt>
                <c:pt idx="627">
                  <c:v>45076</c:v>
                </c:pt>
                <c:pt idx="628">
                  <c:v>45077</c:v>
                </c:pt>
                <c:pt idx="629">
                  <c:v>45078</c:v>
                </c:pt>
                <c:pt idx="630">
                  <c:v>45079</c:v>
                </c:pt>
                <c:pt idx="631">
                  <c:v>45082</c:v>
                </c:pt>
                <c:pt idx="632">
                  <c:v>45083</c:v>
                </c:pt>
                <c:pt idx="633">
                  <c:v>45084</c:v>
                </c:pt>
                <c:pt idx="634">
                  <c:v>45085</c:v>
                </c:pt>
                <c:pt idx="635">
                  <c:v>45086</c:v>
                </c:pt>
                <c:pt idx="636">
                  <c:v>45089</c:v>
                </c:pt>
                <c:pt idx="637">
                  <c:v>45090</c:v>
                </c:pt>
                <c:pt idx="638">
                  <c:v>45091</c:v>
                </c:pt>
                <c:pt idx="639">
                  <c:v>45092</c:v>
                </c:pt>
                <c:pt idx="640">
                  <c:v>45093</c:v>
                </c:pt>
                <c:pt idx="641">
                  <c:v>45096</c:v>
                </c:pt>
                <c:pt idx="642">
                  <c:v>45097</c:v>
                </c:pt>
                <c:pt idx="643">
                  <c:v>45098</c:v>
                </c:pt>
                <c:pt idx="644">
                  <c:v>45099</c:v>
                </c:pt>
                <c:pt idx="645">
                  <c:v>45100</c:v>
                </c:pt>
                <c:pt idx="646">
                  <c:v>45103</c:v>
                </c:pt>
                <c:pt idx="647">
                  <c:v>45104</c:v>
                </c:pt>
                <c:pt idx="648">
                  <c:v>45105</c:v>
                </c:pt>
                <c:pt idx="649">
                  <c:v>45106</c:v>
                </c:pt>
                <c:pt idx="650">
                  <c:v>45107</c:v>
                </c:pt>
                <c:pt idx="651">
                  <c:v>45110</c:v>
                </c:pt>
                <c:pt idx="652">
                  <c:v>45111</c:v>
                </c:pt>
                <c:pt idx="653">
                  <c:v>45112</c:v>
                </c:pt>
                <c:pt idx="654">
                  <c:v>45113</c:v>
                </c:pt>
                <c:pt idx="655">
                  <c:v>45114</c:v>
                </c:pt>
                <c:pt idx="656">
                  <c:v>45117</c:v>
                </c:pt>
                <c:pt idx="657">
                  <c:v>45118</c:v>
                </c:pt>
                <c:pt idx="658">
                  <c:v>45119</c:v>
                </c:pt>
                <c:pt idx="659">
                  <c:v>45120</c:v>
                </c:pt>
                <c:pt idx="660">
                  <c:v>45121</c:v>
                </c:pt>
                <c:pt idx="661">
                  <c:v>45124</c:v>
                </c:pt>
                <c:pt idx="662">
                  <c:v>45125</c:v>
                </c:pt>
                <c:pt idx="663">
                  <c:v>45126</c:v>
                </c:pt>
                <c:pt idx="664">
                  <c:v>45127</c:v>
                </c:pt>
                <c:pt idx="665">
                  <c:v>45128</c:v>
                </c:pt>
                <c:pt idx="666">
                  <c:v>45131</c:v>
                </c:pt>
                <c:pt idx="667">
                  <c:v>45132</c:v>
                </c:pt>
                <c:pt idx="668">
                  <c:v>45133</c:v>
                </c:pt>
                <c:pt idx="669">
                  <c:v>45134</c:v>
                </c:pt>
                <c:pt idx="670">
                  <c:v>45135</c:v>
                </c:pt>
                <c:pt idx="671">
                  <c:v>45138</c:v>
                </c:pt>
                <c:pt idx="672">
                  <c:v>45139</c:v>
                </c:pt>
                <c:pt idx="673">
                  <c:v>45140</c:v>
                </c:pt>
                <c:pt idx="674">
                  <c:v>45141</c:v>
                </c:pt>
                <c:pt idx="675">
                  <c:v>45142</c:v>
                </c:pt>
                <c:pt idx="676">
                  <c:v>45145</c:v>
                </c:pt>
                <c:pt idx="677">
                  <c:v>45146</c:v>
                </c:pt>
                <c:pt idx="678">
                  <c:v>45147</c:v>
                </c:pt>
                <c:pt idx="679">
                  <c:v>45148</c:v>
                </c:pt>
                <c:pt idx="680">
                  <c:v>45149</c:v>
                </c:pt>
                <c:pt idx="681">
                  <c:v>45152</c:v>
                </c:pt>
                <c:pt idx="682">
                  <c:v>45153</c:v>
                </c:pt>
                <c:pt idx="683">
                  <c:v>45154</c:v>
                </c:pt>
                <c:pt idx="684">
                  <c:v>45155</c:v>
                </c:pt>
                <c:pt idx="685">
                  <c:v>45156</c:v>
                </c:pt>
                <c:pt idx="686">
                  <c:v>45159</c:v>
                </c:pt>
                <c:pt idx="687">
                  <c:v>45160</c:v>
                </c:pt>
                <c:pt idx="688">
                  <c:v>45161</c:v>
                </c:pt>
                <c:pt idx="689">
                  <c:v>45162</c:v>
                </c:pt>
                <c:pt idx="690">
                  <c:v>45163</c:v>
                </c:pt>
                <c:pt idx="691">
                  <c:v>45166</c:v>
                </c:pt>
                <c:pt idx="692">
                  <c:v>45167</c:v>
                </c:pt>
                <c:pt idx="693">
                  <c:v>45168</c:v>
                </c:pt>
                <c:pt idx="694">
                  <c:v>45169</c:v>
                </c:pt>
                <c:pt idx="695">
                  <c:v>45170</c:v>
                </c:pt>
                <c:pt idx="696">
                  <c:v>45173</c:v>
                </c:pt>
                <c:pt idx="697">
                  <c:v>45174</c:v>
                </c:pt>
                <c:pt idx="698">
                  <c:v>45175</c:v>
                </c:pt>
                <c:pt idx="699">
                  <c:v>45176</c:v>
                </c:pt>
                <c:pt idx="700">
                  <c:v>45177</c:v>
                </c:pt>
                <c:pt idx="701">
                  <c:v>45180</c:v>
                </c:pt>
                <c:pt idx="702">
                  <c:v>45181</c:v>
                </c:pt>
                <c:pt idx="703">
                  <c:v>45182</c:v>
                </c:pt>
                <c:pt idx="704">
                  <c:v>45183</c:v>
                </c:pt>
                <c:pt idx="705">
                  <c:v>45184</c:v>
                </c:pt>
                <c:pt idx="706">
                  <c:v>45187</c:v>
                </c:pt>
                <c:pt idx="707">
                  <c:v>45188</c:v>
                </c:pt>
                <c:pt idx="708">
                  <c:v>45189</c:v>
                </c:pt>
                <c:pt idx="709">
                  <c:v>45190</c:v>
                </c:pt>
                <c:pt idx="710">
                  <c:v>45191</c:v>
                </c:pt>
                <c:pt idx="711">
                  <c:v>45194</c:v>
                </c:pt>
                <c:pt idx="712">
                  <c:v>45195</c:v>
                </c:pt>
                <c:pt idx="713">
                  <c:v>45196</c:v>
                </c:pt>
                <c:pt idx="714">
                  <c:v>45197</c:v>
                </c:pt>
                <c:pt idx="715">
                  <c:v>45198</c:v>
                </c:pt>
                <c:pt idx="716">
                  <c:v>45201</c:v>
                </c:pt>
                <c:pt idx="717">
                  <c:v>45202</c:v>
                </c:pt>
                <c:pt idx="718">
                  <c:v>45203</c:v>
                </c:pt>
                <c:pt idx="719">
                  <c:v>45204</c:v>
                </c:pt>
                <c:pt idx="720">
                  <c:v>45205</c:v>
                </c:pt>
                <c:pt idx="721">
                  <c:v>45208</c:v>
                </c:pt>
                <c:pt idx="722">
                  <c:v>45209</c:v>
                </c:pt>
                <c:pt idx="723">
                  <c:v>45210</c:v>
                </c:pt>
                <c:pt idx="724">
                  <c:v>45211</c:v>
                </c:pt>
                <c:pt idx="725">
                  <c:v>45212</c:v>
                </c:pt>
                <c:pt idx="726">
                  <c:v>45215</c:v>
                </c:pt>
                <c:pt idx="727">
                  <c:v>45216</c:v>
                </c:pt>
                <c:pt idx="728">
                  <c:v>45217</c:v>
                </c:pt>
                <c:pt idx="729">
                  <c:v>45218</c:v>
                </c:pt>
                <c:pt idx="730">
                  <c:v>45219</c:v>
                </c:pt>
                <c:pt idx="731">
                  <c:v>45222</c:v>
                </c:pt>
                <c:pt idx="732">
                  <c:v>45223</c:v>
                </c:pt>
                <c:pt idx="733">
                  <c:v>45224</c:v>
                </c:pt>
                <c:pt idx="734">
                  <c:v>45225</c:v>
                </c:pt>
                <c:pt idx="735">
                  <c:v>45226</c:v>
                </c:pt>
                <c:pt idx="736">
                  <c:v>45229</c:v>
                </c:pt>
                <c:pt idx="737">
                  <c:v>45230</c:v>
                </c:pt>
                <c:pt idx="738">
                  <c:v>45231</c:v>
                </c:pt>
                <c:pt idx="739">
                  <c:v>45232</c:v>
                </c:pt>
                <c:pt idx="740">
                  <c:v>45233</c:v>
                </c:pt>
                <c:pt idx="741">
                  <c:v>45236</c:v>
                </c:pt>
                <c:pt idx="742">
                  <c:v>45237</c:v>
                </c:pt>
                <c:pt idx="743">
                  <c:v>45238</c:v>
                </c:pt>
                <c:pt idx="744">
                  <c:v>45239</c:v>
                </c:pt>
                <c:pt idx="745">
                  <c:v>45240</c:v>
                </c:pt>
                <c:pt idx="746">
                  <c:v>45243</c:v>
                </c:pt>
                <c:pt idx="747">
                  <c:v>45244</c:v>
                </c:pt>
                <c:pt idx="748">
                  <c:v>45245</c:v>
                </c:pt>
                <c:pt idx="749">
                  <c:v>45246</c:v>
                </c:pt>
                <c:pt idx="750">
                  <c:v>45247</c:v>
                </c:pt>
                <c:pt idx="751">
                  <c:v>45250</c:v>
                </c:pt>
                <c:pt idx="752">
                  <c:v>45251</c:v>
                </c:pt>
                <c:pt idx="753">
                  <c:v>45252</c:v>
                </c:pt>
                <c:pt idx="754">
                  <c:v>45253</c:v>
                </c:pt>
                <c:pt idx="755">
                  <c:v>45254</c:v>
                </c:pt>
                <c:pt idx="756">
                  <c:v>45257</c:v>
                </c:pt>
                <c:pt idx="757">
                  <c:v>45258</c:v>
                </c:pt>
                <c:pt idx="758">
                  <c:v>45259</c:v>
                </c:pt>
                <c:pt idx="759">
                  <c:v>45260</c:v>
                </c:pt>
                <c:pt idx="760">
                  <c:v>45261</c:v>
                </c:pt>
                <c:pt idx="761">
                  <c:v>45264</c:v>
                </c:pt>
                <c:pt idx="762">
                  <c:v>45265</c:v>
                </c:pt>
                <c:pt idx="763">
                  <c:v>45266</c:v>
                </c:pt>
                <c:pt idx="764">
                  <c:v>45267</c:v>
                </c:pt>
                <c:pt idx="765">
                  <c:v>45268</c:v>
                </c:pt>
                <c:pt idx="766">
                  <c:v>45271</c:v>
                </c:pt>
                <c:pt idx="767">
                  <c:v>45272</c:v>
                </c:pt>
                <c:pt idx="768">
                  <c:v>45273</c:v>
                </c:pt>
                <c:pt idx="769">
                  <c:v>45274</c:v>
                </c:pt>
                <c:pt idx="770">
                  <c:v>45275</c:v>
                </c:pt>
                <c:pt idx="771">
                  <c:v>45278</c:v>
                </c:pt>
                <c:pt idx="772">
                  <c:v>45279</c:v>
                </c:pt>
                <c:pt idx="773">
                  <c:v>45280</c:v>
                </c:pt>
                <c:pt idx="774">
                  <c:v>45281</c:v>
                </c:pt>
                <c:pt idx="775">
                  <c:v>45282</c:v>
                </c:pt>
                <c:pt idx="776">
                  <c:v>45285</c:v>
                </c:pt>
                <c:pt idx="777">
                  <c:v>45286</c:v>
                </c:pt>
                <c:pt idx="778">
                  <c:v>45287</c:v>
                </c:pt>
                <c:pt idx="779">
                  <c:v>45288</c:v>
                </c:pt>
                <c:pt idx="780">
                  <c:v>45289</c:v>
                </c:pt>
                <c:pt idx="781">
                  <c:v>45292</c:v>
                </c:pt>
                <c:pt idx="782">
                  <c:v>45293</c:v>
                </c:pt>
                <c:pt idx="783">
                  <c:v>45294</c:v>
                </c:pt>
                <c:pt idx="784">
                  <c:v>45295</c:v>
                </c:pt>
                <c:pt idx="785">
                  <c:v>45296</c:v>
                </c:pt>
                <c:pt idx="786">
                  <c:v>45299</c:v>
                </c:pt>
                <c:pt idx="787">
                  <c:v>45300</c:v>
                </c:pt>
                <c:pt idx="788">
                  <c:v>45301</c:v>
                </c:pt>
                <c:pt idx="789">
                  <c:v>45302</c:v>
                </c:pt>
                <c:pt idx="790">
                  <c:v>45303</c:v>
                </c:pt>
                <c:pt idx="791">
                  <c:v>45306</c:v>
                </c:pt>
                <c:pt idx="792">
                  <c:v>45307</c:v>
                </c:pt>
                <c:pt idx="793">
                  <c:v>45308</c:v>
                </c:pt>
                <c:pt idx="794">
                  <c:v>45309</c:v>
                </c:pt>
                <c:pt idx="795">
                  <c:v>45310</c:v>
                </c:pt>
                <c:pt idx="796">
                  <c:v>45313</c:v>
                </c:pt>
                <c:pt idx="797">
                  <c:v>45314</c:v>
                </c:pt>
                <c:pt idx="798">
                  <c:v>45315</c:v>
                </c:pt>
                <c:pt idx="799">
                  <c:v>45316</c:v>
                </c:pt>
                <c:pt idx="800">
                  <c:v>45317</c:v>
                </c:pt>
                <c:pt idx="801">
                  <c:v>45320</c:v>
                </c:pt>
                <c:pt idx="802">
                  <c:v>45321</c:v>
                </c:pt>
                <c:pt idx="803">
                  <c:v>45322</c:v>
                </c:pt>
                <c:pt idx="804">
                  <c:v>45323</c:v>
                </c:pt>
                <c:pt idx="805">
                  <c:v>45324</c:v>
                </c:pt>
                <c:pt idx="806">
                  <c:v>45327</c:v>
                </c:pt>
                <c:pt idx="807">
                  <c:v>45328</c:v>
                </c:pt>
                <c:pt idx="808">
                  <c:v>45329</c:v>
                </c:pt>
                <c:pt idx="809">
                  <c:v>45330</c:v>
                </c:pt>
                <c:pt idx="810">
                  <c:v>45331</c:v>
                </c:pt>
                <c:pt idx="811">
                  <c:v>45334</c:v>
                </c:pt>
                <c:pt idx="812">
                  <c:v>45335</c:v>
                </c:pt>
                <c:pt idx="813">
                  <c:v>45336</c:v>
                </c:pt>
                <c:pt idx="814">
                  <c:v>45337</c:v>
                </c:pt>
                <c:pt idx="815">
                  <c:v>45338</c:v>
                </c:pt>
                <c:pt idx="816">
                  <c:v>45341</c:v>
                </c:pt>
                <c:pt idx="817">
                  <c:v>45342</c:v>
                </c:pt>
                <c:pt idx="818">
                  <c:v>45343</c:v>
                </c:pt>
                <c:pt idx="819">
                  <c:v>45344</c:v>
                </c:pt>
                <c:pt idx="820">
                  <c:v>45345</c:v>
                </c:pt>
                <c:pt idx="821">
                  <c:v>45348</c:v>
                </c:pt>
                <c:pt idx="822">
                  <c:v>45349</c:v>
                </c:pt>
                <c:pt idx="823">
                  <c:v>45350</c:v>
                </c:pt>
                <c:pt idx="824">
                  <c:v>45351</c:v>
                </c:pt>
                <c:pt idx="825">
                  <c:v>45352</c:v>
                </c:pt>
                <c:pt idx="826">
                  <c:v>45355</c:v>
                </c:pt>
                <c:pt idx="827">
                  <c:v>45356</c:v>
                </c:pt>
                <c:pt idx="828">
                  <c:v>45357</c:v>
                </c:pt>
                <c:pt idx="829">
                  <c:v>45358</c:v>
                </c:pt>
                <c:pt idx="830">
                  <c:v>45359</c:v>
                </c:pt>
                <c:pt idx="831">
                  <c:v>45362</c:v>
                </c:pt>
                <c:pt idx="832">
                  <c:v>45363</c:v>
                </c:pt>
                <c:pt idx="833">
                  <c:v>45364</c:v>
                </c:pt>
                <c:pt idx="834">
                  <c:v>45365</c:v>
                </c:pt>
                <c:pt idx="835">
                  <c:v>45366</c:v>
                </c:pt>
                <c:pt idx="836">
                  <c:v>45369</c:v>
                </c:pt>
                <c:pt idx="837">
                  <c:v>45370</c:v>
                </c:pt>
                <c:pt idx="838">
                  <c:v>45371</c:v>
                </c:pt>
                <c:pt idx="839">
                  <c:v>45372</c:v>
                </c:pt>
                <c:pt idx="840">
                  <c:v>45373</c:v>
                </c:pt>
                <c:pt idx="841">
                  <c:v>45376</c:v>
                </c:pt>
                <c:pt idx="842">
                  <c:v>45377</c:v>
                </c:pt>
                <c:pt idx="843">
                  <c:v>45378</c:v>
                </c:pt>
                <c:pt idx="844">
                  <c:v>45379</c:v>
                </c:pt>
                <c:pt idx="845">
                  <c:v>45380</c:v>
                </c:pt>
                <c:pt idx="846">
                  <c:v>45383</c:v>
                </c:pt>
                <c:pt idx="847">
                  <c:v>45384</c:v>
                </c:pt>
                <c:pt idx="848">
                  <c:v>45385</c:v>
                </c:pt>
                <c:pt idx="849">
                  <c:v>45386</c:v>
                </c:pt>
                <c:pt idx="850">
                  <c:v>45387</c:v>
                </c:pt>
                <c:pt idx="851">
                  <c:v>45390</c:v>
                </c:pt>
                <c:pt idx="852">
                  <c:v>45391</c:v>
                </c:pt>
                <c:pt idx="853">
                  <c:v>45392</c:v>
                </c:pt>
                <c:pt idx="854">
                  <c:v>45393</c:v>
                </c:pt>
                <c:pt idx="855">
                  <c:v>45394</c:v>
                </c:pt>
                <c:pt idx="856">
                  <c:v>45397</c:v>
                </c:pt>
                <c:pt idx="857">
                  <c:v>45398</c:v>
                </c:pt>
                <c:pt idx="858">
                  <c:v>45399</c:v>
                </c:pt>
                <c:pt idx="859">
                  <c:v>45400</c:v>
                </c:pt>
                <c:pt idx="860">
                  <c:v>45401</c:v>
                </c:pt>
                <c:pt idx="861">
                  <c:v>45404</c:v>
                </c:pt>
                <c:pt idx="862">
                  <c:v>45405</c:v>
                </c:pt>
                <c:pt idx="863">
                  <c:v>45406</c:v>
                </c:pt>
                <c:pt idx="864">
                  <c:v>45407</c:v>
                </c:pt>
                <c:pt idx="865">
                  <c:v>45408</c:v>
                </c:pt>
                <c:pt idx="866">
                  <c:v>45411</c:v>
                </c:pt>
                <c:pt idx="867">
                  <c:v>45412</c:v>
                </c:pt>
                <c:pt idx="868">
                  <c:v>45413</c:v>
                </c:pt>
                <c:pt idx="869">
                  <c:v>45414</c:v>
                </c:pt>
                <c:pt idx="870">
                  <c:v>45415</c:v>
                </c:pt>
                <c:pt idx="871">
                  <c:v>45418</c:v>
                </c:pt>
                <c:pt idx="872">
                  <c:v>45419</c:v>
                </c:pt>
                <c:pt idx="873">
                  <c:v>45420</c:v>
                </c:pt>
                <c:pt idx="874">
                  <c:v>45421</c:v>
                </c:pt>
                <c:pt idx="875">
                  <c:v>45422</c:v>
                </c:pt>
                <c:pt idx="876">
                  <c:v>45425</c:v>
                </c:pt>
                <c:pt idx="877">
                  <c:v>45426</c:v>
                </c:pt>
                <c:pt idx="878">
                  <c:v>45427</c:v>
                </c:pt>
                <c:pt idx="879">
                  <c:v>45428</c:v>
                </c:pt>
                <c:pt idx="880">
                  <c:v>45429</c:v>
                </c:pt>
                <c:pt idx="881">
                  <c:v>45432</c:v>
                </c:pt>
                <c:pt idx="882">
                  <c:v>45433</c:v>
                </c:pt>
                <c:pt idx="883">
                  <c:v>45434</c:v>
                </c:pt>
                <c:pt idx="884">
                  <c:v>45435</c:v>
                </c:pt>
                <c:pt idx="885">
                  <c:v>45436</c:v>
                </c:pt>
                <c:pt idx="886">
                  <c:v>45439</c:v>
                </c:pt>
                <c:pt idx="887">
                  <c:v>45440</c:v>
                </c:pt>
                <c:pt idx="888">
                  <c:v>45441</c:v>
                </c:pt>
                <c:pt idx="889">
                  <c:v>45442</c:v>
                </c:pt>
                <c:pt idx="890">
                  <c:v>45443</c:v>
                </c:pt>
                <c:pt idx="891">
                  <c:v>45446</c:v>
                </c:pt>
                <c:pt idx="892">
                  <c:v>45447</c:v>
                </c:pt>
                <c:pt idx="893">
                  <c:v>45448</c:v>
                </c:pt>
                <c:pt idx="894">
                  <c:v>45449</c:v>
                </c:pt>
                <c:pt idx="895">
                  <c:v>45450</c:v>
                </c:pt>
                <c:pt idx="896">
                  <c:v>45453</c:v>
                </c:pt>
                <c:pt idx="897">
                  <c:v>45454</c:v>
                </c:pt>
                <c:pt idx="898">
                  <c:v>45455</c:v>
                </c:pt>
                <c:pt idx="899">
                  <c:v>45456</c:v>
                </c:pt>
                <c:pt idx="900">
                  <c:v>45457</c:v>
                </c:pt>
                <c:pt idx="901">
                  <c:v>45460</c:v>
                </c:pt>
                <c:pt idx="902">
                  <c:v>45461</c:v>
                </c:pt>
                <c:pt idx="903">
                  <c:v>45462</c:v>
                </c:pt>
                <c:pt idx="904">
                  <c:v>45463</c:v>
                </c:pt>
                <c:pt idx="905">
                  <c:v>45464</c:v>
                </c:pt>
                <c:pt idx="906">
                  <c:v>45467</c:v>
                </c:pt>
                <c:pt idx="907">
                  <c:v>45468</c:v>
                </c:pt>
                <c:pt idx="908">
                  <c:v>45469</c:v>
                </c:pt>
                <c:pt idx="909">
                  <c:v>45470</c:v>
                </c:pt>
                <c:pt idx="910">
                  <c:v>45471</c:v>
                </c:pt>
                <c:pt idx="911">
                  <c:v>45474</c:v>
                </c:pt>
                <c:pt idx="912">
                  <c:v>45475</c:v>
                </c:pt>
                <c:pt idx="913">
                  <c:v>45476</c:v>
                </c:pt>
                <c:pt idx="914">
                  <c:v>45477</c:v>
                </c:pt>
                <c:pt idx="915">
                  <c:v>45478</c:v>
                </c:pt>
                <c:pt idx="916">
                  <c:v>45481</c:v>
                </c:pt>
                <c:pt idx="917">
                  <c:v>45482</c:v>
                </c:pt>
                <c:pt idx="918">
                  <c:v>45483</c:v>
                </c:pt>
                <c:pt idx="919">
                  <c:v>45484</c:v>
                </c:pt>
                <c:pt idx="920">
                  <c:v>45485</c:v>
                </c:pt>
                <c:pt idx="921">
                  <c:v>45488</c:v>
                </c:pt>
                <c:pt idx="922">
                  <c:v>45489</c:v>
                </c:pt>
                <c:pt idx="923">
                  <c:v>45490</c:v>
                </c:pt>
                <c:pt idx="924">
                  <c:v>45491</c:v>
                </c:pt>
                <c:pt idx="925">
                  <c:v>45492</c:v>
                </c:pt>
                <c:pt idx="926">
                  <c:v>45495</c:v>
                </c:pt>
                <c:pt idx="927">
                  <c:v>45496</c:v>
                </c:pt>
                <c:pt idx="928">
                  <c:v>45497</c:v>
                </c:pt>
                <c:pt idx="929">
                  <c:v>45498</c:v>
                </c:pt>
                <c:pt idx="930">
                  <c:v>45499</c:v>
                </c:pt>
                <c:pt idx="931">
                  <c:v>45502</c:v>
                </c:pt>
                <c:pt idx="932">
                  <c:v>45503</c:v>
                </c:pt>
                <c:pt idx="933">
                  <c:v>45504</c:v>
                </c:pt>
                <c:pt idx="934">
                  <c:v>45505</c:v>
                </c:pt>
                <c:pt idx="935">
                  <c:v>45506</c:v>
                </c:pt>
                <c:pt idx="936">
                  <c:v>45509</c:v>
                </c:pt>
                <c:pt idx="937">
                  <c:v>45510</c:v>
                </c:pt>
                <c:pt idx="938">
                  <c:v>45511</c:v>
                </c:pt>
                <c:pt idx="939">
                  <c:v>45512</c:v>
                </c:pt>
                <c:pt idx="940">
                  <c:v>45513</c:v>
                </c:pt>
                <c:pt idx="941">
                  <c:v>45516</c:v>
                </c:pt>
                <c:pt idx="942">
                  <c:v>45517</c:v>
                </c:pt>
                <c:pt idx="943">
                  <c:v>45518</c:v>
                </c:pt>
                <c:pt idx="944">
                  <c:v>45519</c:v>
                </c:pt>
                <c:pt idx="945">
                  <c:v>45520</c:v>
                </c:pt>
                <c:pt idx="946">
                  <c:v>45523</c:v>
                </c:pt>
                <c:pt idx="947">
                  <c:v>45524</c:v>
                </c:pt>
                <c:pt idx="948">
                  <c:v>45525</c:v>
                </c:pt>
                <c:pt idx="949">
                  <c:v>45526</c:v>
                </c:pt>
                <c:pt idx="950">
                  <c:v>45527</c:v>
                </c:pt>
                <c:pt idx="951">
                  <c:v>45530</c:v>
                </c:pt>
                <c:pt idx="952">
                  <c:v>45531</c:v>
                </c:pt>
                <c:pt idx="953">
                  <c:v>45532</c:v>
                </c:pt>
                <c:pt idx="954">
                  <c:v>45533</c:v>
                </c:pt>
                <c:pt idx="955">
                  <c:v>45534</c:v>
                </c:pt>
                <c:pt idx="956">
                  <c:v>45537</c:v>
                </c:pt>
                <c:pt idx="957">
                  <c:v>45538</c:v>
                </c:pt>
                <c:pt idx="958">
                  <c:v>45539</c:v>
                </c:pt>
                <c:pt idx="959">
                  <c:v>45540</c:v>
                </c:pt>
                <c:pt idx="960">
                  <c:v>45541</c:v>
                </c:pt>
                <c:pt idx="961">
                  <c:v>45544</c:v>
                </c:pt>
                <c:pt idx="962">
                  <c:v>45545</c:v>
                </c:pt>
                <c:pt idx="963">
                  <c:v>45546</c:v>
                </c:pt>
                <c:pt idx="964">
                  <c:v>45547</c:v>
                </c:pt>
                <c:pt idx="965">
                  <c:v>45548</c:v>
                </c:pt>
                <c:pt idx="966">
                  <c:v>45551</c:v>
                </c:pt>
                <c:pt idx="967">
                  <c:v>45552</c:v>
                </c:pt>
                <c:pt idx="968">
                  <c:v>45553</c:v>
                </c:pt>
                <c:pt idx="969">
                  <c:v>45554</c:v>
                </c:pt>
                <c:pt idx="970">
                  <c:v>45555</c:v>
                </c:pt>
                <c:pt idx="971">
                  <c:v>45558</c:v>
                </c:pt>
                <c:pt idx="972">
                  <c:v>45559</c:v>
                </c:pt>
                <c:pt idx="973">
                  <c:v>45560</c:v>
                </c:pt>
                <c:pt idx="974">
                  <c:v>45561</c:v>
                </c:pt>
                <c:pt idx="975">
                  <c:v>45562</c:v>
                </c:pt>
                <c:pt idx="976">
                  <c:v>45565</c:v>
                </c:pt>
                <c:pt idx="977">
                  <c:v>45566</c:v>
                </c:pt>
                <c:pt idx="978">
                  <c:v>45567</c:v>
                </c:pt>
                <c:pt idx="979">
                  <c:v>45568</c:v>
                </c:pt>
                <c:pt idx="980">
                  <c:v>45569</c:v>
                </c:pt>
                <c:pt idx="981">
                  <c:v>45572</c:v>
                </c:pt>
                <c:pt idx="982">
                  <c:v>45573</c:v>
                </c:pt>
                <c:pt idx="983">
                  <c:v>45574</c:v>
                </c:pt>
                <c:pt idx="984">
                  <c:v>45575</c:v>
                </c:pt>
                <c:pt idx="985">
                  <c:v>45576</c:v>
                </c:pt>
                <c:pt idx="986">
                  <c:v>45579</c:v>
                </c:pt>
                <c:pt idx="987">
                  <c:v>45580</c:v>
                </c:pt>
                <c:pt idx="988">
                  <c:v>45581</c:v>
                </c:pt>
                <c:pt idx="989">
                  <c:v>45582</c:v>
                </c:pt>
                <c:pt idx="990">
                  <c:v>45583</c:v>
                </c:pt>
                <c:pt idx="991">
                  <c:v>45586</c:v>
                </c:pt>
                <c:pt idx="992">
                  <c:v>45587</c:v>
                </c:pt>
                <c:pt idx="993">
                  <c:v>45588</c:v>
                </c:pt>
                <c:pt idx="994">
                  <c:v>45589</c:v>
                </c:pt>
                <c:pt idx="995">
                  <c:v>45590</c:v>
                </c:pt>
                <c:pt idx="996">
                  <c:v>45593</c:v>
                </c:pt>
                <c:pt idx="997">
                  <c:v>45594</c:v>
                </c:pt>
                <c:pt idx="998">
                  <c:v>45595</c:v>
                </c:pt>
                <c:pt idx="999">
                  <c:v>45596</c:v>
                </c:pt>
                <c:pt idx="1000">
                  <c:v>45597</c:v>
                </c:pt>
                <c:pt idx="1001">
                  <c:v>45600</c:v>
                </c:pt>
                <c:pt idx="1002">
                  <c:v>45601</c:v>
                </c:pt>
                <c:pt idx="1003">
                  <c:v>45602</c:v>
                </c:pt>
                <c:pt idx="1004">
                  <c:v>45603</c:v>
                </c:pt>
                <c:pt idx="1005">
                  <c:v>45604</c:v>
                </c:pt>
                <c:pt idx="1006">
                  <c:v>45607</c:v>
                </c:pt>
                <c:pt idx="1007">
                  <c:v>45608</c:v>
                </c:pt>
                <c:pt idx="1008">
                  <c:v>45609</c:v>
                </c:pt>
                <c:pt idx="1009">
                  <c:v>45610</c:v>
                </c:pt>
                <c:pt idx="1010">
                  <c:v>45611</c:v>
                </c:pt>
                <c:pt idx="1011">
                  <c:v>45614</c:v>
                </c:pt>
                <c:pt idx="1012">
                  <c:v>45615</c:v>
                </c:pt>
                <c:pt idx="1013">
                  <c:v>45616</c:v>
                </c:pt>
                <c:pt idx="1014">
                  <c:v>45617</c:v>
                </c:pt>
                <c:pt idx="1015">
                  <c:v>45618</c:v>
                </c:pt>
                <c:pt idx="1016">
                  <c:v>45621</c:v>
                </c:pt>
                <c:pt idx="1017">
                  <c:v>45622</c:v>
                </c:pt>
                <c:pt idx="1018">
                  <c:v>45623</c:v>
                </c:pt>
                <c:pt idx="1019">
                  <c:v>45624</c:v>
                </c:pt>
                <c:pt idx="1020">
                  <c:v>45625</c:v>
                </c:pt>
                <c:pt idx="1021">
                  <c:v>45628</c:v>
                </c:pt>
                <c:pt idx="1022">
                  <c:v>45629</c:v>
                </c:pt>
                <c:pt idx="1023">
                  <c:v>45630</c:v>
                </c:pt>
                <c:pt idx="1024">
                  <c:v>45631</c:v>
                </c:pt>
                <c:pt idx="1025">
                  <c:v>45632</c:v>
                </c:pt>
                <c:pt idx="1026">
                  <c:v>45635</c:v>
                </c:pt>
                <c:pt idx="1027">
                  <c:v>45636</c:v>
                </c:pt>
                <c:pt idx="1028">
                  <c:v>45637</c:v>
                </c:pt>
                <c:pt idx="1029">
                  <c:v>45638</c:v>
                </c:pt>
                <c:pt idx="1030">
                  <c:v>45639</c:v>
                </c:pt>
                <c:pt idx="1031">
                  <c:v>45642</c:v>
                </c:pt>
                <c:pt idx="1032">
                  <c:v>45643</c:v>
                </c:pt>
                <c:pt idx="1033">
                  <c:v>45644</c:v>
                </c:pt>
                <c:pt idx="1034">
                  <c:v>45645</c:v>
                </c:pt>
                <c:pt idx="1035">
                  <c:v>45646</c:v>
                </c:pt>
                <c:pt idx="1036">
                  <c:v>45649</c:v>
                </c:pt>
                <c:pt idx="1037">
                  <c:v>45650</c:v>
                </c:pt>
                <c:pt idx="1038">
                  <c:v>45651</c:v>
                </c:pt>
                <c:pt idx="1039">
                  <c:v>45652</c:v>
                </c:pt>
                <c:pt idx="1040">
                  <c:v>45653</c:v>
                </c:pt>
                <c:pt idx="1041">
                  <c:v>45656</c:v>
                </c:pt>
                <c:pt idx="1042">
                  <c:v>45657</c:v>
                </c:pt>
                <c:pt idx="1043">
                  <c:v>45658</c:v>
                </c:pt>
                <c:pt idx="1044">
                  <c:v>45659</c:v>
                </c:pt>
                <c:pt idx="1045">
                  <c:v>45660</c:v>
                </c:pt>
                <c:pt idx="1046">
                  <c:v>45663</c:v>
                </c:pt>
                <c:pt idx="1047">
                  <c:v>45664</c:v>
                </c:pt>
                <c:pt idx="1048">
                  <c:v>45665</c:v>
                </c:pt>
                <c:pt idx="1049">
                  <c:v>45666</c:v>
                </c:pt>
                <c:pt idx="1050">
                  <c:v>45667</c:v>
                </c:pt>
                <c:pt idx="1051">
                  <c:v>45670</c:v>
                </c:pt>
                <c:pt idx="1052">
                  <c:v>45671</c:v>
                </c:pt>
                <c:pt idx="1053">
                  <c:v>45672</c:v>
                </c:pt>
                <c:pt idx="1054">
                  <c:v>45673</c:v>
                </c:pt>
                <c:pt idx="1055">
                  <c:v>45674</c:v>
                </c:pt>
                <c:pt idx="1056">
                  <c:v>45677</c:v>
                </c:pt>
                <c:pt idx="1057">
                  <c:v>45678</c:v>
                </c:pt>
                <c:pt idx="1058">
                  <c:v>45679</c:v>
                </c:pt>
                <c:pt idx="1059">
                  <c:v>45680</c:v>
                </c:pt>
                <c:pt idx="1060">
                  <c:v>45681</c:v>
                </c:pt>
                <c:pt idx="1061">
                  <c:v>45684</c:v>
                </c:pt>
                <c:pt idx="1062">
                  <c:v>45685</c:v>
                </c:pt>
                <c:pt idx="1063">
                  <c:v>45686</c:v>
                </c:pt>
                <c:pt idx="1064">
                  <c:v>45687</c:v>
                </c:pt>
                <c:pt idx="1065">
                  <c:v>45688</c:v>
                </c:pt>
                <c:pt idx="1066">
                  <c:v>45691</c:v>
                </c:pt>
                <c:pt idx="1067">
                  <c:v>45692</c:v>
                </c:pt>
                <c:pt idx="1068">
                  <c:v>45693</c:v>
                </c:pt>
                <c:pt idx="1069">
                  <c:v>45694</c:v>
                </c:pt>
                <c:pt idx="1070">
                  <c:v>45695</c:v>
                </c:pt>
                <c:pt idx="1071">
                  <c:v>45698</c:v>
                </c:pt>
                <c:pt idx="1072">
                  <c:v>45699</c:v>
                </c:pt>
                <c:pt idx="1073">
                  <c:v>45700</c:v>
                </c:pt>
                <c:pt idx="1074">
                  <c:v>45701</c:v>
                </c:pt>
                <c:pt idx="1075">
                  <c:v>45702</c:v>
                </c:pt>
                <c:pt idx="1076">
                  <c:v>45705</c:v>
                </c:pt>
                <c:pt idx="1077">
                  <c:v>45706</c:v>
                </c:pt>
                <c:pt idx="1078">
                  <c:v>45707</c:v>
                </c:pt>
                <c:pt idx="1079">
                  <c:v>45708</c:v>
                </c:pt>
                <c:pt idx="1080">
                  <c:v>45709</c:v>
                </c:pt>
                <c:pt idx="1081">
                  <c:v>45712</c:v>
                </c:pt>
                <c:pt idx="1082">
                  <c:v>45713</c:v>
                </c:pt>
                <c:pt idx="1083">
                  <c:v>45714</c:v>
                </c:pt>
                <c:pt idx="1084">
                  <c:v>45715</c:v>
                </c:pt>
                <c:pt idx="1085">
                  <c:v>45716</c:v>
                </c:pt>
                <c:pt idx="1086">
                  <c:v>45719</c:v>
                </c:pt>
                <c:pt idx="1087">
                  <c:v>45720</c:v>
                </c:pt>
                <c:pt idx="1088">
                  <c:v>45721</c:v>
                </c:pt>
                <c:pt idx="1089">
                  <c:v>45722</c:v>
                </c:pt>
                <c:pt idx="1090">
                  <c:v>45723</c:v>
                </c:pt>
                <c:pt idx="1091">
                  <c:v>45726</c:v>
                </c:pt>
                <c:pt idx="1092">
                  <c:v>45727</c:v>
                </c:pt>
                <c:pt idx="1093">
                  <c:v>45728</c:v>
                </c:pt>
                <c:pt idx="1094">
                  <c:v>45729</c:v>
                </c:pt>
                <c:pt idx="1095">
                  <c:v>45730</c:v>
                </c:pt>
                <c:pt idx="1096">
                  <c:v>45733</c:v>
                </c:pt>
                <c:pt idx="1097">
                  <c:v>45734</c:v>
                </c:pt>
                <c:pt idx="1098">
                  <c:v>45735</c:v>
                </c:pt>
                <c:pt idx="1099">
                  <c:v>45736</c:v>
                </c:pt>
                <c:pt idx="1100">
                  <c:v>45737</c:v>
                </c:pt>
                <c:pt idx="1101">
                  <c:v>45740</c:v>
                </c:pt>
                <c:pt idx="1102">
                  <c:v>45741</c:v>
                </c:pt>
                <c:pt idx="1103">
                  <c:v>45742</c:v>
                </c:pt>
                <c:pt idx="1104">
                  <c:v>45743</c:v>
                </c:pt>
                <c:pt idx="1105">
                  <c:v>45744</c:v>
                </c:pt>
                <c:pt idx="1106">
                  <c:v>45747</c:v>
                </c:pt>
                <c:pt idx="1107">
                  <c:v>45748</c:v>
                </c:pt>
                <c:pt idx="1108">
                  <c:v>45749</c:v>
                </c:pt>
                <c:pt idx="1109">
                  <c:v>45750</c:v>
                </c:pt>
                <c:pt idx="1110">
                  <c:v>45751</c:v>
                </c:pt>
                <c:pt idx="1111">
                  <c:v>45754</c:v>
                </c:pt>
                <c:pt idx="1112">
                  <c:v>45755</c:v>
                </c:pt>
                <c:pt idx="1113">
                  <c:v>45756</c:v>
                </c:pt>
                <c:pt idx="1114">
                  <c:v>45757</c:v>
                </c:pt>
                <c:pt idx="1115">
                  <c:v>45758</c:v>
                </c:pt>
                <c:pt idx="1116">
                  <c:v>45761</c:v>
                </c:pt>
                <c:pt idx="1117">
                  <c:v>45762</c:v>
                </c:pt>
                <c:pt idx="1118">
                  <c:v>45763</c:v>
                </c:pt>
                <c:pt idx="1119">
                  <c:v>45764</c:v>
                </c:pt>
                <c:pt idx="1120">
                  <c:v>45765</c:v>
                </c:pt>
                <c:pt idx="1121">
                  <c:v>45768</c:v>
                </c:pt>
                <c:pt idx="1122">
                  <c:v>45769</c:v>
                </c:pt>
                <c:pt idx="1123">
                  <c:v>45770</c:v>
                </c:pt>
                <c:pt idx="1124">
                  <c:v>45771</c:v>
                </c:pt>
                <c:pt idx="1125">
                  <c:v>45772</c:v>
                </c:pt>
                <c:pt idx="1126">
                  <c:v>45775</c:v>
                </c:pt>
                <c:pt idx="1127">
                  <c:v>45776</c:v>
                </c:pt>
                <c:pt idx="1128">
                  <c:v>45777</c:v>
                </c:pt>
                <c:pt idx="1129">
                  <c:v>45778</c:v>
                </c:pt>
                <c:pt idx="1130">
                  <c:v>45779</c:v>
                </c:pt>
                <c:pt idx="1131">
                  <c:v>45782</c:v>
                </c:pt>
                <c:pt idx="1132">
                  <c:v>45783</c:v>
                </c:pt>
                <c:pt idx="1133">
                  <c:v>45784</c:v>
                </c:pt>
                <c:pt idx="1134">
                  <c:v>45785</c:v>
                </c:pt>
                <c:pt idx="1135">
                  <c:v>45786</c:v>
                </c:pt>
                <c:pt idx="1136">
                  <c:v>45789</c:v>
                </c:pt>
                <c:pt idx="1137">
                  <c:v>45790</c:v>
                </c:pt>
                <c:pt idx="1138">
                  <c:v>45791</c:v>
                </c:pt>
                <c:pt idx="1139">
                  <c:v>45792</c:v>
                </c:pt>
                <c:pt idx="1140">
                  <c:v>45793</c:v>
                </c:pt>
                <c:pt idx="1141">
                  <c:v>45796</c:v>
                </c:pt>
                <c:pt idx="1142">
                  <c:v>45797</c:v>
                </c:pt>
                <c:pt idx="1143">
                  <c:v>45798</c:v>
                </c:pt>
                <c:pt idx="1144">
                  <c:v>45799</c:v>
                </c:pt>
                <c:pt idx="1145">
                  <c:v>45800</c:v>
                </c:pt>
                <c:pt idx="1146">
                  <c:v>45803</c:v>
                </c:pt>
                <c:pt idx="1147">
                  <c:v>45804</c:v>
                </c:pt>
                <c:pt idx="1148">
                  <c:v>45805</c:v>
                </c:pt>
                <c:pt idx="1149">
                  <c:v>45806</c:v>
                </c:pt>
                <c:pt idx="1150">
                  <c:v>45807</c:v>
                </c:pt>
                <c:pt idx="1151">
                  <c:v>45810</c:v>
                </c:pt>
                <c:pt idx="1152">
                  <c:v>45811</c:v>
                </c:pt>
                <c:pt idx="1153">
                  <c:v>45812</c:v>
                </c:pt>
                <c:pt idx="1154">
                  <c:v>45813</c:v>
                </c:pt>
                <c:pt idx="1155">
                  <c:v>45814</c:v>
                </c:pt>
                <c:pt idx="1156">
                  <c:v>45817</c:v>
                </c:pt>
                <c:pt idx="1157">
                  <c:v>45818</c:v>
                </c:pt>
                <c:pt idx="1158">
                  <c:v>45819</c:v>
                </c:pt>
                <c:pt idx="1159">
                  <c:v>45820</c:v>
                </c:pt>
                <c:pt idx="1160">
                  <c:v>45821</c:v>
                </c:pt>
                <c:pt idx="1161">
                  <c:v>45824</c:v>
                </c:pt>
                <c:pt idx="1162">
                  <c:v>45825</c:v>
                </c:pt>
                <c:pt idx="1163">
                  <c:v>45826</c:v>
                </c:pt>
                <c:pt idx="1164">
                  <c:v>45827</c:v>
                </c:pt>
                <c:pt idx="1165">
                  <c:v>45828</c:v>
                </c:pt>
                <c:pt idx="1166">
                  <c:v>45831</c:v>
                </c:pt>
                <c:pt idx="1167">
                  <c:v>45832</c:v>
                </c:pt>
                <c:pt idx="1168">
                  <c:v>45833</c:v>
                </c:pt>
                <c:pt idx="1169">
                  <c:v>45834</c:v>
                </c:pt>
                <c:pt idx="1170">
                  <c:v>45835</c:v>
                </c:pt>
                <c:pt idx="1171">
                  <c:v>45838</c:v>
                </c:pt>
                <c:pt idx="1172">
                  <c:v>45839</c:v>
                </c:pt>
                <c:pt idx="1173">
                  <c:v>45840</c:v>
                </c:pt>
                <c:pt idx="1174">
                  <c:v>45841</c:v>
                </c:pt>
                <c:pt idx="1175">
                  <c:v>45842</c:v>
                </c:pt>
                <c:pt idx="1176">
                  <c:v>45845</c:v>
                </c:pt>
                <c:pt idx="1177">
                  <c:v>45846</c:v>
                </c:pt>
                <c:pt idx="1178">
                  <c:v>45847</c:v>
                </c:pt>
                <c:pt idx="1179">
                  <c:v>45848</c:v>
                </c:pt>
                <c:pt idx="1180">
                  <c:v>45849</c:v>
                </c:pt>
                <c:pt idx="1181">
                  <c:v>45852</c:v>
                </c:pt>
                <c:pt idx="1182">
                  <c:v>45853</c:v>
                </c:pt>
                <c:pt idx="1183">
                  <c:v>45854</c:v>
                </c:pt>
                <c:pt idx="1184">
                  <c:v>45855</c:v>
                </c:pt>
                <c:pt idx="1185">
                  <c:v>45856</c:v>
                </c:pt>
                <c:pt idx="1186">
                  <c:v>45859</c:v>
                </c:pt>
                <c:pt idx="1187">
                  <c:v>45860</c:v>
                </c:pt>
                <c:pt idx="1188">
                  <c:v>45861</c:v>
                </c:pt>
                <c:pt idx="1189">
                  <c:v>45862</c:v>
                </c:pt>
                <c:pt idx="1190">
                  <c:v>45863</c:v>
                </c:pt>
                <c:pt idx="1191">
                  <c:v>45866</c:v>
                </c:pt>
                <c:pt idx="1192">
                  <c:v>45867</c:v>
                </c:pt>
                <c:pt idx="1193">
                  <c:v>45868</c:v>
                </c:pt>
                <c:pt idx="1194">
                  <c:v>45869</c:v>
                </c:pt>
                <c:pt idx="1195">
                  <c:v>45870</c:v>
                </c:pt>
                <c:pt idx="1196">
                  <c:v>45873</c:v>
                </c:pt>
                <c:pt idx="1197">
                  <c:v>45874</c:v>
                </c:pt>
                <c:pt idx="1198">
                  <c:v>45875</c:v>
                </c:pt>
                <c:pt idx="1199">
                  <c:v>45876</c:v>
                </c:pt>
                <c:pt idx="1200">
                  <c:v>45877</c:v>
                </c:pt>
                <c:pt idx="1201">
                  <c:v>45880</c:v>
                </c:pt>
                <c:pt idx="1202">
                  <c:v>45881</c:v>
                </c:pt>
                <c:pt idx="1203">
                  <c:v>45882</c:v>
                </c:pt>
                <c:pt idx="1204">
                  <c:v>45883</c:v>
                </c:pt>
                <c:pt idx="1205">
                  <c:v>45884</c:v>
                </c:pt>
                <c:pt idx="1206">
                  <c:v>45887</c:v>
                </c:pt>
                <c:pt idx="1207">
                  <c:v>45888</c:v>
                </c:pt>
                <c:pt idx="1208">
                  <c:v>45889</c:v>
                </c:pt>
                <c:pt idx="1209">
                  <c:v>45890</c:v>
                </c:pt>
                <c:pt idx="1210">
                  <c:v>45891</c:v>
                </c:pt>
                <c:pt idx="1211">
                  <c:v>45894</c:v>
                </c:pt>
                <c:pt idx="1212">
                  <c:v>45895</c:v>
                </c:pt>
                <c:pt idx="1213">
                  <c:v>45896</c:v>
                </c:pt>
                <c:pt idx="1214">
                  <c:v>45897</c:v>
                </c:pt>
                <c:pt idx="1215">
                  <c:v>45898</c:v>
                </c:pt>
                <c:pt idx="1216">
                  <c:v>45901</c:v>
                </c:pt>
                <c:pt idx="1217">
                  <c:v>45902</c:v>
                </c:pt>
                <c:pt idx="1218">
                  <c:v>45903</c:v>
                </c:pt>
                <c:pt idx="1219">
                  <c:v>45904</c:v>
                </c:pt>
                <c:pt idx="1220">
                  <c:v>45905</c:v>
                </c:pt>
                <c:pt idx="1221">
                  <c:v>45908</c:v>
                </c:pt>
                <c:pt idx="1222">
                  <c:v>45909</c:v>
                </c:pt>
                <c:pt idx="1223">
                  <c:v>45910</c:v>
                </c:pt>
                <c:pt idx="1224">
                  <c:v>45911</c:v>
                </c:pt>
                <c:pt idx="1225">
                  <c:v>45912</c:v>
                </c:pt>
                <c:pt idx="1226">
                  <c:v>45915</c:v>
                </c:pt>
                <c:pt idx="1227">
                  <c:v>45916</c:v>
                </c:pt>
                <c:pt idx="1228">
                  <c:v>45917</c:v>
                </c:pt>
                <c:pt idx="1229">
                  <c:v>45918</c:v>
                </c:pt>
                <c:pt idx="1230">
                  <c:v>45919</c:v>
                </c:pt>
                <c:pt idx="1231">
                  <c:v>45922</c:v>
                </c:pt>
                <c:pt idx="1232">
                  <c:v>45923</c:v>
                </c:pt>
                <c:pt idx="1233">
                  <c:v>45924</c:v>
                </c:pt>
                <c:pt idx="1234">
                  <c:v>45925</c:v>
                </c:pt>
                <c:pt idx="1235">
                  <c:v>45926</c:v>
                </c:pt>
                <c:pt idx="1236">
                  <c:v>45929</c:v>
                </c:pt>
                <c:pt idx="1237">
                  <c:v>45930</c:v>
                </c:pt>
                <c:pt idx="1238">
                  <c:v>45931</c:v>
                </c:pt>
                <c:pt idx="1239">
                  <c:v>45932</c:v>
                </c:pt>
                <c:pt idx="1240">
                  <c:v>45933</c:v>
                </c:pt>
                <c:pt idx="1241">
                  <c:v>45936</c:v>
                </c:pt>
                <c:pt idx="1242">
                  <c:v>45937</c:v>
                </c:pt>
                <c:pt idx="1243">
                  <c:v>45938</c:v>
                </c:pt>
                <c:pt idx="1244">
                  <c:v>45939</c:v>
                </c:pt>
                <c:pt idx="1245">
                  <c:v>45940</c:v>
                </c:pt>
                <c:pt idx="1246">
                  <c:v>45943</c:v>
                </c:pt>
                <c:pt idx="1247">
                  <c:v>45944</c:v>
                </c:pt>
                <c:pt idx="1248">
                  <c:v>45945</c:v>
                </c:pt>
                <c:pt idx="1249">
                  <c:v>45946</c:v>
                </c:pt>
                <c:pt idx="1250">
                  <c:v>45947</c:v>
                </c:pt>
                <c:pt idx="1251">
                  <c:v>45950</c:v>
                </c:pt>
                <c:pt idx="1252">
                  <c:v>45951</c:v>
                </c:pt>
                <c:pt idx="1253">
                  <c:v>45952</c:v>
                </c:pt>
                <c:pt idx="1254">
                  <c:v>45953</c:v>
                </c:pt>
                <c:pt idx="1255">
                  <c:v>45954</c:v>
                </c:pt>
                <c:pt idx="1256">
                  <c:v>45957</c:v>
                </c:pt>
                <c:pt idx="1257">
                  <c:v>45958</c:v>
                </c:pt>
                <c:pt idx="1258">
                  <c:v>45959</c:v>
                </c:pt>
                <c:pt idx="1259">
                  <c:v>45960</c:v>
                </c:pt>
                <c:pt idx="1260">
                  <c:v>45961</c:v>
                </c:pt>
                <c:pt idx="1261">
                  <c:v>45964</c:v>
                </c:pt>
                <c:pt idx="1262">
                  <c:v>45965</c:v>
                </c:pt>
                <c:pt idx="1263">
                  <c:v>45966</c:v>
                </c:pt>
                <c:pt idx="1264">
                  <c:v>45967</c:v>
                </c:pt>
                <c:pt idx="1265">
                  <c:v>45968</c:v>
                </c:pt>
                <c:pt idx="1266">
                  <c:v>45971</c:v>
                </c:pt>
                <c:pt idx="1267">
                  <c:v>45972</c:v>
                </c:pt>
                <c:pt idx="1268">
                  <c:v>45973</c:v>
                </c:pt>
                <c:pt idx="1269">
                  <c:v>45974</c:v>
                </c:pt>
                <c:pt idx="1270">
                  <c:v>45975</c:v>
                </c:pt>
                <c:pt idx="1271">
                  <c:v>45978</c:v>
                </c:pt>
                <c:pt idx="1272">
                  <c:v>45979</c:v>
                </c:pt>
                <c:pt idx="1273">
                  <c:v>45980</c:v>
                </c:pt>
                <c:pt idx="1274">
                  <c:v>45981</c:v>
                </c:pt>
                <c:pt idx="1275">
                  <c:v>45982</c:v>
                </c:pt>
                <c:pt idx="1276">
                  <c:v>45985</c:v>
                </c:pt>
                <c:pt idx="1277">
                  <c:v>45986</c:v>
                </c:pt>
                <c:pt idx="1278">
                  <c:v>45987</c:v>
                </c:pt>
                <c:pt idx="1279">
                  <c:v>45988</c:v>
                </c:pt>
                <c:pt idx="1280">
                  <c:v>45989</c:v>
                </c:pt>
                <c:pt idx="1281">
                  <c:v>45992</c:v>
                </c:pt>
                <c:pt idx="1282">
                  <c:v>45993</c:v>
                </c:pt>
                <c:pt idx="1283">
                  <c:v>45994</c:v>
                </c:pt>
                <c:pt idx="1284">
                  <c:v>45995</c:v>
                </c:pt>
                <c:pt idx="1285">
                  <c:v>45996</c:v>
                </c:pt>
                <c:pt idx="1286">
                  <c:v>45999</c:v>
                </c:pt>
                <c:pt idx="1287">
                  <c:v>46000</c:v>
                </c:pt>
                <c:pt idx="1288">
                  <c:v>46001</c:v>
                </c:pt>
                <c:pt idx="1289">
                  <c:v>46002</c:v>
                </c:pt>
                <c:pt idx="1290">
                  <c:v>46003</c:v>
                </c:pt>
                <c:pt idx="1291">
                  <c:v>46006</c:v>
                </c:pt>
                <c:pt idx="1292">
                  <c:v>46007</c:v>
                </c:pt>
                <c:pt idx="1293">
                  <c:v>46008</c:v>
                </c:pt>
                <c:pt idx="1294">
                  <c:v>46009</c:v>
                </c:pt>
                <c:pt idx="1295">
                  <c:v>46010</c:v>
                </c:pt>
                <c:pt idx="1296">
                  <c:v>46013</c:v>
                </c:pt>
                <c:pt idx="1297">
                  <c:v>46014</c:v>
                </c:pt>
                <c:pt idx="1298">
                  <c:v>46015</c:v>
                </c:pt>
                <c:pt idx="1299">
                  <c:v>46016</c:v>
                </c:pt>
                <c:pt idx="1300">
                  <c:v>46017</c:v>
                </c:pt>
                <c:pt idx="1301">
                  <c:v>46020</c:v>
                </c:pt>
                <c:pt idx="1302">
                  <c:v>46021</c:v>
                </c:pt>
                <c:pt idx="1303">
                  <c:v>46022</c:v>
                </c:pt>
              </c:numCache>
            </c:numRef>
          </c:cat>
          <c:val>
            <c:numRef>
              <c:f>Statsformat!$B$9:$B$1312</c:f>
              <c:numCache>
                <c:formatCode>General</c:formatCode>
                <c:ptCount val="1304"/>
                <c:pt idx="0">
                  <c:v>8.2197999999999993</c:v>
                </c:pt>
                <c:pt idx="1">
                  <c:v>8.2231000000000005</c:v>
                </c:pt>
                <c:pt idx="2">
                  <c:v>8.2080000000000002</c:v>
                </c:pt>
                <c:pt idx="3">
                  <c:v>8.2041000000000004</c:v>
                </c:pt>
                <c:pt idx="4">
                  <c:v>8.2081999999999997</c:v>
                </c:pt>
                <c:pt idx="5">
                  <c:v>8.2021999999999995</c:v>
                </c:pt>
                <c:pt idx="6">
                  <c:v>8.2934999999999999</c:v>
                </c:pt>
                <c:pt idx="7">
                  <c:v>8.2879000000000005</c:v>
                </c:pt>
                <c:pt idx="8">
                  <c:v>8.3331</c:v>
                </c:pt>
                <c:pt idx="9">
                  <c:v>8.3249999999999993</c:v>
                </c:pt>
                <c:pt idx="10">
                  <c:v>8.3803999999999998</c:v>
                </c:pt>
                <c:pt idx="11">
                  <c:v>8.3907000000000007</c:v>
                </c:pt>
                <c:pt idx="12">
                  <c:v>8.3542000000000005</c:v>
                </c:pt>
                <c:pt idx="13">
                  <c:v>8.3508999999999993</c:v>
                </c:pt>
                <c:pt idx="14">
                  <c:v>8.2889999999999997</c:v>
                </c:pt>
                <c:pt idx="15">
                  <c:v>8.2946000000000009</c:v>
                </c:pt>
                <c:pt idx="16">
                  <c:v>8.3033999999999999</c:v>
                </c:pt>
                <c:pt idx="17">
                  <c:v>8.2916000000000007</c:v>
                </c:pt>
                <c:pt idx="18">
                  <c:v>8.3626000000000005</c:v>
                </c:pt>
                <c:pt idx="19">
                  <c:v>8.3422999999999998</c:v>
                </c:pt>
                <c:pt idx="20">
                  <c:v>8.3306000000000004</c:v>
                </c:pt>
                <c:pt idx="21">
                  <c:v>8.4215</c:v>
                </c:pt>
                <c:pt idx="22">
                  <c:v>8.4237000000000002</c:v>
                </c:pt>
                <c:pt idx="23">
                  <c:v>8.4214000000000002</c:v>
                </c:pt>
                <c:pt idx="24">
                  <c:v>8.4598999999999993</c:v>
                </c:pt>
                <c:pt idx="25">
                  <c:v>8.391</c:v>
                </c:pt>
                <c:pt idx="26">
                  <c:v>8.3887</c:v>
                </c:pt>
                <c:pt idx="27">
                  <c:v>8.3391999999999999</c:v>
                </c:pt>
                <c:pt idx="28">
                  <c:v>8.3202999999999996</c:v>
                </c:pt>
                <c:pt idx="29">
                  <c:v>8.3167000000000009</c:v>
                </c:pt>
                <c:pt idx="30">
                  <c:v>8.3138000000000005</c:v>
                </c:pt>
                <c:pt idx="31">
                  <c:v>8.2739999999999991</c:v>
                </c:pt>
                <c:pt idx="32">
                  <c:v>8.2832000000000008</c:v>
                </c:pt>
                <c:pt idx="33">
                  <c:v>8.3381000000000007</c:v>
                </c:pt>
                <c:pt idx="34">
                  <c:v>8.3405000000000005</c:v>
                </c:pt>
                <c:pt idx="35">
                  <c:v>8.2725000000000009</c:v>
                </c:pt>
                <c:pt idx="36">
                  <c:v>8.2728000000000002</c:v>
                </c:pt>
                <c:pt idx="37">
                  <c:v>8.2894000000000005</c:v>
                </c:pt>
                <c:pt idx="38">
                  <c:v>8.3107000000000006</c:v>
                </c:pt>
                <c:pt idx="39">
                  <c:v>8.2405000000000008</c:v>
                </c:pt>
                <c:pt idx="40">
                  <c:v>8.3995999999999995</c:v>
                </c:pt>
                <c:pt idx="41">
                  <c:v>8.4298999999999999</c:v>
                </c:pt>
                <c:pt idx="42">
                  <c:v>8.4044000000000008</c:v>
                </c:pt>
                <c:pt idx="43">
                  <c:v>8.4032</c:v>
                </c:pt>
                <c:pt idx="44">
                  <c:v>8.4368999999999996</c:v>
                </c:pt>
                <c:pt idx="45">
                  <c:v>8.5473999999999997</c:v>
                </c:pt>
                <c:pt idx="46">
                  <c:v>8.5753000000000004</c:v>
                </c:pt>
                <c:pt idx="47">
                  <c:v>8.5157000000000007</c:v>
                </c:pt>
                <c:pt idx="48">
                  <c:v>8.516</c:v>
                </c:pt>
                <c:pt idx="49">
                  <c:v>8.4705999999999992</c:v>
                </c:pt>
                <c:pt idx="50">
                  <c:v>8.4917999999999996</c:v>
                </c:pt>
                <c:pt idx="51">
                  <c:v>8.5335000000000001</c:v>
                </c:pt>
                <c:pt idx="52">
                  <c:v>8.5218000000000007</c:v>
                </c:pt>
                <c:pt idx="53">
                  <c:v>8.5173000000000005</c:v>
                </c:pt>
                <c:pt idx="54">
                  <c:v>8.5140999999999991</c:v>
                </c:pt>
                <c:pt idx="55">
                  <c:v>8.5447000000000006</c:v>
                </c:pt>
                <c:pt idx="56">
                  <c:v>8.5114999999999998</c:v>
                </c:pt>
                <c:pt idx="57">
                  <c:v>8.5671999999999997</c:v>
                </c:pt>
                <c:pt idx="58">
                  <c:v>8.5949000000000009</c:v>
                </c:pt>
                <c:pt idx="59">
                  <c:v>8.6677999999999997</c:v>
                </c:pt>
                <c:pt idx="60">
                  <c:v>8.6470000000000002</c:v>
                </c:pt>
                <c:pt idx="61">
                  <c:v>8.7055000000000007</c:v>
                </c:pt>
                <c:pt idx="62">
                  <c:v>8.7498000000000005</c:v>
                </c:pt>
                <c:pt idx="63">
                  <c:v>8.7188999999999997</c:v>
                </c:pt>
                <c:pt idx="64">
                  <c:v>8.7243999999999993</c:v>
                </c:pt>
                <c:pt idx="65">
                  <c:v>8.7324999999999999</c:v>
                </c:pt>
                <c:pt idx="66">
                  <c:v>8.7095000000000002</c:v>
                </c:pt>
                <c:pt idx="67">
                  <c:v>8.6508000000000003</c:v>
                </c:pt>
                <c:pt idx="68">
                  <c:v>8.5976999999999997</c:v>
                </c:pt>
                <c:pt idx="69">
                  <c:v>8.5595999999999997</c:v>
                </c:pt>
                <c:pt idx="70">
                  <c:v>8.5492000000000008</c:v>
                </c:pt>
                <c:pt idx="71">
                  <c:v>8.5734999999999992</c:v>
                </c:pt>
                <c:pt idx="72">
                  <c:v>8.5357000000000003</c:v>
                </c:pt>
                <c:pt idx="73">
                  <c:v>8.4638000000000009</c:v>
                </c:pt>
                <c:pt idx="74">
                  <c:v>8.4510000000000005</c:v>
                </c:pt>
                <c:pt idx="75">
                  <c:v>8.4417000000000009</c:v>
                </c:pt>
                <c:pt idx="76">
                  <c:v>8.4067000000000007</c:v>
                </c:pt>
                <c:pt idx="77">
                  <c:v>8.4181000000000008</c:v>
                </c:pt>
                <c:pt idx="78">
                  <c:v>8.4184999999999999</c:v>
                </c:pt>
                <c:pt idx="79">
                  <c:v>8.4240999999999993</c:v>
                </c:pt>
                <c:pt idx="80">
                  <c:v>8.4136000000000006</c:v>
                </c:pt>
                <c:pt idx="81">
                  <c:v>8.3840000000000003</c:v>
                </c:pt>
                <c:pt idx="82">
                  <c:v>8.3781999999999996</c:v>
                </c:pt>
                <c:pt idx="83">
                  <c:v>8.3674999999999997</c:v>
                </c:pt>
                <c:pt idx="84">
                  <c:v>8.3666999999999998</c:v>
                </c:pt>
                <c:pt idx="85">
                  <c:v>8.4544999999999995</c:v>
                </c:pt>
                <c:pt idx="86">
                  <c:v>8.4160000000000004</c:v>
                </c:pt>
                <c:pt idx="87">
                  <c:v>8.4673999999999996</c:v>
                </c:pt>
                <c:pt idx="88">
                  <c:v>8.4906000000000006</c:v>
                </c:pt>
                <c:pt idx="89">
                  <c:v>8.4404000000000003</c:v>
                </c:pt>
                <c:pt idx="90">
                  <c:v>8.3269000000000002</c:v>
                </c:pt>
                <c:pt idx="91">
                  <c:v>8.3231000000000002</c:v>
                </c:pt>
                <c:pt idx="92">
                  <c:v>8.3102</c:v>
                </c:pt>
                <c:pt idx="93">
                  <c:v>8.4076000000000004</c:v>
                </c:pt>
                <c:pt idx="94">
                  <c:v>8.4126999999999992</c:v>
                </c:pt>
                <c:pt idx="95">
                  <c:v>8.3447999999999993</c:v>
                </c:pt>
                <c:pt idx="96">
                  <c:v>8.3407</c:v>
                </c:pt>
                <c:pt idx="97">
                  <c:v>8.2876999999999992</c:v>
                </c:pt>
                <c:pt idx="98">
                  <c:v>8.3373000000000008</c:v>
                </c:pt>
                <c:pt idx="99">
                  <c:v>8.3193000000000001</c:v>
                </c:pt>
                <c:pt idx="100">
                  <c:v>8.3154000000000003</c:v>
                </c:pt>
                <c:pt idx="101">
                  <c:v>8.3188999999999993</c:v>
                </c:pt>
                <c:pt idx="102">
                  <c:v>8.2636000000000003</c:v>
                </c:pt>
                <c:pt idx="103">
                  <c:v>8.3081999999999994</c:v>
                </c:pt>
                <c:pt idx="104">
                  <c:v>8.2866</c:v>
                </c:pt>
                <c:pt idx="105">
                  <c:v>8.3233999999999995</c:v>
                </c:pt>
                <c:pt idx="106">
                  <c:v>8.2887000000000004</c:v>
                </c:pt>
                <c:pt idx="107">
                  <c:v>8.2515999999999998</c:v>
                </c:pt>
                <c:pt idx="108">
                  <c:v>8.2704000000000004</c:v>
                </c:pt>
                <c:pt idx="109">
                  <c:v>8.3313000000000006</c:v>
                </c:pt>
                <c:pt idx="110">
                  <c:v>8.2850999999999999</c:v>
                </c:pt>
                <c:pt idx="111">
                  <c:v>8.2645999999999997</c:v>
                </c:pt>
                <c:pt idx="112">
                  <c:v>8.266</c:v>
                </c:pt>
                <c:pt idx="113">
                  <c:v>8.2624999999999993</c:v>
                </c:pt>
                <c:pt idx="114">
                  <c:v>8.2589000000000006</c:v>
                </c:pt>
                <c:pt idx="115">
                  <c:v>8.3179999999999996</c:v>
                </c:pt>
                <c:pt idx="116">
                  <c:v>8.3254000000000001</c:v>
                </c:pt>
                <c:pt idx="117">
                  <c:v>8.3324999999999996</c:v>
                </c:pt>
                <c:pt idx="118">
                  <c:v>8.3663000000000007</c:v>
                </c:pt>
                <c:pt idx="119">
                  <c:v>8.5144000000000002</c:v>
                </c:pt>
                <c:pt idx="120">
                  <c:v>8.6371000000000002</c:v>
                </c:pt>
                <c:pt idx="121">
                  <c:v>8.5496999999999996</c:v>
                </c:pt>
                <c:pt idx="122">
                  <c:v>8.5249000000000006</c:v>
                </c:pt>
                <c:pt idx="123">
                  <c:v>8.4765999999999995</c:v>
                </c:pt>
                <c:pt idx="124">
                  <c:v>8.4720999999999993</c:v>
                </c:pt>
                <c:pt idx="125">
                  <c:v>8.4686000000000003</c:v>
                </c:pt>
                <c:pt idx="126">
                  <c:v>8.5152000000000001</c:v>
                </c:pt>
                <c:pt idx="127">
                  <c:v>8.5238999999999994</c:v>
                </c:pt>
                <c:pt idx="128">
                  <c:v>8.5487000000000002</c:v>
                </c:pt>
                <c:pt idx="129">
                  <c:v>8.5673999999999992</c:v>
                </c:pt>
                <c:pt idx="130">
                  <c:v>8.5662000000000003</c:v>
                </c:pt>
                <c:pt idx="131">
                  <c:v>8.5507000000000009</c:v>
                </c:pt>
                <c:pt idx="132">
                  <c:v>8.5762999999999998</c:v>
                </c:pt>
                <c:pt idx="133">
                  <c:v>8.6366999999999994</c:v>
                </c:pt>
                <c:pt idx="134">
                  <c:v>8.5808999999999997</c:v>
                </c:pt>
                <c:pt idx="135">
                  <c:v>8.5801999999999996</c:v>
                </c:pt>
                <c:pt idx="136">
                  <c:v>8.5655999999999999</c:v>
                </c:pt>
                <c:pt idx="137">
                  <c:v>8.6247000000000007</c:v>
                </c:pt>
                <c:pt idx="138">
                  <c:v>8.6237999999999992</c:v>
                </c:pt>
                <c:pt idx="139">
                  <c:v>8.6598000000000006</c:v>
                </c:pt>
                <c:pt idx="140">
                  <c:v>8.6783000000000001</c:v>
                </c:pt>
                <c:pt idx="141">
                  <c:v>8.6898</c:v>
                </c:pt>
                <c:pt idx="142">
                  <c:v>8.7142999999999997</c:v>
                </c:pt>
                <c:pt idx="143">
                  <c:v>8.6968999999999994</c:v>
                </c:pt>
                <c:pt idx="144">
                  <c:v>8.6638999999999999</c:v>
                </c:pt>
                <c:pt idx="145">
                  <c:v>8.6964000000000006</c:v>
                </c:pt>
                <c:pt idx="146">
                  <c:v>8.6282999999999994</c:v>
                </c:pt>
                <c:pt idx="147">
                  <c:v>8.6071000000000009</c:v>
                </c:pt>
                <c:pt idx="148">
                  <c:v>8.6318999999999999</c:v>
                </c:pt>
                <c:pt idx="149">
                  <c:v>8.5484000000000009</c:v>
                </c:pt>
                <c:pt idx="150">
                  <c:v>8.6014999999999997</c:v>
                </c:pt>
                <c:pt idx="151">
                  <c:v>8.5740999999999996</c:v>
                </c:pt>
                <c:pt idx="152">
                  <c:v>8.6059999999999999</c:v>
                </c:pt>
                <c:pt idx="153">
                  <c:v>8.6005000000000003</c:v>
                </c:pt>
                <c:pt idx="154">
                  <c:v>8.6036999999999999</c:v>
                </c:pt>
                <c:pt idx="155">
                  <c:v>8.6608999999999998</c:v>
                </c:pt>
                <c:pt idx="156">
                  <c:v>8.7053999999999991</c:v>
                </c:pt>
                <c:pt idx="157">
                  <c:v>8.7134999999999998</c:v>
                </c:pt>
                <c:pt idx="158">
                  <c:v>8.6900999999999993</c:v>
                </c:pt>
                <c:pt idx="159">
                  <c:v>8.6898</c:v>
                </c:pt>
                <c:pt idx="160">
                  <c:v>8.6468000000000007</c:v>
                </c:pt>
                <c:pt idx="161">
                  <c:v>8.6507000000000005</c:v>
                </c:pt>
                <c:pt idx="162">
                  <c:v>8.7293000000000003</c:v>
                </c:pt>
                <c:pt idx="163">
                  <c:v>8.7201000000000004</c:v>
                </c:pt>
                <c:pt idx="164">
                  <c:v>8.8074999999999992</c:v>
                </c:pt>
                <c:pt idx="165">
                  <c:v>8.8244000000000007</c:v>
                </c:pt>
                <c:pt idx="166">
                  <c:v>8.7152999999999992</c:v>
                </c:pt>
                <c:pt idx="167">
                  <c:v>8.6807999999999996</c:v>
                </c:pt>
                <c:pt idx="168">
                  <c:v>8.7042000000000002</c:v>
                </c:pt>
                <c:pt idx="169">
                  <c:v>8.7202000000000002</c:v>
                </c:pt>
                <c:pt idx="170">
                  <c:v>8.6494999999999997</c:v>
                </c:pt>
                <c:pt idx="171">
                  <c:v>8.6149000000000004</c:v>
                </c:pt>
                <c:pt idx="172">
                  <c:v>8.6359999999999992</c:v>
                </c:pt>
                <c:pt idx="173">
                  <c:v>8.5991</c:v>
                </c:pt>
                <c:pt idx="174">
                  <c:v>8.5740999999999996</c:v>
                </c:pt>
                <c:pt idx="175">
                  <c:v>8.5519999999999996</c:v>
                </c:pt>
                <c:pt idx="176">
                  <c:v>8.5643980000000006</c:v>
                </c:pt>
                <c:pt idx="177">
                  <c:v>8.5790000000000006</c:v>
                </c:pt>
                <c:pt idx="178">
                  <c:v>8.5692000000000004</c:v>
                </c:pt>
                <c:pt idx="179">
                  <c:v>8.6138999999999992</c:v>
                </c:pt>
                <c:pt idx="180">
                  <c:v>8.6080000000000005</c:v>
                </c:pt>
                <c:pt idx="181">
                  <c:v>8.6068999999999996</c:v>
                </c:pt>
                <c:pt idx="182">
                  <c:v>8.5922999999999998</c:v>
                </c:pt>
                <c:pt idx="183">
                  <c:v>8.5747999999999998</c:v>
                </c:pt>
                <c:pt idx="184">
                  <c:v>8.6387999999999998</c:v>
                </c:pt>
                <c:pt idx="185">
                  <c:v>8.6834000000000007</c:v>
                </c:pt>
                <c:pt idx="186">
                  <c:v>8.7034000000000002</c:v>
                </c:pt>
                <c:pt idx="187">
                  <c:v>8.6784999999999997</c:v>
                </c:pt>
                <c:pt idx="188">
                  <c:v>8.6540999999999997</c:v>
                </c:pt>
                <c:pt idx="189">
                  <c:v>8.6211000000000002</c:v>
                </c:pt>
                <c:pt idx="190">
                  <c:v>8.6593</c:v>
                </c:pt>
                <c:pt idx="191">
                  <c:v>8.6969999999999992</c:v>
                </c:pt>
                <c:pt idx="192">
                  <c:v>8.7449999999999992</c:v>
                </c:pt>
                <c:pt idx="193">
                  <c:v>8.7796000000000003</c:v>
                </c:pt>
                <c:pt idx="194">
                  <c:v>8.7529000000000003</c:v>
                </c:pt>
                <c:pt idx="195">
                  <c:v>8.7647999999999993</c:v>
                </c:pt>
                <c:pt idx="196">
                  <c:v>8.7251999999999992</c:v>
                </c:pt>
                <c:pt idx="197">
                  <c:v>8.7383000000000006</c:v>
                </c:pt>
                <c:pt idx="198">
                  <c:v>8.8081999999999994</c:v>
                </c:pt>
                <c:pt idx="199">
                  <c:v>8.7786000000000008</c:v>
                </c:pt>
                <c:pt idx="200">
                  <c:v>8.7356999999999996</c:v>
                </c:pt>
                <c:pt idx="201">
                  <c:v>8.7417999999999996</c:v>
                </c:pt>
                <c:pt idx="202">
                  <c:v>8.7670999999999992</c:v>
                </c:pt>
                <c:pt idx="203">
                  <c:v>8.7195</c:v>
                </c:pt>
                <c:pt idx="204">
                  <c:v>8.6453000000000007</c:v>
                </c:pt>
                <c:pt idx="205">
                  <c:v>8.6146999999999991</c:v>
                </c:pt>
                <c:pt idx="206">
                  <c:v>8.6615000000000002</c:v>
                </c:pt>
                <c:pt idx="207">
                  <c:v>8.6095000000000006</c:v>
                </c:pt>
                <c:pt idx="208">
                  <c:v>8.5927000000000007</c:v>
                </c:pt>
                <c:pt idx="209">
                  <c:v>8.5886999999999993</c:v>
                </c:pt>
                <c:pt idx="210">
                  <c:v>8.5648999999999997</c:v>
                </c:pt>
                <c:pt idx="211">
                  <c:v>8.5960000000000001</c:v>
                </c:pt>
                <c:pt idx="212">
                  <c:v>8.6052999999999997</c:v>
                </c:pt>
                <c:pt idx="213">
                  <c:v>8.5925999999999991</c:v>
                </c:pt>
                <c:pt idx="214">
                  <c:v>8.5449000000000002</c:v>
                </c:pt>
                <c:pt idx="215">
                  <c:v>8.5897000000000006</c:v>
                </c:pt>
                <c:pt idx="216">
                  <c:v>8.5135000000000005</c:v>
                </c:pt>
                <c:pt idx="217">
                  <c:v>8.5716999999999999</c:v>
                </c:pt>
                <c:pt idx="218">
                  <c:v>8.5594000000000001</c:v>
                </c:pt>
                <c:pt idx="219">
                  <c:v>8.5823999999999998</c:v>
                </c:pt>
                <c:pt idx="220">
                  <c:v>8.5661000000000005</c:v>
                </c:pt>
                <c:pt idx="221">
                  <c:v>8.5703999999999994</c:v>
                </c:pt>
                <c:pt idx="222">
                  <c:v>8.5731999999999999</c:v>
                </c:pt>
                <c:pt idx="223">
                  <c:v>8.6651000000000007</c:v>
                </c:pt>
                <c:pt idx="224">
                  <c:v>8.6965000000000003</c:v>
                </c:pt>
                <c:pt idx="225">
                  <c:v>8.7471999999999994</c:v>
                </c:pt>
                <c:pt idx="226">
                  <c:v>8.7691999999999997</c:v>
                </c:pt>
                <c:pt idx="227">
                  <c:v>8.8615999999999993</c:v>
                </c:pt>
                <c:pt idx="228">
                  <c:v>8.8658000000000001</c:v>
                </c:pt>
                <c:pt idx="229">
                  <c:v>8.8943999999999992</c:v>
                </c:pt>
                <c:pt idx="230">
                  <c:v>8.9214000000000002</c:v>
                </c:pt>
                <c:pt idx="231">
                  <c:v>8.9766999999999992</c:v>
                </c:pt>
                <c:pt idx="232">
                  <c:v>9.0268999999999995</c:v>
                </c:pt>
                <c:pt idx="233">
                  <c:v>9.1263000000000005</c:v>
                </c:pt>
                <c:pt idx="234">
                  <c:v>9.0639000000000003</c:v>
                </c:pt>
                <c:pt idx="235">
                  <c:v>9.0991999999999997</c:v>
                </c:pt>
                <c:pt idx="236">
                  <c:v>9.0838000000000001</c:v>
                </c:pt>
                <c:pt idx="237">
                  <c:v>9.0731000000000002</c:v>
                </c:pt>
                <c:pt idx="238">
                  <c:v>9.0421999999999993</c:v>
                </c:pt>
                <c:pt idx="239">
                  <c:v>9.0421999999999993</c:v>
                </c:pt>
                <c:pt idx="240">
                  <c:v>9.1701999999999995</c:v>
                </c:pt>
                <c:pt idx="241">
                  <c:v>9.1035000000000004</c:v>
                </c:pt>
                <c:pt idx="242">
                  <c:v>9.1186000000000007</c:v>
                </c:pt>
                <c:pt idx="243">
                  <c:v>9.0532000000000004</c:v>
                </c:pt>
                <c:pt idx="244">
                  <c:v>9.0924999999999994</c:v>
                </c:pt>
                <c:pt idx="245">
                  <c:v>9.0617000000000001</c:v>
                </c:pt>
                <c:pt idx="246">
                  <c:v>9.1051000000000002</c:v>
                </c:pt>
                <c:pt idx="247">
                  <c:v>9.1408000000000005</c:v>
                </c:pt>
                <c:pt idx="248">
                  <c:v>9.1247000000000007</c:v>
                </c:pt>
                <c:pt idx="249">
                  <c:v>9.0504999999999995</c:v>
                </c:pt>
                <c:pt idx="250">
                  <c:v>9.0931999999999995</c:v>
                </c:pt>
                <c:pt idx="251">
                  <c:v>9.1464999999999996</c:v>
                </c:pt>
                <c:pt idx="252">
                  <c:v>9.1622000000000003</c:v>
                </c:pt>
                <c:pt idx="253">
                  <c:v>9.0978999999999992</c:v>
                </c:pt>
                <c:pt idx="254">
                  <c:v>9.0992999999999995</c:v>
                </c:pt>
                <c:pt idx="255">
                  <c:v>9.1182999999999996</c:v>
                </c:pt>
                <c:pt idx="256">
                  <c:v>9.1084999999999994</c:v>
                </c:pt>
                <c:pt idx="257">
                  <c:v>9.0619999999999994</c:v>
                </c:pt>
                <c:pt idx="258">
                  <c:v>9.0406999999999993</c:v>
                </c:pt>
                <c:pt idx="259">
                  <c:v>9.0489999999999995</c:v>
                </c:pt>
                <c:pt idx="260">
                  <c:v>9.0527999999999995</c:v>
                </c:pt>
                <c:pt idx="261">
                  <c:v>9.1186000000000007</c:v>
                </c:pt>
                <c:pt idx="262">
                  <c:v>9.0771999999999995</c:v>
                </c:pt>
                <c:pt idx="263">
                  <c:v>9.0610999999999997</c:v>
                </c:pt>
                <c:pt idx="264">
                  <c:v>9.1432000000000002</c:v>
                </c:pt>
                <c:pt idx="265">
                  <c:v>9.0793999999999997</c:v>
                </c:pt>
                <c:pt idx="266">
                  <c:v>9.1281999999999996</c:v>
                </c:pt>
                <c:pt idx="267">
                  <c:v>9.0836000000000006</c:v>
                </c:pt>
                <c:pt idx="268">
                  <c:v>8.9626999999999999</c:v>
                </c:pt>
                <c:pt idx="269">
                  <c:v>8.9238</c:v>
                </c:pt>
                <c:pt idx="270">
                  <c:v>8.9962999999999997</c:v>
                </c:pt>
                <c:pt idx="271">
                  <c:v>9.0128000000000004</c:v>
                </c:pt>
                <c:pt idx="272">
                  <c:v>9.1053999999999995</c:v>
                </c:pt>
                <c:pt idx="273">
                  <c:v>9.1119000000000003</c:v>
                </c:pt>
                <c:pt idx="274">
                  <c:v>9.1075999999999997</c:v>
                </c:pt>
                <c:pt idx="275">
                  <c:v>9.1777999999999995</c:v>
                </c:pt>
                <c:pt idx="276">
                  <c:v>9.2875999999999994</c:v>
                </c:pt>
                <c:pt idx="277">
                  <c:v>9.2894000000000005</c:v>
                </c:pt>
                <c:pt idx="278">
                  <c:v>9.2714999999999996</c:v>
                </c:pt>
                <c:pt idx="279">
                  <c:v>9.3673999999999999</c:v>
                </c:pt>
                <c:pt idx="280">
                  <c:v>9.4288000000000007</c:v>
                </c:pt>
                <c:pt idx="281">
                  <c:v>9.3327000000000009</c:v>
                </c:pt>
                <c:pt idx="282">
                  <c:v>9.2798999999999996</c:v>
                </c:pt>
                <c:pt idx="283">
                  <c:v>9.2005999999999997</c:v>
                </c:pt>
                <c:pt idx="284">
                  <c:v>9.1128</c:v>
                </c:pt>
                <c:pt idx="285">
                  <c:v>9.1593</c:v>
                </c:pt>
                <c:pt idx="286">
                  <c:v>9.1213999999999995</c:v>
                </c:pt>
                <c:pt idx="287">
                  <c:v>9.1639999999999997</c:v>
                </c:pt>
                <c:pt idx="288">
                  <c:v>9.0908999999999995</c:v>
                </c:pt>
                <c:pt idx="289">
                  <c:v>9.2223000000000006</c:v>
                </c:pt>
                <c:pt idx="290">
                  <c:v>9.2218999999999998</c:v>
                </c:pt>
                <c:pt idx="291">
                  <c:v>9.3843999999999994</c:v>
                </c:pt>
                <c:pt idx="292">
                  <c:v>9.2880000000000003</c:v>
                </c:pt>
                <c:pt idx="293">
                  <c:v>9.3007000000000009</c:v>
                </c:pt>
                <c:pt idx="294">
                  <c:v>9.3348999999999993</c:v>
                </c:pt>
                <c:pt idx="295">
                  <c:v>9.3622999999999994</c:v>
                </c:pt>
                <c:pt idx="296">
                  <c:v>9.3938000000000006</c:v>
                </c:pt>
                <c:pt idx="297">
                  <c:v>9.3193999999999999</c:v>
                </c:pt>
                <c:pt idx="298">
                  <c:v>9.3559000000000001</c:v>
                </c:pt>
                <c:pt idx="299">
                  <c:v>9.6417999999999999</c:v>
                </c:pt>
                <c:pt idx="300">
                  <c:v>9.4283000000000001</c:v>
                </c:pt>
                <c:pt idx="301">
                  <c:v>9.4397000000000002</c:v>
                </c:pt>
                <c:pt idx="302">
                  <c:v>9.5848999999999993</c:v>
                </c:pt>
                <c:pt idx="303">
                  <c:v>9.74</c:v>
                </c:pt>
                <c:pt idx="304">
                  <c:v>9.7687000000000008</c:v>
                </c:pt>
                <c:pt idx="305">
                  <c:v>9.7687000000000008</c:v>
                </c:pt>
                <c:pt idx="306">
                  <c:v>9.9664999999999999</c:v>
                </c:pt>
                <c:pt idx="307">
                  <c:v>9.9623000000000008</c:v>
                </c:pt>
                <c:pt idx="308">
                  <c:v>9.6967999999999996</c:v>
                </c:pt>
                <c:pt idx="309">
                  <c:v>9.6506000000000007</c:v>
                </c:pt>
                <c:pt idx="310">
                  <c:v>9.6943000000000001</c:v>
                </c:pt>
                <c:pt idx="311">
                  <c:v>9.5762999999999998</c:v>
                </c:pt>
                <c:pt idx="312">
                  <c:v>9.6166</c:v>
                </c:pt>
                <c:pt idx="313">
                  <c:v>9.4654000000000007</c:v>
                </c:pt>
                <c:pt idx="314">
                  <c:v>9.3971999999999998</c:v>
                </c:pt>
                <c:pt idx="315">
                  <c:v>9.4151000000000007</c:v>
                </c:pt>
                <c:pt idx="316">
                  <c:v>9.4402000000000008</c:v>
                </c:pt>
                <c:pt idx="317">
                  <c:v>9.4192999999999998</c:v>
                </c:pt>
                <c:pt idx="318">
                  <c:v>9.4560999999999993</c:v>
                </c:pt>
                <c:pt idx="319">
                  <c:v>9.3994</c:v>
                </c:pt>
                <c:pt idx="320">
                  <c:v>9.4303000000000008</c:v>
                </c:pt>
                <c:pt idx="321">
                  <c:v>9.5286000000000008</c:v>
                </c:pt>
                <c:pt idx="322">
                  <c:v>9.2951999999999995</c:v>
                </c:pt>
                <c:pt idx="323">
                  <c:v>9.2521000000000004</c:v>
                </c:pt>
                <c:pt idx="324">
                  <c:v>9.3255999999999997</c:v>
                </c:pt>
                <c:pt idx="325">
                  <c:v>9.3591999999999995</c:v>
                </c:pt>
                <c:pt idx="326">
                  <c:v>9.4050999999999991</c:v>
                </c:pt>
                <c:pt idx="327">
                  <c:v>9.3958999999999993</c:v>
                </c:pt>
                <c:pt idx="328">
                  <c:v>9.4390999999999998</c:v>
                </c:pt>
                <c:pt idx="329">
                  <c:v>9.4556000000000004</c:v>
                </c:pt>
                <c:pt idx="330">
                  <c:v>9.452</c:v>
                </c:pt>
                <c:pt idx="331">
                  <c:v>9.4734999999999996</c:v>
                </c:pt>
                <c:pt idx="332">
                  <c:v>9.4665999999999997</c:v>
                </c:pt>
                <c:pt idx="333">
                  <c:v>9.5254999999999992</c:v>
                </c:pt>
                <c:pt idx="334">
                  <c:v>9.5541999999999998</c:v>
                </c:pt>
                <c:pt idx="335">
                  <c:v>9.5632000000000001</c:v>
                </c:pt>
                <c:pt idx="336">
                  <c:v>9.5888000000000009</c:v>
                </c:pt>
                <c:pt idx="337">
                  <c:v>9.5660000000000007</c:v>
                </c:pt>
                <c:pt idx="338">
                  <c:v>9.4365000000000006</c:v>
                </c:pt>
                <c:pt idx="339">
                  <c:v>9.4827999999999992</c:v>
                </c:pt>
                <c:pt idx="340">
                  <c:v>9.5517000000000003</c:v>
                </c:pt>
                <c:pt idx="341">
                  <c:v>9.7218</c:v>
                </c:pt>
                <c:pt idx="342">
                  <c:v>9.8088999999999995</c:v>
                </c:pt>
                <c:pt idx="343">
                  <c:v>9.8676999999999992</c:v>
                </c:pt>
                <c:pt idx="344">
                  <c:v>9.8336000000000006</c:v>
                </c:pt>
                <c:pt idx="345">
                  <c:v>9.7971000000000004</c:v>
                </c:pt>
                <c:pt idx="346">
                  <c:v>9.9024999999999999</c:v>
                </c:pt>
                <c:pt idx="347">
                  <c:v>9.8613999999999997</c:v>
                </c:pt>
                <c:pt idx="348">
                  <c:v>9.8658000000000001</c:v>
                </c:pt>
                <c:pt idx="349">
                  <c:v>9.9189000000000007</c:v>
                </c:pt>
                <c:pt idx="350">
                  <c:v>9.9016999999999999</c:v>
                </c:pt>
                <c:pt idx="351">
                  <c:v>10.102600000000001</c:v>
                </c:pt>
                <c:pt idx="352">
                  <c:v>10.053800000000001</c:v>
                </c:pt>
                <c:pt idx="353">
                  <c:v>9.9946999999999999</c:v>
                </c:pt>
                <c:pt idx="354">
                  <c:v>10.1005</c:v>
                </c:pt>
                <c:pt idx="355">
                  <c:v>10.075699999999999</c:v>
                </c:pt>
                <c:pt idx="356">
                  <c:v>10.077299999999999</c:v>
                </c:pt>
                <c:pt idx="357">
                  <c:v>9.9366000000000003</c:v>
                </c:pt>
                <c:pt idx="358">
                  <c:v>9.9678000000000004</c:v>
                </c:pt>
                <c:pt idx="359">
                  <c:v>9.9252000000000002</c:v>
                </c:pt>
                <c:pt idx="360">
                  <c:v>9.9513999999999996</c:v>
                </c:pt>
                <c:pt idx="361">
                  <c:v>9.8289000000000009</c:v>
                </c:pt>
                <c:pt idx="362">
                  <c:v>9.7881</c:v>
                </c:pt>
                <c:pt idx="363">
                  <c:v>9.8734999999999999</c:v>
                </c:pt>
                <c:pt idx="364">
                  <c:v>9.8699999999999992</c:v>
                </c:pt>
                <c:pt idx="365">
                  <c:v>9.8461999999999996</c:v>
                </c:pt>
                <c:pt idx="366">
                  <c:v>9.7433999999999994</c:v>
                </c:pt>
                <c:pt idx="367">
                  <c:v>9.7836999999999996</c:v>
                </c:pt>
                <c:pt idx="368">
                  <c:v>9.8219999999999992</c:v>
                </c:pt>
                <c:pt idx="369">
                  <c:v>9.7642000000000007</c:v>
                </c:pt>
                <c:pt idx="370">
                  <c:v>9.7634000000000007</c:v>
                </c:pt>
                <c:pt idx="371">
                  <c:v>9.7551000000000005</c:v>
                </c:pt>
                <c:pt idx="372">
                  <c:v>9.7824000000000009</c:v>
                </c:pt>
                <c:pt idx="373">
                  <c:v>9.7866</c:v>
                </c:pt>
                <c:pt idx="374">
                  <c:v>9.8826000000000001</c:v>
                </c:pt>
                <c:pt idx="375">
                  <c:v>10.0107</c:v>
                </c:pt>
                <c:pt idx="376">
                  <c:v>10.1921</c:v>
                </c:pt>
                <c:pt idx="377">
                  <c:v>10.2095</c:v>
                </c:pt>
                <c:pt idx="378">
                  <c:v>10.2334</c:v>
                </c:pt>
                <c:pt idx="379">
                  <c:v>10.217599999999999</c:v>
                </c:pt>
                <c:pt idx="380">
                  <c:v>10.2158</c:v>
                </c:pt>
                <c:pt idx="381">
                  <c:v>10.104100000000001</c:v>
                </c:pt>
                <c:pt idx="382">
                  <c:v>10.0646</c:v>
                </c:pt>
                <c:pt idx="383">
                  <c:v>10.0526</c:v>
                </c:pt>
                <c:pt idx="384">
                  <c:v>10.1755</c:v>
                </c:pt>
                <c:pt idx="385">
                  <c:v>10.130100000000001</c:v>
                </c:pt>
                <c:pt idx="386">
                  <c:v>10.0692</c:v>
                </c:pt>
                <c:pt idx="387">
                  <c:v>10.129799999999999</c:v>
                </c:pt>
                <c:pt idx="388">
                  <c:v>10.2021</c:v>
                </c:pt>
                <c:pt idx="389">
                  <c:v>10.255000000000001</c:v>
                </c:pt>
                <c:pt idx="390">
                  <c:v>10.351800000000001</c:v>
                </c:pt>
                <c:pt idx="391">
                  <c:v>10.3485</c:v>
                </c:pt>
                <c:pt idx="392">
                  <c:v>10.532299999999999</c:v>
                </c:pt>
                <c:pt idx="393">
                  <c:v>10.532500000000001</c:v>
                </c:pt>
                <c:pt idx="394">
                  <c:v>10.5358</c:v>
                </c:pt>
                <c:pt idx="395">
                  <c:v>10.523899999999999</c:v>
                </c:pt>
                <c:pt idx="396">
                  <c:v>10.606400000000001</c:v>
                </c:pt>
                <c:pt idx="397">
                  <c:v>10.5543</c:v>
                </c:pt>
                <c:pt idx="398">
                  <c:v>10.4849</c:v>
                </c:pt>
                <c:pt idx="399">
                  <c:v>10.612399999999999</c:v>
                </c:pt>
                <c:pt idx="400">
                  <c:v>10.4884</c:v>
                </c:pt>
                <c:pt idx="401">
                  <c:v>10.3186</c:v>
                </c:pt>
                <c:pt idx="402">
                  <c:v>10.1998</c:v>
                </c:pt>
                <c:pt idx="403">
                  <c:v>10.230600000000001</c:v>
                </c:pt>
                <c:pt idx="404">
                  <c:v>10.2235</c:v>
                </c:pt>
                <c:pt idx="405">
                  <c:v>10.2012</c:v>
                </c:pt>
                <c:pt idx="406">
                  <c:v>10.1891</c:v>
                </c:pt>
                <c:pt idx="407">
                  <c:v>10.303699999999999</c:v>
                </c:pt>
                <c:pt idx="408">
                  <c:v>10.3264</c:v>
                </c:pt>
                <c:pt idx="409">
                  <c:v>10.2509</c:v>
                </c:pt>
                <c:pt idx="410">
                  <c:v>10.194900000000001</c:v>
                </c:pt>
                <c:pt idx="411">
                  <c:v>10.0809</c:v>
                </c:pt>
                <c:pt idx="412">
                  <c:v>10.1974</c:v>
                </c:pt>
                <c:pt idx="413">
                  <c:v>10.2453</c:v>
                </c:pt>
                <c:pt idx="414">
                  <c:v>10.141999999999999</c:v>
                </c:pt>
                <c:pt idx="415">
                  <c:v>10.2004</c:v>
                </c:pt>
                <c:pt idx="416">
                  <c:v>10.1355</c:v>
                </c:pt>
                <c:pt idx="417">
                  <c:v>10.162100000000001</c:v>
                </c:pt>
                <c:pt idx="418">
                  <c:v>10.020799999999999</c:v>
                </c:pt>
                <c:pt idx="419">
                  <c:v>10.025</c:v>
                </c:pt>
                <c:pt idx="420">
                  <c:v>10.2159</c:v>
                </c:pt>
                <c:pt idx="421">
                  <c:v>10.313000000000001</c:v>
                </c:pt>
                <c:pt idx="422">
                  <c:v>10.345700000000001</c:v>
                </c:pt>
                <c:pt idx="423">
                  <c:v>10.345700000000001</c:v>
                </c:pt>
                <c:pt idx="424">
                  <c:v>10.4666</c:v>
                </c:pt>
                <c:pt idx="425">
                  <c:v>10.5961</c:v>
                </c:pt>
                <c:pt idx="426">
                  <c:v>10.692500000000001</c:v>
                </c:pt>
                <c:pt idx="427">
                  <c:v>10.598800000000001</c:v>
                </c:pt>
                <c:pt idx="428">
                  <c:v>10.5884</c:v>
                </c:pt>
                <c:pt idx="429">
                  <c:v>10.563000000000001</c:v>
                </c:pt>
                <c:pt idx="430">
                  <c:v>10.5959</c:v>
                </c:pt>
                <c:pt idx="431">
                  <c:v>10.678800000000001</c:v>
                </c:pt>
                <c:pt idx="432">
                  <c:v>10.709</c:v>
                </c:pt>
                <c:pt idx="433">
                  <c:v>10.634</c:v>
                </c:pt>
                <c:pt idx="434">
                  <c:v>10.8102</c:v>
                </c:pt>
                <c:pt idx="435">
                  <c:v>10.698499999999999</c:v>
                </c:pt>
                <c:pt idx="436">
                  <c:v>10.798400000000001</c:v>
                </c:pt>
                <c:pt idx="437">
                  <c:v>10.794499999999999</c:v>
                </c:pt>
                <c:pt idx="438">
                  <c:v>10.7616</c:v>
                </c:pt>
                <c:pt idx="439">
                  <c:v>10.7483</c:v>
                </c:pt>
                <c:pt idx="440">
                  <c:v>10.613</c:v>
                </c:pt>
                <c:pt idx="441">
                  <c:v>10.482699999999999</c:v>
                </c:pt>
                <c:pt idx="442">
                  <c:v>10.6289</c:v>
                </c:pt>
                <c:pt idx="443">
                  <c:v>10.6745</c:v>
                </c:pt>
                <c:pt idx="444">
                  <c:v>10.7104</c:v>
                </c:pt>
                <c:pt idx="445">
                  <c:v>10.74</c:v>
                </c:pt>
                <c:pt idx="446">
                  <c:v>10.8073</c:v>
                </c:pt>
                <c:pt idx="447">
                  <c:v>10.8674</c:v>
                </c:pt>
                <c:pt idx="448">
                  <c:v>11.0169</c:v>
                </c:pt>
                <c:pt idx="449">
                  <c:v>11.0921</c:v>
                </c:pt>
                <c:pt idx="450">
                  <c:v>11.2631</c:v>
                </c:pt>
                <c:pt idx="451">
                  <c:v>11.2827</c:v>
                </c:pt>
                <c:pt idx="452">
                  <c:v>11.321899999999999</c:v>
                </c:pt>
                <c:pt idx="453">
                  <c:v>11.313000000000001</c:v>
                </c:pt>
                <c:pt idx="454">
                  <c:v>11.216200000000001</c:v>
                </c:pt>
                <c:pt idx="455">
                  <c:v>11.0967</c:v>
                </c:pt>
                <c:pt idx="456">
                  <c:v>11.022</c:v>
                </c:pt>
                <c:pt idx="457">
                  <c:v>10.895099999999999</c:v>
                </c:pt>
                <c:pt idx="458">
                  <c:v>10.9901</c:v>
                </c:pt>
                <c:pt idx="459">
                  <c:v>11.0815</c:v>
                </c:pt>
                <c:pt idx="460">
                  <c:v>11.161300000000001</c:v>
                </c:pt>
                <c:pt idx="461">
                  <c:v>11.3256</c:v>
                </c:pt>
                <c:pt idx="462">
                  <c:v>11.341699999999999</c:v>
                </c:pt>
                <c:pt idx="463">
                  <c:v>11.321099999999999</c:v>
                </c:pt>
                <c:pt idx="464">
                  <c:v>11.3681</c:v>
                </c:pt>
                <c:pt idx="465">
                  <c:v>11.2781</c:v>
                </c:pt>
                <c:pt idx="466">
                  <c:v>11.183299999999999</c:v>
                </c:pt>
                <c:pt idx="467">
                  <c:v>11.0929</c:v>
                </c:pt>
                <c:pt idx="468">
                  <c:v>11.1812</c:v>
                </c:pt>
                <c:pt idx="469">
                  <c:v>11.164400000000001</c:v>
                </c:pt>
                <c:pt idx="470">
                  <c:v>11.2835</c:v>
                </c:pt>
                <c:pt idx="471">
                  <c:v>11.1942</c:v>
                </c:pt>
                <c:pt idx="472">
                  <c:v>10.9918</c:v>
                </c:pt>
                <c:pt idx="473">
                  <c:v>10.8926</c:v>
                </c:pt>
                <c:pt idx="474">
                  <c:v>10.9125</c:v>
                </c:pt>
                <c:pt idx="475">
                  <c:v>10.9657</c:v>
                </c:pt>
                <c:pt idx="476">
                  <c:v>11.0465</c:v>
                </c:pt>
                <c:pt idx="477">
                  <c:v>11.026</c:v>
                </c:pt>
                <c:pt idx="478">
                  <c:v>11.0282</c:v>
                </c:pt>
                <c:pt idx="479">
                  <c:v>11.1861</c:v>
                </c:pt>
                <c:pt idx="480">
                  <c:v>10.9648</c:v>
                </c:pt>
                <c:pt idx="481">
                  <c:v>10.856999999999999</c:v>
                </c:pt>
                <c:pt idx="482">
                  <c:v>10.742699999999999</c:v>
                </c:pt>
                <c:pt idx="483">
                  <c:v>10.8521</c:v>
                </c:pt>
                <c:pt idx="484">
                  <c:v>10.6175</c:v>
                </c:pt>
                <c:pt idx="485">
                  <c:v>10.3826</c:v>
                </c:pt>
                <c:pt idx="486">
                  <c:v>10.469200000000001</c:v>
                </c:pt>
                <c:pt idx="487">
                  <c:v>10.430099999999999</c:v>
                </c:pt>
                <c:pt idx="488">
                  <c:v>10.4695</c:v>
                </c:pt>
                <c:pt idx="489">
                  <c:v>10.663399999999999</c:v>
                </c:pt>
                <c:pt idx="490">
                  <c:v>10.593299999999999</c:v>
                </c:pt>
                <c:pt idx="491">
                  <c:v>10.7196</c:v>
                </c:pt>
                <c:pt idx="492">
                  <c:v>10.671900000000001</c:v>
                </c:pt>
                <c:pt idx="493">
                  <c:v>10.465999999999999</c:v>
                </c:pt>
                <c:pt idx="494">
                  <c:v>10.3934</c:v>
                </c:pt>
                <c:pt idx="495">
                  <c:v>10.419600000000001</c:v>
                </c:pt>
                <c:pt idx="496">
                  <c:v>10.4811</c:v>
                </c:pt>
                <c:pt idx="497">
                  <c:v>10.543799999999999</c:v>
                </c:pt>
                <c:pt idx="498">
                  <c:v>10.6608</c:v>
                </c:pt>
                <c:pt idx="499">
                  <c:v>10.3567</c:v>
                </c:pt>
                <c:pt idx="500">
                  <c:v>10.405099999999999</c:v>
                </c:pt>
                <c:pt idx="501">
                  <c:v>10.3614</c:v>
                </c:pt>
                <c:pt idx="502">
                  <c:v>10.4009</c:v>
                </c:pt>
                <c:pt idx="503">
                  <c:v>10.357200000000001</c:v>
                </c:pt>
                <c:pt idx="504">
                  <c:v>10.3505</c:v>
                </c:pt>
                <c:pt idx="505">
                  <c:v>10.334899999999999</c:v>
                </c:pt>
                <c:pt idx="506">
                  <c:v>10.3531</c:v>
                </c:pt>
                <c:pt idx="507">
                  <c:v>10.2056</c:v>
                </c:pt>
                <c:pt idx="508">
                  <c:v>10.201499999999999</c:v>
                </c:pt>
                <c:pt idx="509">
                  <c:v>10.3102</c:v>
                </c:pt>
                <c:pt idx="510">
                  <c:v>10.394500000000001</c:v>
                </c:pt>
                <c:pt idx="511">
                  <c:v>10.415900000000001</c:v>
                </c:pt>
                <c:pt idx="512">
                  <c:v>10.4117</c:v>
                </c:pt>
                <c:pt idx="513">
                  <c:v>10.406499999999999</c:v>
                </c:pt>
                <c:pt idx="514">
                  <c:v>10.457000000000001</c:v>
                </c:pt>
                <c:pt idx="515">
                  <c:v>10.527900000000001</c:v>
                </c:pt>
                <c:pt idx="516">
                  <c:v>10.476699999999999</c:v>
                </c:pt>
                <c:pt idx="517">
                  <c:v>10.452199999999999</c:v>
                </c:pt>
                <c:pt idx="518">
                  <c:v>10.4556</c:v>
                </c:pt>
                <c:pt idx="519">
                  <c:v>10.4559</c:v>
                </c:pt>
                <c:pt idx="520">
                  <c:v>10.420999999999999</c:v>
                </c:pt>
                <c:pt idx="521">
                  <c:v>10.4604</c:v>
                </c:pt>
                <c:pt idx="522">
                  <c:v>10.548299999999999</c:v>
                </c:pt>
                <c:pt idx="523">
                  <c:v>10.508599999999999</c:v>
                </c:pt>
                <c:pt idx="524">
                  <c:v>10.696300000000001</c:v>
                </c:pt>
                <c:pt idx="525">
                  <c:v>10.5733</c:v>
                </c:pt>
                <c:pt idx="526">
                  <c:v>10.3851</c:v>
                </c:pt>
                <c:pt idx="527">
                  <c:v>10.431100000000001</c:v>
                </c:pt>
                <c:pt idx="528">
                  <c:v>10.482900000000001</c:v>
                </c:pt>
                <c:pt idx="529">
                  <c:v>10.4627</c:v>
                </c:pt>
                <c:pt idx="530">
                  <c:v>10.3964</c:v>
                </c:pt>
                <c:pt idx="531">
                  <c:v>10.425700000000001</c:v>
                </c:pt>
                <c:pt idx="532">
                  <c:v>10.3947</c:v>
                </c:pt>
                <c:pt idx="533">
                  <c:v>10.253299999999999</c:v>
                </c:pt>
                <c:pt idx="534">
                  <c:v>10.3668</c:v>
                </c:pt>
                <c:pt idx="535">
                  <c:v>10.3071</c:v>
                </c:pt>
                <c:pt idx="536">
                  <c:v>10.2348</c:v>
                </c:pt>
                <c:pt idx="537">
                  <c:v>10.2171</c:v>
                </c:pt>
                <c:pt idx="538">
                  <c:v>10.2538</c:v>
                </c:pt>
                <c:pt idx="539">
                  <c:v>10.3201</c:v>
                </c:pt>
                <c:pt idx="540">
                  <c:v>10.33625</c:v>
                </c:pt>
                <c:pt idx="541">
                  <c:v>10.37</c:v>
                </c:pt>
                <c:pt idx="542">
                  <c:v>10.469799999999999</c:v>
                </c:pt>
                <c:pt idx="543">
                  <c:v>10.4201</c:v>
                </c:pt>
                <c:pt idx="544">
                  <c:v>10.3283</c:v>
                </c:pt>
                <c:pt idx="545">
                  <c:v>10.4772</c:v>
                </c:pt>
                <c:pt idx="546">
                  <c:v>10.6267</c:v>
                </c:pt>
                <c:pt idx="547">
                  <c:v>10.6228</c:v>
                </c:pt>
                <c:pt idx="548">
                  <c:v>10.605600000000001</c:v>
                </c:pt>
                <c:pt idx="549">
                  <c:v>10.305099999999999</c:v>
                </c:pt>
                <c:pt idx="550">
                  <c:v>10.444800000000001</c:v>
                </c:pt>
                <c:pt idx="551">
                  <c:v>10.3872</c:v>
                </c:pt>
                <c:pt idx="552">
                  <c:v>10.375299999999999</c:v>
                </c:pt>
                <c:pt idx="553">
                  <c:v>10.4339</c:v>
                </c:pt>
                <c:pt idx="554">
                  <c:v>10.4336</c:v>
                </c:pt>
                <c:pt idx="555">
                  <c:v>10.4457</c:v>
                </c:pt>
                <c:pt idx="556">
                  <c:v>10.337899999999999</c:v>
                </c:pt>
                <c:pt idx="557">
                  <c:v>10.3057</c:v>
                </c:pt>
                <c:pt idx="558">
                  <c:v>10.398199999999999</c:v>
                </c:pt>
                <c:pt idx="559">
                  <c:v>10.424899999999999</c:v>
                </c:pt>
                <c:pt idx="560">
                  <c:v>10.4909</c:v>
                </c:pt>
                <c:pt idx="561">
                  <c:v>10.410500000000001</c:v>
                </c:pt>
                <c:pt idx="562">
                  <c:v>10.434799999999999</c:v>
                </c:pt>
                <c:pt idx="563">
                  <c:v>10.4438</c:v>
                </c:pt>
                <c:pt idx="564">
                  <c:v>10.495200000000001</c:v>
                </c:pt>
                <c:pt idx="565">
                  <c:v>10.5099</c:v>
                </c:pt>
                <c:pt idx="566">
                  <c:v>10.4558</c:v>
                </c:pt>
                <c:pt idx="567">
                  <c:v>10.6755</c:v>
                </c:pt>
                <c:pt idx="568">
                  <c:v>10.673500000000001</c:v>
                </c:pt>
                <c:pt idx="569">
                  <c:v>10.7239</c:v>
                </c:pt>
                <c:pt idx="570">
                  <c:v>10.6181</c:v>
                </c:pt>
                <c:pt idx="571">
                  <c:v>10.577299999999999</c:v>
                </c:pt>
                <c:pt idx="572">
                  <c:v>10.479100000000001</c:v>
                </c:pt>
                <c:pt idx="573">
                  <c:v>10.6366</c:v>
                </c:pt>
                <c:pt idx="574">
                  <c:v>10.5084</c:v>
                </c:pt>
                <c:pt idx="575">
                  <c:v>10.498799999999999</c:v>
                </c:pt>
                <c:pt idx="576">
                  <c:v>10.378</c:v>
                </c:pt>
                <c:pt idx="577">
                  <c:v>10.348100000000001</c:v>
                </c:pt>
                <c:pt idx="578">
                  <c:v>10.3504</c:v>
                </c:pt>
                <c:pt idx="579">
                  <c:v>10.257899999999999</c:v>
                </c:pt>
                <c:pt idx="580">
                  <c:v>10.431100000000001</c:v>
                </c:pt>
                <c:pt idx="581">
                  <c:v>10.3912</c:v>
                </c:pt>
                <c:pt idx="582">
                  <c:v>10.352</c:v>
                </c:pt>
                <c:pt idx="583">
                  <c:v>10.4124</c:v>
                </c:pt>
                <c:pt idx="584">
                  <c:v>10.3561</c:v>
                </c:pt>
                <c:pt idx="585">
                  <c:v>10.3667</c:v>
                </c:pt>
                <c:pt idx="586">
                  <c:v>10.384499999999999</c:v>
                </c:pt>
                <c:pt idx="587">
                  <c:v>10.264099999999999</c:v>
                </c:pt>
                <c:pt idx="588">
                  <c:v>10.3993</c:v>
                </c:pt>
                <c:pt idx="589">
                  <c:v>10.429399999999999</c:v>
                </c:pt>
                <c:pt idx="590">
                  <c:v>10.456099999999999</c:v>
                </c:pt>
                <c:pt idx="591">
                  <c:v>10.5566</c:v>
                </c:pt>
                <c:pt idx="592">
                  <c:v>10.448499999999999</c:v>
                </c:pt>
                <c:pt idx="593">
                  <c:v>10.346500000000001</c:v>
                </c:pt>
                <c:pt idx="594">
                  <c:v>10.2842</c:v>
                </c:pt>
                <c:pt idx="595">
                  <c:v>10.3095</c:v>
                </c:pt>
                <c:pt idx="596">
                  <c:v>10.359400000000001</c:v>
                </c:pt>
                <c:pt idx="597">
                  <c:v>10.3125</c:v>
                </c:pt>
                <c:pt idx="598">
                  <c:v>10.3332</c:v>
                </c:pt>
                <c:pt idx="599">
                  <c:v>10.3024</c:v>
                </c:pt>
                <c:pt idx="600">
                  <c:v>10.314</c:v>
                </c:pt>
                <c:pt idx="601">
                  <c:v>10.2637</c:v>
                </c:pt>
                <c:pt idx="602">
                  <c:v>10.3048</c:v>
                </c:pt>
                <c:pt idx="603">
                  <c:v>10.3247</c:v>
                </c:pt>
                <c:pt idx="604">
                  <c:v>10.312799999999999</c:v>
                </c:pt>
                <c:pt idx="605">
                  <c:v>10.258100000000001</c:v>
                </c:pt>
                <c:pt idx="606">
                  <c:v>10.32</c:v>
                </c:pt>
                <c:pt idx="607">
                  <c:v>10.324199999999999</c:v>
                </c:pt>
                <c:pt idx="608">
                  <c:v>10.245200000000001</c:v>
                </c:pt>
                <c:pt idx="609">
                  <c:v>10.274100000000001</c:v>
                </c:pt>
                <c:pt idx="610">
                  <c:v>10.1769</c:v>
                </c:pt>
                <c:pt idx="611">
                  <c:v>10.1569</c:v>
                </c:pt>
                <c:pt idx="612">
                  <c:v>10.2006</c:v>
                </c:pt>
                <c:pt idx="613">
                  <c:v>10.2248</c:v>
                </c:pt>
                <c:pt idx="614">
                  <c:v>10.33</c:v>
                </c:pt>
                <c:pt idx="615">
                  <c:v>10.3733</c:v>
                </c:pt>
                <c:pt idx="616">
                  <c:v>10.3627</c:v>
                </c:pt>
                <c:pt idx="617">
                  <c:v>10.4049</c:v>
                </c:pt>
                <c:pt idx="618">
                  <c:v>10.4702</c:v>
                </c:pt>
                <c:pt idx="619">
                  <c:v>10.5809</c:v>
                </c:pt>
                <c:pt idx="620">
                  <c:v>10.551600000000001</c:v>
                </c:pt>
                <c:pt idx="621">
                  <c:v>10.568300000000001</c:v>
                </c:pt>
                <c:pt idx="622">
                  <c:v>10.6221</c:v>
                </c:pt>
                <c:pt idx="623">
                  <c:v>10.72</c:v>
                </c:pt>
                <c:pt idx="624">
                  <c:v>10.8184</c:v>
                </c:pt>
                <c:pt idx="625">
                  <c:v>10.800800000000001</c:v>
                </c:pt>
                <c:pt idx="626">
                  <c:v>10.8361</c:v>
                </c:pt>
                <c:pt idx="627">
                  <c:v>10.868</c:v>
                </c:pt>
                <c:pt idx="628">
                  <c:v>10.882099999999999</c:v>
                </c:pt>
                <c:pt idx="629">
                  <c:v>10.86</c:v>
                </c:pt>
                <c:pt idx="630">
                  <c:v>10.7751</c:v>
                </c:pt>
                <c:pt idx="631">
                  <c:v>10.88</c:v>
                </c:pt>
                <c:pt idx="632">
                  <c:v>10.909000000000001</c:v>
                </c:pt>
                <c:pt idx="633">
                  <c:v>10.869400000000001</c:v>
                </c:pt>
                <c:pt idx="634">
                  <c:v>10.8155</c:v>
                </c:pt>
                <c:pt idx="635">
                  <c:v>10.831899999999999</c:v>
                </c:pt>
                <c:pt idx="636">
                  <c:v>10.8133</c:v>
                </c:pt>
                <c:pt idx="637">
                  <c:v>10.706899999999999</c:v>
                </c:pt>
                <c:pt idx="638">
                  <c:v>10.6693</c:v>
                </c:pt>
                <c:pt idx="639">
                  <c:v>10.6226</c:v>
                </c:pt>
                <c:pt idx="640">
                  <c:v>10.635400000000001</c:v>
                </c:pt>
                <c:pt idx="641">
                  <c:v>10.7423</c:v>
                </c:pt>
                <c:pt idx="642">
                  <c:v>10.832000000000001</c:v>
                </c:pt>
                <c:pt idx="643">
                  <c:v>10.7006</c:v>
                </c:pt>
                <c:pt idx="644">
                  <c:v>10.698</c:v>
                </c:pt>
                <c:pt idx="645">
                  <c:v>10.747400000000001</c:v>
                </c:pt>
                <c:pt idx="646">
                  <c:v>10.700799999999999</c:v>
                </c:pt>
                <c:pt idx="647">
                  <c:v>10.732200000000001</c:v>
                </c:pt>
                <c:pt idx="648">
                  <c:v>10.8141</c:v>
                </c:pt>
                <c:pt idx="649">
                  <c:v>10.852</c:v>
                </c:pt>
                <c:pt idx="650">
                  <c:v>10.8026</c:v>
                </c:pt>
                <c:pt idx="651">
                  <c:v>10.851599999999999</c:v>
                </c:pt>
                <c:pt idx="652">
                  <c:v>10.805099999999999</c:v>
                </c:pt>
                <c:pt idx="653">
                  <c:v>10.8878</c:v>
                </c:pt>
                <c:pt idx="654">
                  <c:v>10.9724</c:v>
                </c:pt>
                <c:pt idx="655">
                  <c:v>10.841200000000001</c:v>
                </c:pt>
                <c:pt idx="656">
                  <c:v>10.819699999999999</c:v>
                </c:pt>
                <c:pt idx="657">
                  <c:v>10.6753</c:v>
                </c:pt>
                <c:pt idx="658">
                  <c:v>10.3871</c:v>
                </c:pt>
                <c:pt idx="659">
                  <c:v>10.1882</c:v>
                </c:pt>
                <c:pt idx="660">
                  <c:v>10.2303</c:v>
                </c:pt>
                <c:pt idx="661">
                  <c:v>10.2681</c:v>
                </c:pt>
                <c:pt idx="662">
                  <c:v>10.2079</c:v>
                </c:pt>
                <c:pt idx="663">
                  <c:v>10.2721</c:v>
                </c:pt>
                <c:pt idx="664">
                  <c:v>10.3248</c:v>
                </c:pt>
                <c:pt idx="665">
                  <c:v>10.4163</c:v>
                </c:pt>
                <c:pt idx="666">
                  <c:v>10.401999999999999</c:v>
                </c:pt>
                <c:pt idx="667">
                  <c:v>10.3834</c:v>
                </c:pt>
                <c:pt idx="668">
                  <c:v>10.4536</c:v>
                </c:pt>
                <c:pt idx="669">
                  <c:v>10.485300000000001</c:v>
                </c:pt>
                <c:pt idx="670">
                  <c:v>10.5069</c:v>
                </c:pt>
                <c:pt idx="671">
                  <c:v>10.512</c:v>
                </c:pt>
                <c:pt idx="672">
                  <c:v>10.597099999999999</c:v>
                </c:pt>
                <c:pt idx="673">
                  <c:v>10.7424</c:v>
                </c:pt>
                <c:pt idx="674">
                  <c:v>10.7182</c:v>
                </c:pt>
                <c:pt idx="675">
                  <c:v>10.5869</c:v>
                </c:pt>
                <c:pt idx="676">
                  <c:v>10.611499999999999</c:v>
                </c:pt>
                <c:pt idx="677">
                  <c:v>10.744</c:v>
                </c:pt>
                <c:pt idx="678">
                  <c:v>10.6889</c:v>
                </c:pt>
                <c:pt idx="679">
                  <c:v>10.6267</c:v>
                </c:pt>
                <c:pt idx="680">
                  <c:v>10.808999999999999</c:v>
                </c:pt>
                <c:pt idx="681">
                  <c:v>10.8209</c:v>
                </c:pt>
                <c:pt idx="682">
                  <c:v>10.811199999999999</c:v>
                </c:pt>
                <c:pt idx="683">
                  <c:v>10.8652</c:v>
                </c:pt>
                <c:pt idx="684">
                  <c:v>10.9002</c:v>
                </c:pt>
                <c:pt idx="685">
                  <c:v>10.964600000000001</c:v>
                </c:pt>
                <c:pt idx="686">
                  <c:v>10.966799999999999</c:v>
                </c:pt>
                <c:pt idx="687">
                  <c:v>10.9519</c:v>
                </c:pt>
                <c:pt idx="688">
                  <c:v>10.934900000000001</c:v>
                </c:pt>
                <c:pt idx="689">
                  <c:v>10.987500000000001</c:v>
                </c:pt>
                <c:pt idx="690">
                  <c:v>11.0527</c:v>
                </c:pt>
                <c:pt idx="691">
                  <c:v>11.002700000000001</c:v>
                </c:pt>
                <c:pt idx="692">
                  <c:v>10.943899999999999</c:v>
                </c:pt>
                <c:pt idx="693">
                  <c:v>10.8195</c:v>
                </c:pt>
                <c:pt idx="694">
                  <c:v>10.9503</c:v>
                </c:pt>
                <c:pt idx="695">
                  <c:v>11.0381</c:v>
                </c:pt>
                <c:pt idx="696">
                  <c:v>11.0204</c:v>
                </c:pt>
                <c:pt idx="697">
                  <c:v>11.1174</c:v>
                </c:pt>
                <c:pt idx="698">
                  <c:v>11.1287</c:v>
                </c:pt>
                <c:pt idx="699">
                  <c:v>11.1473</c:v>
                </c:pt>
                <c:pt idx="700">
                  <c:v>11.1272</c:v>
                </c:pt>
                <c:pt idx="701">
                  <c:v>11.0671</c:v>
                </c:pt>
                <c:pt idx="702">
                  <c:v>11.110300000000001</c:v>
                </c:pt>
                <c:pt idx="703">
                  <c:v>11.118499999999999</c:v>
                </c:pt>
                <c:pt idx="704">
                  <c:v>11.161199999999999</c:v>
                </c:pt>
                <c:pt idx="705">
                  <c:v>11.199</c:v>
                </c:pt>
                <c:pt idx="706">
                  <c:v>11.184799999999999</c:v>
                </c:pt>
                <c:pt idx="707">
                  <c:v>11.137</c:v>
                </c:pt>
                <c:pt idx="708">
                  <c:v>11.0587</c:v>
                </c:pt>
                <c:pt idx="709">
                  <c:v>11.1852</c:v>
                </c:pt>
                <c:pt idx="710">
                  <c:v>11.136900000000001</c:v>
                </c:pt>
                <c:pt idx="711">
                  <c:v>11.056800000000001</c:v>
                </c:pt>
                <c:pt idx="712">
                  <c:v>11.021100000000001</c:v>
                </c:pt>
                <c:pt idx="713">
                  <c:v>11.010400000000001</c:v>
                </c:pt>
                <c:pt idx="714">
                  <c:v>10.9488</c:v>
                </c:pt>
                <c:pt idx="715">
                  <c:v>10.9198</c:v>
                </c:pt>
                <c:pt idx="716">
                  <c:v>11.025600000000001</c:v>
                </c:pt>
                <c:pt idx="717">
                  <c:v>11.1089</c:v>
                </c:pt>
                <c:pt idx="718">
                  <c:v>11.099</c:v>
                </c:pt>
                <c:pt idx="719">
                  <c:v>11.0318</c:v>
                </c:pt>
                <c:pt idx="720">
                  <c:v>10.9597</c:v>
                </c:pt>
                <c:pt idx="721">
                  <c:v>10.992599999999999</c:v>
                </c:pt>
                <c:pt idx="722">
                  <c:v>10.8874</c:v>
                </c:pt>
                <c:pt idx="723">
                  <c:v>10.890499999999999</c:v>
                </c:pt>
                <c:pt idx="724">
                  <c:v>10.9641</c:v>
                </c:pt>
                <c:pt idx="725">
                  <c:v>10.952</c:v>
                </c:pt>
                <c:pt idx="726">
                  <c:v>10.9201</c:v>
                </c:pt>
                <c:pt idx="727">
                  <c:v>10.9024</c:v>
                </c:pt>
                <c:pt idx="728">
                  <c:v>11.018800000000001</c:v>
                </c:pt>
                <c:pt idx="729">
                  <c:v>10.9793</c:v>
                </c:pt>
                <c:pt idx="730">
                  <c:v>10.9762</c:v>
                </c:pt>
                <c:pt idx="731">
                  <c:v>11.0176</c:v>
                </c:pt>
                <c:pt idx="732">
                  <c:v>11.0998</c:v>
                </c:pt>
                <c:pt idx="733">
                  <c:v>11.109500000000001</c:v>
                </c:pt>
                <c:pt idx="734">
                  <c:v>11.180199999999999</c:v>
                </c:pt>
                <c:pt idx="735">
                  <c:v>11.2277</c:v>
                </c:pt>
                <c:pt idx="736">
                  <c:v>11.140700000000001</c:v>
                </c:pt>
                <c:pt idx="737">
                  <c:v>11.1768</c:v>
                </c:pt>
                <c:pt idx="738">
                  <c:v>11.221500000000001</c:v>
                </c:pt>
                <c:pt idx="739">
                  <c:v>11.137700000000001</c:v>
                </c:pt>
                <c:pt idx="740">
                  <c:v>10.882899999999999</c:v>
                </c:pt>
                <c:pt idx="741">
                  <c:v>10.88</c:v>
                </c:pt>
                <c:pt idx="742">
                  <c:v>10.9337</c:v>
                </c:pt>
                <c:pt idx="743">
                  <c:v>10.886699999999999</c:v>
                </c:pt>
                <c:pt idx="744">
                  <c:v>10.8482</c:v>
                </c:pt>
                <c:pt idx="745">
                  <c:v>10.9184</c:v>
                </c:pt>
                <c:pt idx="746">
                  <c:v>10.8566</c:v>
                </c:pt>
                <c:pt idx="747">
                  <c:v>10.6348</c:v>
                </c:pt>
                <c:pt idx="748">
                  <c:v>10.524900000000001</c:v>
                </c:pt>
                <c:pt idx="749">
                  <c:v>10.5611</c:v>
                </c:pt>
                <c:pt idx="750">
                  <c:v>10.5451</c:v>
                </c:pt>
                <c:pt idx="751">
                  <c:v>10.459</c:v>
                </c:pt>
                <c:pt idx="752">
                  <c:v>10.412599999999999</c:v>
                </c:pt>
                <c:pt idx="753">
                  <c:v>10.5274</c:v>
                </c:pt>
                <c:pt idx="754">
                  <c:v>10.4917</c:v>
                </c:pt>
                <c:pt idx="755">
                  <c:v>10.4491</c:v>
                </c:pt>
                <c:pt idx="756">
                  <c:v>10.4634</c:v>
                </c:pt>
                <c:pt idx="757">
                  <c:v>10.367699999999999</c:v>
                </c:pt>
                <c:pt idx="758">
                  <c:v>10.353300000000001</c:v>
                </c:pt>
                <c:pt idx="759">
                  <c:v>10.47</c:v>
                </c:pt>
                <c:pt idx="760">
                  <c:v>10.4323</c:v>
                </c:pt>
                <c:pt idx="761">
                  <c:v>10.468500000000001</c:v>
                </c:pt>
                <c:pt idx="762">
                  <c:v>10.4726</c:v>
                </c:pt>
                <c:pt idx="763">
                  <c:v>10.4414</c:v>
                </c:pt>
                <c:pt idx="764">
                  <c:v>10.4062</c:v>
                </c:pt>
                <c:pt idx="765">
                  <c:v>10.4673</c:v>
                </c:pt>
                <c:pt idx="766">
                  <c:v>10.5069</c:v>
                </c:pt>
                <c:pt idx="767">
                  <c:v>10.4582</c:v>
                </c:pt>
                <c:pt idx="768">
                  <c:v>10.448700000000001</c:v>
                </c:pt>
                <c:pt idx="769">
                  <c:v>10.2004</c:v>
                </c:pt>
                <c:pt idx="770">
                  <c:v>10.2712</c:v>
                </c:pt>
                <c:pt idx="771">
                  <c:v>10.2121</c:v>
                </c:pt>
                <c:pt idx="772">
                  <c:v>10.1585</c:v>
                </c:pt>
                <c:pt idx="773">
                  <c:v>10.146800000000001</c:v>
                </c:pt>
                <c:pt idx="774">
                  <c:v>10.105600000000001</c:v>
                </c:pt>
                <c:pt idx="775">
                  <c:v>10.027200000000001</c:v>
                </c:pt>
                <c:pt idx="776">
                  <c:v>10.0603</c:v>
                </c:pt>
                <c:pt idx="777">
                  <c:v>10.0318</c:v>
                </c:pt>
                <c:pt idx="778">
                  <c:v>9.9262999999999995</c:v>
                </c:pt>
                <c:pt idx="779">
                  <c:v>9.9564000000000004</c:v>
                </c:pt>
                <c:pt idx="780">
                  <c:v>10.0481</c:v>
                </c:pt>
                <c:pt idx="781">
                  <c:v>10.0884</c:v>
                </c:pt>
                <c:pt idx="782">
                  <c:v>10.194000000000001</c:v>
                </c:pt>
                <c:pt idx="783">
                  <c:v>10.290100000000001</c:v>
                </c:pt>
                <c:pt idx="784">
                  <c:v>10.2149</c:v>
                </c:pt>
                <c:pt idx="785">
                  <c:v>10.2104</c:v>
                </c:pt>
                <c:pt idx="786">
                  <c:v>10.227</c:v>
                </c:pt>
                <c:pt idx="787">
                  <c:v>10.275399999999999</c:v>
                </c:pt>
                <c:pt idx="788">
                  <c:v>10.222099999999999</c:v>
                </c:pt>
                <c:pt idx="789">
                  <c:v>10.2896</c:v>
                </c:pt>
                <c:pt idx="790">
                  <c:v>10.2563</c:v>
                </c:pt>
                <c:pt idx="791">
                  <c:v>10.313000000000001</c:v>
                </c:pt>
                <c:pt idx="792">
                  <c:v>10.4312</c:v>
                </c:pt>
                <c:pt idx="793">
                  <c:v>10.4786</c:v>
                </c:pt>
                <c:pt idx="794">
                  <c:v>10.491199999999999</c:v>
                </c:pt>
                <c:pt idx="795">
                  <c:v>10.4817</c:v>
                </c:pt>
                <c:pt idx="796">
                  <c:v>10.4488</c:v>
                </c:pt>
                <c:pt idx="797">
                  <c:v>10.494899999999999</c:v>
                </c:pt>
                <c:pt idx="798">
                  <c:v>10.413</c:v>
                </c:pt>
                <c:pt idx="799">
                  <c:v>10.450900000000001</c:v>
                </c:pt>
                <c:pt idx="800">
                  <c:v>10.428100000000001</c:v>
                </c:pt>
                <c:pt idx="801">
                  <c:v>10.4833</c:v>
                </c:pt>
                <c:pt idx="802">
                  <c:v>10.437200000000001</c:v>
                </c:pt>
                <c:pt idx="803">
                  <c:v>10.3391</c:v>
                </c:pt>
                <c:pt idx="804">
                  <c:v>10.4285</c:v>
                </c:pt>
                <c:pt idx="805">
                  <c:v>10.496</c:v>
                </c:pt>
                <c:pt idx="806">
                  <c:v>10.6218</c:v>
                </c:pt>
                <c:pt idx="807">
                  <c:v>10.563000000000001</c:v>
                </c:pt>
                <c:pt idx="808">
                  <c:v>10.472799999999999</c:v>
                </c:pt>
                <c:pt idx="809">
                  <c:v>10.4984</c:v>
                </c:pt>
                <c:pt idx="810">
                  <c:v>10.4627</c:v>
                </c:pt>
                <c:pt idx="811">
                  <c:v>10.4224</c:v>
                </c:pt>
                <c:pt idx="812">
                  <c:v>10.571300000000001</c:v>
                </c:pt>
                <c:pt idx="813">
                  <c:v>10.5343</c:v>
                </c:pt>
                <c:pt idx="814">
                  <c:v>10.4603</c:v>
                </c:pt>
                <c:pt idx="815">
                  <c:v>10.4551</c:v>
                </c:pt>
                <c:pt idx="816">
                  <c:v>10.4213</c:v>
                </c:pt>
                <c:pt idx="817">
                  <c:v>10.3527</c:v>
                </c:pt>
                <c:pt idx="818">
                  <c:v>10.384399999999999</c:v>
                </c:pt>
                <c:pt idx="819">
                  <c:v>10.336600000000001</c:v>
                </c:pt>
                <c:pt idx="820">
                  <c:v>10.321199999999999</c:v>
                </c:pt>
                <c:pt idx="821">
                  <c:v>10.292400000000001</c:v>
                </c:pt>
                <c:pt idx="822">
                  <c:v>10.3009</c:v>
                </c:pt>
                <c:pt idx="823">
                  <c:v>10.3415</c:v>
                </c:pt>
                <c:pt idx="824">
                  <c:v>10.3484</c:v>
                </c:pt>
                <c:pt idx="825">
                  <c:v>10.3178</c:v>
                </c:pt>
                <c:pt idx="826">
                  <c:v>10.3507</c:v>
                </c:pt>
                <c:pt idx="827">
                  <c:v>10.3622</c:v>
                </c:pt>
                <c:pt idx="828">
                  <c:v>10.299099999999999</c:v>
                </c:pt>
                <c:pt idx="829">
                  <c:v>10.2439</c:v>
                </c:pt>
                <c:pt idx="830">
                  <c:v>10.193099999999999</c:v>
                </c:pt>
                <c:pt idx="831">
                  <c:v>10.248900000000001</c:v>
                </c:pt>
                <c:pt idx="832">
                  <c:v>10.246600000000001</c:v>
                </c:pt>
                <c:pt idx="833">
                  <c:v>10.238099999999999</c:v>
                </c:pt>
                <c:pt idx="834">
                  <c:v>10.3346</c:v>
                </c:pt>
                <c:pt idx="835">
                  <c:v>10.366400000000001</c:v>
                </c:pt>
                <c:pt idx="836">
                  <c:v>10.4298</c:v>
                </c:pt>
                <c:pt idx="837">
                  <c:v>10.442</c:v>
                </c:pt>
                <c:pt idx="838">
                  <c:v>10.475099999999999</c:v>
                </c:pt>
                <c:pt idx="839">
                  <c:v>10.4542</c:v>
                </c:pt>
                <c:pt idx="840">
                  <c:v>10.5511</c:v>
                </c:pt>
                <c:pt idx="841">
                  <c:v>10.569699999999999</c:v>
                </c:pt>
                <c:pt idx="842">
                  <c:v>10.577500000000001</c:v>
                </c:pt>
                <c:pt idx="843">
                  <c:v>10.6112</c:v>
                </c:pt>
                <c:pt idx="844">
                  <c:v>10.691700000000001</c:v>
                </c:pt>
                <c:pt idx="845">
                  <c:v>10.689299999999999</c:v>
                </c:pt>
                <c:pt idx="846">
                  <c:v>10.7997</c:v>
                </c:pt>
                <c:pt idx="847">
                  <c:v>10.711499999999999</c:v>
                </c:pt>
                <c:pt idx="848">
                  <c:v>10.655900000000001</c:v>
                </c:pt>
                <c:pt idx="849">
                  <c:v>10.571999999999999</c:v>
                </c:pt>
                <c:pt idx="850">
                  <c:v>10.649800000000001</c:v>
                </c:pt>
                <c:pt idx="851">
                  <c:v>10.5562</c:v>
                </c:pt>
                <c:pt idx="852">
                  <c:v>10.566599999999999</c:v>
                </c:pt>
                <c:pt idx="853">
                  <c:v>10.715</c:v>
                </c:pt>
                <c:pt idx="854">
                  <c:v>10.7745</c:v>
                </c:pt>
                <c:pt idx="855">
                  <c:v>10.896699999999999</c:v>
                </c:pt>
                <c:pt idx="856">
                  <c:v>10.8948</c:v>
                </c:pt>
                <c:pt idx="857">
                  <c:v>10.9337</c:v>
                </c:pt>
                <c:pt idx="858">
                  <c:v>10.9831</c:v>
                </c:pt>
                <c:pt idx="859">
                  <c:v>10.9396</c:v>
                </c:pt>
                <c:pt idx="860">
                  <c:v>10.9055</c:v>
                </c:pt>
                <c:pt idx="861">
                  <c:v>10.9146</c:v>
                </c:pt>
                <c:pt idx="862">
                  <c:v>10.846500000000001</c:v>
                </c:pt>
                <c:pt idx="863">
                  <c:v>10.8863</c:v>
                </c:pt>
                <c:pt idx="864">
                  <c:v>10.918799999999999</c:v>
                </c:pt>
                <c:pt idx="865">
                  <c:v>10.9473</c:v>
                </c:pt>
                <c:pt idx="866">
                  <c:v>10.9215</c:v>
                </c:pt>
                <c:pt idx="867">
                  <c:v>10.984400000000001</c:v>
                </c:pt>
                <c:pt idx="868">
                  <c:v>10.976100000000001</c:v>
                </c:pt>
                <c:pt idx="869">
                  <c:v>10.9156</c:v>
                </c:pt>
                <c:pt idx="870">
                  <c:v>10.815</c:v>
                </c:pt>
                <c:pt idx="871">
                  <c:v>10.797700000000001</c:v>
                </c:pt>
                <c:pt idx="872">
                  <c:v>10.8203</c:v>
                </c:pt>
                <c:pt idx="873">
                  <c:v>10.899100000000001</c:v>
                </c:pt>
                <c:pt idx="874">
                  <c:v>10.8599</c:v>
                </c:pt>
                <c:pt idx="875">
                  <c:v>10.855600000000001</c:v>
                </c:pt>
                <c:pt idx="876">
                  <c:v>10.845599999999999</c:v>
                </c:pt>
                <c:pt idx="877">
                  <c:v>10.8216</c:v>
                </c:pt>
                <c:pt idx="878">
                  <c:v>10.7186</c:v>
                </c:pt>
                <c:pt idx="879">
                  <c:v>10.706200000000001</c:v>
                </c:pt>
                <c:pt idx="880">
                  <c:v>10.7027</c:v>
                </c:pt>
                <c:pt idx="881">
                  <c:v>10.697900000000001</c:v>
                </c:pt>
                <c:pt idx="882">
                  <c:v>10.687799999999999</c:v>
                </c:pt>
                <c:pt idx="883">
                  <c:v>10.728899999999999</c:v>
                </c:pt>
                <c:pt idx="884">
                  <c:v>10.7281</c:v>
                </c:pt>
                <c:pt idx="885">
                  <c:v>10.649699999999999</c:v>
                </c:pt>
                <c:pt idx="886">
                  <c:v>10.6134</c:v>
                </c:pt>
                <c:pt idx="887">
                  <c:v>10.546250000000001</c:v>
                </c:pt>
                <c:pt idx="888">
                  <c:v>10.645200000000001</c:v>
                </c:pt>
                <c:pt idx="889">
                  <c:v>10.5977</c:v>
                </c:pt>
                <c:pt idx="890">
                  <c:v>10.5242</c:v>
                </c:pt>
                <c:pt idx="891">
                  <c:v>10.4306</c:v>
                </c:pt>
                <c:pt idx="892">
                  <c:v>10.4474</c:v>
                </c:pt>
                <c:pt idx="893">
                  <c:v>10.424300000000001</c:v>
                </c:pt>
                <c:pt idx="894">
                  <c:v>10.4139</c:v>
                </c:pt>
                <c:pt idx="895">
                  <c:v>10.535399999999999</c:v>
                </c:pt>
                <c:pt idx="896">
                  <c:v>10.5222</c:v>
                </c:pt>
                <c:pt idx="897">
                  <c:v>10.516299999999999</c:v>
                </c:pt>
                <c:pt idx="898">
                  <c:v>10.3027</c:v>
                </c:pt>
                <c:pt idx="899">
                  <c:v>10.4688</c:v>
                </c:pt>
                <c:pt idx="900">
                  <c:v>10.5448</c:v>
                </c:pt>
                <c:pt idx="901">
                  <c:v>10.537000000000001</c:v>
                </c:pt>
                <c:pt idx="902">
                  <c:v>10.447100000000001</c:v>
                </c:pt>
                <c:pt idx="903">
                  <c:v>10.4231</c:v>
                </c:pt>
                <c:pt idx="904">
                  <c:v>10.4497</c:v>
                </c:pt>
                <c:pt idx="905">
                  <c:v>10.5334</c:v>
                </c:pt>
                <c:pt idx="906">
                  <c:v>10.462</c:v>
                </c:pt>
                <c:pt idx="907">
                  <c:v>10.510899999999999</c:v>
                </c:pt>
                <c:pt idx="908">
                  <c:v>10.571099999999999</c:v>
                </c:pt>
                <c:pt idx="909">
                  <c:v>10.6089</c:v>
                </c:pt>
                <c:pt idx="910">
                  <c:v>10.5989</c:v>
                </c:pt>
                <c:pt idx="911">
                  <c:v>10.638500000000001</c:v>
                </c:pt>
                <c:pt idx="912">
                  <c:v>10.619199999999999</c:v>
                </c:pt>
                <c:pt idx="913">
                  <c:v>10.4796</c:v>
                </c:pt>
                <c:pt idx="914">
                  <c:v>10.5063</c:v>
                </c:pt>
                <c:pt idx="915">
                  <c:v>10.504099999999999</c:v>
                </c:pt>
                <c:pt idx="916">
                  <c:v>10.5435</c:v>
                </c:pt>
                <c:pt idx="917">
                  <c:v>10.562200000000001</c:v>
                </c:pt>
                <c:pt idx="918">
                  <c:v>10.547499999999999</c:v>
                </c:pt>
                <c:pt idx="919">
                  <c:v>10.4655</c:v>
                </c:pt>
                <c:pt idx="920">
                  <c:v>10.5238</c:v>
                </c:pt>
                <c:pt idx="921">
                  <c:v>10.576599999999999</c:v>
                </c:pt>
                <c:pt idx="922">
                  <c:v>10.6175</c:v>
                </c:pt>
                <c:pt idx="923">
                  <c:v>10.553599999999999</c:v>
                </c:pt>
                <c:pt idx="924">
                  <c:v>10.560600000000001</c:v>
                </c:pt>
                <c:pt idx="925">
                  <c:v>10.668799999999999</c:v>
                </c:pt>
                <c:pt idx="926">
                  <c:v>10.7195</c:v>
                </c:pt>
                <c:pt idx="927">
                  <c:v>10.773400000000001</c:v>
                </c:pt>
                <c:pt idx="928">
                  <c:v>10.7593</c:v>
                </c:pt>
                <c:pt idx="929">
                  <c:v>10.7989</c:v>
                </c:pt>
                <c:pt idx="930">
                  <c:v>10.8035</c:v>
                </c:pt>
                <c:pt idx="931">
                  <c:v>10.8291</c:v>
                </c:pt>
                <c:pt idx="932">
                  <c:v>10.793699999999999</c:v>
                </c:pt>
                <c:pt idx="933">
                  <c:v>10.7225</c:v>
                </c:pt>
                <c:pt idx="934">
                  <c:v>10.6974</c:v>
                </c:pt>
                <c:pt idx="935">
                  <c:v>10.573399999999999</c:v>
                </c:pt>
                <c:pt idx="936">
                  <c:v>10.511900000000001</c:v>
                </c:pt>
                <c:pt idx="937">
                  <c:v>10.5319</c:v>
                </c:pt>
                <c:pt idx="938">
                  <c:v>10.4451</c:v>
                </c:pt>
                <c:pt idx="939">
                  <c:v>10.532999999999999</c:v>
                </c:pt>
                <c:pt idx="940">
                  <c:v>10.5045</c:v>
                </c:pt>
                <c:pt idx="941">
                  <c:v>10.523999999999999</c:v>
                </c:pt>
                <c:pt idx="942">
                  <c:v>10.5054</c:v>
                </c:pt>
                <c:pt idx="943">
                  <c:v>10.4269</c:v>
                </c:pt>
                <c:pt idx="944">
                  <c:v>10.494</c:v>
                </c:pt>
                <c:pt idx="945">
                  <c:v>10.5037</c:v>
                </c:pt>
                <c:pt idx="946">
                  <c:v>10.334300000000001</c:v>
                </c:pt>
                <c:pt idx="947">
                  <c:v>10.242100000000001</c:v>
                </c:pt>
                <c:pt idx="948">
                  <c:v>10.215999999999999</c:v>
                </c:pt>
                <c:pt idx="949">
                  <c:v>10.240399999999999</c:v>
                </c:pt>
                <c:pt idx="950">
                  <c:v>10.1935</c:v>
                </c:pt>
                <c:pt idx="951">
                  <c:v>10.1966</c:v>
                </c:pt>
                <c:pt idx="952">
                  <c:v>10.174099999999999</c:v>
                </c:pt>
                <c:pt idx="953">
                  <c:v>10.1861</c:v>
                </c:pt>
                <c:pt idx="954">
                  <c:v>10.2532</c:v>
                </c:pt>
                <c:pt idx="955">
                  <c:v>10.247999999999999</c:v>
                </c:pt>
                <c:pt idx="956">
                  <c:v>10.2547</c:v>
                </c:pt>
                <c:pt idx="957">
                  <c:v>10.3185</c:v>
                </c:pt>
                <c:pt idx="958">
                  <c:v>10.2681</c:v>
                </c:pt>
                <c:pt idx="959">
                  <c:v>10.287100000000001</c:v>
                </c:pt>
                <c:pt idx="960">
                  <c:v>10.253399999999999</c:v>
                </c:pt>
                <c:pt idx="961">
                  <c:v>10.3774</c:v>
                </c:pt>
                <c:pt idx="962">
                  <c:v>10.397399999999999</c:v>
                </c:pt>
                <c:pt idx="963">
                  <c:v>10.3941</c:v>
                </c:pt>
                <c:pt idx="964">
                  <c:v>10.3184</c:v>
                </c:pt>
                <c:pt idx="965">
                  <c:v>10.2033</c:v>
                </c:pt>
                <c:pt idx="966">
                  <c:v>10.197100000000001</c:v>
                </c:pt>
                <c:pt idx="967">
                  <c:v>10.1891</c:v>
                </c:pt>
                <c:pt idx="968">
                  <c:v>10.1981</c:v>
                </c:pt>
                <c:pt idx="969">
                  <c:v>10.176600000000001</c:v>
                </c:pt>
                <c:pt idx="970">
                  <c:v>10.210699999999999</c:v>
                </c:pt>
                <c:pt idx="971">
                  <c:v>10.192500000000001</c:v>
                </c:pt>
                <c:pt idx="972">
                  <c:v>10.1257</c:v>
                </c:pt>
                <c:pt idx="973">
                  <c:v>10.136200000000001</c:v>
                </c:pt>
                <c:pt idx="974">
                  <c:v>10.1149</c:v>
                </c:pt>
                <c:pt idx="975">
                  <c:v>10.090400000000001</c:v>
                </c:pt>
                <c:pt idx="976">
                  <c:v>10.1281</c:v>
                </c:pt>
                <c:pt idx="977">
                  <c:v>10.2683</c:v>
                </c:pt>
                <c:pt idx="978">
                  <c:v>10.2752</c:v>
                </c:pt>
                <c:pt idx="979">
                  <c:v>10.316700000000001</c:v>
                </c:pt>
                <c:pt idx="980">
                  <c:v>10.365399999999999</c:v>
                </c:pt>
                <c:pt idx="981">
                  <c:v>10.3599</c:v>
                </c:pt>
                <c:pt idx="982">
                  <c:v>10.365500000000001</c:v>
                </c:pt>
                <c:pt idx="983">
                  <c:v>10.3911</c:v>
                </c:pt>
                <c:pt idx="984">
                  <c:v>10.408099999999999</c:v>
                </c:pt>
                <c:pt idx="985">
                  <c:v>10.375</c:v>
                </c:pt>
                <c:pt idx="986">
                  <c:v>10.423</c:v>
                </c:pt>
                <c:pt idx="987">
                  <c:v>10.3766</c:v>
                </c:pt>
                <c:pt idx="988">
                  <c:v>10.4773</c:v>
                </c:pt>
                <c:pt idx="989">
                  <c:v>10.527900000000001</c:v>
                </c:pt>
                <c:pt idx="990">
                  <c:v>10.5344</c:v>
                </c:pt>
                <c:pt idx="991">
                  <c:v>10.5581</c:v>
                </c:pt>
                <c:pt idx="992">
                  <c:v>10.5433</c:v>
                </c:pt>
                <c:pt idx="993">
                  <c:v>10.6037</c:v>
                </c:pt>
                <c:pt idx="994">
                  <c:v>10.5869</c:v>
                </c:pt>
                <c:pt idx="995">
                  <c:v>10.5703</c:v>
                </c:pt>
                <c:pt idx="996">
                  <c:v>10.635400000000001</c:v>
                </c:pt>
                <c:pt idx="997">
                  <c:v>10.6523</c:v>
                </c:pt>
                <c:pt idx="998">
                  <c:v>10.6684</c:v>
                </c:pt>
                <c:pt idx="999">
                  <c:v>10.691700000000001</c:v>
                </c:pt>
                <c:pt idx="1000">
                  <c:v>10.7234</c:v>
                </c:pt>
                <c:pt idx="1001">
                  <c:v>10.6899</c:v>
                </c:pt>
                <c:pt idx="1002">
                  <c:v>10.7135</c:v>
                </c:pt>
                <c:pt idx="1003">
                  <c:v>10.8573</c:v>
                </c:pt>
                <c:pt idx="1004">
                  <c:v>10.6922</c:v>
                </c:pt>
                <c:pt idx="1005">
                  <c:v>10.817600000000001</c:v>
                </c:pt>
                <c:pt idx="1006">
                  <c:v>10.861700000000001</c:v>
                </c:pt>
                <c:pt idx="1007">
                  <c:v>10.918200000000001</c:v>
                </c:pt>
                <c:pt idx="1008">
                  <c:v>10.967700000000001</c:v>
                </c:pt>
                <c:pt idx="1009">
                  <c:v>10.9564</c:v>
                </c:pt>
                <c:pt idx="1010">
                  <c:v>10.9886</c:v>
                </c:pt>
                <c:pt idx="1011">
                  <c:v>10.963900000000001</c:v>
                </c:pt>
                <c:pt idx="1012">
                  <c:v>10.9413</c:v>
                </c:pt>
                <c:pt idx="1013">
                  <c:v>11.043100000000001</c:v>
                </c:pt>
                <c:pt idx="1014">
                  <c:v>11.0365</c:v>
                </c:pt>
                <c:pt idx="1015">
                  <c:v>11.059699999999999</c:v>
                </c:pt>
                <c:pt idx="1016">
                  <c:v>10.988300000000001</c:v>
                </c:pt>
                <c:pt idx="1017">
                  <c:v>11.0053</c:v>
                </c:pt>
                <c:pt idx="1018">
                  <c:v>10.9146</c:v>
                </c:pt>
                <c:pt idx="1019">
                  <c:v>10.925599999999999</c:v>
                </c:pt>
                <c:pt idx="1020">
                  <c:v>10.914199999999999</c:v>
                </c:pt>
                <c:pt idx="1021">
                  <c:v>11.0374</c:v>
                </c:pt>
                <c:pt idx="1022">
                  <c:v>11.019</c:v>
                </c:pt>
                <c:pt idx="1023">
                  <c:v>10.9496</c:v>
                </c:pt>
                <c:pt idx="1024">
                  <c:v>10.8713</c:v>
                </c:pt>
                <c:pt idx="1025">
                  <c:v>10.930999999999999</c:v>
                </c:pt>
                <c:pt idx="1026">
                  <c:v>10.8865</c:v>
                </c:pt>
                <c:pt idx="1027">
                  <c:v>10.982799999999999</c:v>
                </c:pt>
                <c:pt idx="1028">
                  <c:v>10.983599999999999</c:v>
                </c:pt>
                <c:pt idx="1029">
                  <c:v>11.003500000000001</c:v>
                </c:pt>
                <c:pt idx="1030">
                  <c:v>10.985300000000001</c:v>
                </c:pt>
                <c:pt idx="1031">
                  <c:v>10.894399999999999</c:v>
                </c:pt>
                <c:pt idx="1032">
                  <c:v>10.937799999999999</c:v>
                </c:pt>
                <c:pt idx="1033">
                  <c:v>10.9682</c:v>
                </c:pt>
                <c:pt idx="1034">
                  <c:v>11.0213</c:v>
                </c:pt>
                <c:pt idx="1035">
                  <c:v>11.0337</c:v>
                </c:pt>
                <c:pt idx="1036">
                  <c:v>11.054600000000001</c:v>
                </c:pt>
                <c:pt idx="1037">
                  <c:v>11.1119</c:v>
                </c:pt>
                <c:pt idx="1038">
                  <c:v>10.867000000000001</c:v>
                </c:pt>
                <c:pt idx="1039">
                  <c:v>11.0657</c:v>
                </c:pt>
                <c:pt idx="1040">
                  <c:v>11.011100000000001</c:v>
                </c:pt>
                <c:pt idx="1041">
                  <c:v>11.0463</c:v>
                </c:pt>
                <c:pt idx="1042">
                  <c:v>11.0291</c:v>
                </c:pt>
                <c:pt idx="1043">
                  <c:v>11.0291</c:v>
                </c:pt>
                <c:pt idx="1044">
                  <c:v>11.1814</c:v>
                </c:pt>
                <c:pt idx="1045">
                  <c:v>11.118399999999999</c:v>
                </c:pt>
                <c:pt idx="1046">
                  <c:v>11.041700000000001</c:v>
                </c:pt>
                <c:pt idx="1047">
                  <c:v>11.0916</c:v>
                </c:pt>
                <c:pt idx="1048">
                  <c:v>11.181100000000001</c:v>
                </c:pt>
                <c:pt idx="1049">
                  <c:v>11.158799999999999</c:v>
                </c:pt>
                <c:pt idx="1050">
                  <c:v>11.220800000000001</c:v>
                </c:pt>
                <c:pt idx="1051">
                  <c:v>11.3026</c:v>
                </c:pt>
                <c:pt idx="1052">
                  <c:v>11.190200000000001</c:v>
                </c:pt>
                <c:pt idx="1053">
                  <c:v>11.138299999999999</c:v>
                </c:pt>
                <c:pt idx="1054">
                  <c:v>11.138500000000001</c:v>
                </c:pt>
                <c:pt idx="1055">
                  <c:v>11.155200000000001</c:v>
                </c:pt>
                <c:pt idx="1056">
                  <c:v>11.0405</c:v>
                </c:pt>
                <c:pt idx="1057">
                  <c:v>11.0169</c:v>
                </c:pt>
                <c:pt idx="1058">
                  <c:v>11.0124</c:v>
                </c:pt>
                <c:pt idx="1059">
                  <c:v>11.0265</c:v>
                </c:pt>
                <c:pt idx="1060">
                  <c:v>10.9069</c:v>
                </c:pt>
                <c:pt idx="1061">
                  <c:v>10.9339</c:v>
                </c:pt>
                <c:pt idx="1062">
                  <c:v>11.0101</c:v>
                </c:pt>
                <c:pt idx="1063">
                  <c:v>10.998100000000001</c:v>
                </c:pt>
                <c:pt idx="1064">
                  <c:v>11.004099999999999</c:v>
                </c:pt>
                <c:pt idx="1065">
                  <c:v>11.0556</c:v>
                </c:pt>
                <c:pt idx="1066">
                  <c:v>11.113799999999999</c:v>
                </c:pt>
                <c:pt idx="1067">
                  <c:v>10.9613</c:v>
                </c:pt>
                <c:pt idx="1068">
                  <c:v>10.8804</c:v>
                </c:pt>
                <c:pt idx="1069">
                  <c:v>10.906599999999999</c:v>
                </c:pt>
                <c:pt idx="1070">
                  <c:v>10.932600000000001</c:v>
                </c:pt>
                <c:pt idx="1071">
                  <c:v>10.9099</c:v>
                </c:pt>
                <c:pt idx="1072">
                  <c:v>10.869199999999999</c:v>
                </c:pt>
                <c:pt idx="1073">
                  <c:v>10.9011</c:v>
                </c:pt>
                <c:pt idx="1074">
                  <c:v>10.776899999999999</c:v>
                </c:pt>
                <c:pt idx="1075">
                  <c:v>10.692500000000001</c:v>
                </c:pt>
                <c:pt idx="1076">
                  <c:v>10.7027</c:v>
                </c:pt>
                <c:pt idx="1077">
                  <c:v>10.6996</c:v>
                </c:pt>
                <c:pt idx="1078">
                  <c:v>10.7476</c:v>
                </c:pt>
                <c:pt idx="1079">
                  <c:v>10.6632</c:v>
                </c:pt>
                <c:pt idx="1080">
                  <c:v>10.6396</c:v>
                </c:pt>
                <c:pt idx="1081">
                  <c:v>10.657400000000001</c:v>
                </c:pt>
                <c:pt idx="1082">
                  <c:v>10.6081</c:v>
                </c:pt>
                <c:pt idx="1083">
                  <c:v>10.620200000000001</c:v>
                </c:pt>
                <c:pt idx="1084">
                  <c:v>10.74</c:v>
                </c:pt>
                <c:pt idx="1085">
                  <c:v>10.7315</c:v>
                </c:pt>
                <c:pt idx="1086">
                  <c:v>10.561400000000001</c:v>
                </c:pt>
                <c:pt idx="1087">
                  <c:v>10.5358</c:v>
                </c:pt>
                <c:pt idx="1088">
                  <c:v>10.2509</c:v>
                </c:pt>
                <c:pt idx="1089">
                  <c:v>10.149699999999999</c:v>
                </c:pt>
                <c:pt idx="1090">
                  <c:v>10.0564</c:v>
                </c:pt>
                <c:pt idx="1091">
                  <c:v>10.119899999999999</c:v>
                </c:pt>
                <c:pt idx="1092">
                  <c:v>10.023199999999999</c:v>
                </c:pt>
                <c:pt idx="1093">
                  <c:v>10.058299999999999</c:v>
                </c:pt>
                <c:pt idx="1094">
                  <c:v>10.192500000000001</c:v>
                </c:pt>
                <c:pt idx="1095">
                  <c:v>10.142799999999999</c:v>
                </c:pt>
                <c:pt idx="1096">
                  <c:v>10.0875</c:v>
                </c:pt>
                <c:pt idx="1097">
                  <c:v>10.050800000000001</c:v>
                </c:pt>
                <c:pt idx="1098">
                  <c:v>10.131399999999999</c:v>
                </c:pt>
                <c:pt idx="1099">
                  <c:v>10.1553</c:v>
                </c:pt>
                <c:pt idx="1100">
                  <c:v>10.1404</c:v>
                </c:pt>
                <c:pt idx="1101">
                  <c:v>10.1167</c:v>
                </c:pt>
                <c:pt idx="1102">
                  <c:v>10.027699999999999</c:v>
                </c:pt>
                <c:pt idx="1103">
                  <c:v>10.0435</c:v>
                </c:pt>
                <c:pt idx="1104">
                  <c:v>10.0129</c:v>
                </c:pt>
                <c:pt idx="1105">
                  <c:v>9.9896999999999991</c:v>
                </c:pt>
                <c:pt idx="1106">
                  <c:v>10.0434</c:v>
                </c:pt>
                <c:pt idx="1107">
                  <c:v>9.9901999999999997</c:v>
                </c:pt>
                <c:pt idx="1108">
                  <c:v>9.9079999999999995</c:v>
                </c:pt>
                <c:pt idx="1109">
                  <c:v>9.6888000000000005</c:v>
                </c:pt>
                <c:pt idx="1110">
                  <c:v>10.0281</c:v>
                </c:pt>
                <c:pt idx="1111">
                  <c:v>10.0425</c:v>
                </c:pt>
                <c:pt idx="1112">
                  <c:v>10.0137</c:v>
                </c:pt>
                <c:pt idx="1113">
                  <c:v>10.021599999999999</c:v>
                </c:pt>
                <c:pt idx="1114">
                  <c:v>9.8490000000000002</c:v>
                </c:pt>
                <c:pt idx="1115">
                  <c:v>9.8436000000000003</c:v>
                </c:pt>
                <c:pt idx="1116">
                  <c:v>9.6884999999999994</c:v>
                </c:pt>
                <c:pt idx="1117">
                  <c:v>9.8216999999999999</c:v>
                </c:pt>
                <c:pt idx="1118">
                  <c:v>9.7796000000000003</c:v>
                </c:pt>
                <c:pt idx="1119">
                  <c:v>9.6203000000000003</c:v>
                </c:pt>
                <c:pt idx="1120">
                  <c:v>9.6203000000000003</c:v>
                </c:pt>
                <c:pt idx="1121">
                  <c:v>9.6203000000000003</c:v>
                </c:pt>
                <c:pt idx="1122">
                  <c:v>9.4978999999999996</c:v>
                </c:pt>
                <c:pt idx="1123">
                  <c:v>9.6218000000000004</c:v>
                </c:pt>
                <c:pt idx="1124">
                  <c:v>9.6050000000000004</c:v>
                </c:pt>
                <c:pt idx="1125">
                  <c:v>9.6887000000000008</c:v>
                </c:pt>
                <c:pt idx="1126">
                  <c:v>9.6132000000000009</c:v>
                </c:pt>
                <c:pt idx="1127">
                  <c:v>9.6280999999999999</c:v>
                </c:pt>
                <c:pt idx="1128">
                  <c:v>9.6455000000000002</c:v>
                </c:pt>
                <c:pt idx="1129">
                  <c:v>9.7500999999999998</c:v>
                </c:pt>
                <c:pt idx="1130">
                  <c:v>9.5960999999999999</c:v>
                </c:pt>
                <c:pt idx="1131">
                  <c:v>9.6414000000000009</c:v>
                </c:pt>
                <c:pt idx="1132">
                  <c:v>9.5762999999999998</c:v>
                </c:pt>
                <c:pt idx="1133">
                  <c:v>9.6068999999999996</c:v>
                </c:pt>
                <c:pt idx="1134">
                  <c:v>9.6845999999999997</c:v>
                </c:pt>
                <c:pt idx="1135">
                  <c:v>9.6953999999999994</c:v>
                </c:pt>
                <c:pt idx="1136">
                  <c:v>9.7992000000000008</c:v>
                </c:pt>
                <c:pt idx="1137">
                  <c:v>9.7309000000000001</c:v>
                </c:pt>
                <c:pt idx="1138">
                  <c:v>9.7135999999999996</c:v>
                </c:pt>
                <c:pt idx="1139">
                  <c:v>9.7429000000000006</c:v>
                </c:pt>
                <c:pt idx="1140">
                  <c:v>9.7859999999999996</c:v>
                </c:pt>
                <c:pt idx="1141">
                  <c:v>9.6876999999999995</c:v>
                </c:pt>
                <c:pt idx="1142">
                  <c:v>9.6580999999999992</c:v>
                </c:pt>
                <c:pt idx="1143">
                  <c:v>9.5579000000000001</c:v>
                </c:pt>
                <c:pt idx="1144">
                  <c:v>9.6319999999999997</c:v>
                </c:pt>
                <c:pt idx="1145">
                  <c:v>9.5273000000000003</c:v>
                </c:pt>
                <c:pt idx="1146">
                  <c:v>9.5234000000000005</c:v>
                </c:pt>
                <c:pt idx="1147">
                  <c:v>9.6240000000000006</c:v>
                </c:pt>
                <c:pt idx="1148">
                  <c:v>9.6286000000000005</c:v>
                </c:pt>
                <c:pt idx="1149">
                  <c:v>9.5633999999999997</c:v>
                </c:pt>
                <c:pt idx="1150">
                  <c:v>9.5977999999999994</c:v>
                </c:pt>
                <c:pt idx="1151">
                  <c:v>9.5365000000000002</c:v>
                </c:pt>
                <c:pt idx="1152">
                  <c:v>9.6126000000000005</c:v>
                </c:pt>
                <c:pt idx="1153">
                  <c:v>9.5814000000000004</c:v>
                </c:pt>
                <c:pt idx="1154">
                  <c:v>9.5587</c:v>
                </c:pt>
                <c:pt idx="1155">
                  <c:v>9.6468000000000007</c:v>
                </c:pt>
                <c:pt idx="1156">
                  <c:v>9.6013999999999999</c:v>
                </c:pt>
                <c:pt idx="1157">
                  <c:v>9.5913000000000004</c:v>
                </c:pt>
                <c:pt idx="1158">
                  <c:v>9.5609999999999999</c:v>
                </c:pt>
                <c:pt idx="1159">
                  <c:v>9.4481999999999999</c:v>
                </c:pt>
                <c:pt idx="1160">
                  <c:v>9.5038</c:v>
                </c:pt>
                <c:pt idx="1161">
                  <c:v>9.4550000000000001</c:v>
                </c:pt>
                <c:pt idx="1162">
                  <c:v>9.5053000000000001</c:v>
                </c:pt>
                <c:pt idx="1163">
                  <c:v>9.6026000000000007</c:v>
                </c:pt>
                <c:pt idx="1164">
                  <c:v>9.6539000000000001</c:v>
                </c:pt>
                <c:pt idx="1165">
                  <c:v>9.6768000000000001</c:v>
                </c:pt>
                <c:pt idx="1166">
                  <c:v>9.6432000000000002</c:v>
                </c:pt>
                <c:pt idx="1167">
                  <c:v>9.5233000000000008</c:v>
                </c:pt>
                <c:pt idx="1168">
                  <c:v>9.5061</c:v>
                </c:pt>
                <c:pt idx="1169">
                  <c:v>9.4816000000000003</c:v>
                </c:pt>
                <c:pt idx="1170">
                  <c:v>9.4914000000000005</c:v>
                </c:pt>
                <c:pt idx="1171">
                  <c:v>9.5212000000000003</c:v>
                </c:pt>
                <c:pt idx="1172">
                  <c:v>9.4956999999999994</c:v>
                </c:pt>
                <c:pt idx="1173">
                  <c:v>9.5515000000000008</c:v>
                </c:pt>
                <c:pt idx="1174">
                  <c:v>9.5792000000000002</c:v>
                </c:pt>
                <c:pt idx="1175">
                  <c:v>9.5593000000000004</c:v>
                </c:pt>
                <c:pt idx="1176">
                  <c:v>9.5083000000000002</c:v>
                </c:pt>
                <c:pt idx="1177">
                  <c:v>9.5568000000000008</c:v>
                </c:pt>
                <c:pt idx="1178">
                  <c:v>9.5237999999999996</c:v>
                </c:pt>
                <c:pt idx="1179">
                  <c:v>9.5381</c:v>
                </c:pt>
                <c:pt idx="1180">
                  <c:v>9.5440000000000005</c:v>
                </c:pt>
                <c:pt idx="1181">
                  <c:v>9.6110000000000007</c:v>
                </c:pt>
                <c:pt idx="1182">
                  <c:v>9.7034000000000002</c:v>
                </c:pt>
                <c:pt idx="1183">
                  <c:v>9.7470999999999997</c:v>
                </c:pt>
                <c:pt idx="1184">
                  <c:v>9.7634000000000007</c:v>
                </c:pt>
                <c:pt idx="1185">
                  <c:v>9.6623999999999999</c:v>
                </c:pt>
                <c:pt idx="1186">
                  <c:v>9.5764999999999993</c:v>
                </c:pt>
                <c:pt idx="1187">
                  <c:v>9.5426000000000002</c:v>
                </c:pt>
                <c:pt idx="1188">
                  <c:v>9.5259</c:v>
                </c:pt>
                <c:pt idx="1189">
                  <c:v>9.5142000000000007</c:v>
                </c:pt>
                <c:pt idx="1190">
                  <c:v>9.5283999999999995</c:v>
                </c:pt>
                <c:pt idx="1191">
                  <c:v>9.5764999999999993</c:v>
                </c:pt>
                <c:pt idx="1192">
                  <c:v>9.6677</c:v>
                </c:pt>
                <c:pt idx="1193">
                  <c:v>9.7287999999999997</c:v>
                </c:pt>
                <c:pt idx="1194">
                  <c:v>9.76</c:v>
                </c:pt>
                <c:pt idx="1195">
                  <c:v>9.6793999999999993</c:v>
                </c:pt>
                <c:pt idx="1196">
                  <c:v>9.6746999999999996</c:v>
                </c:pt>
                <c:pt idx="1197">
                  <c:v>9.6738999999999997</c:v>
                </c:pt>
                <c:pt idx="1198">
                  <c:v>9.6285000000000007</c:v>
                </c:pt>
                <c:pt idx="1199">
                  <c:v>9.6085999999999991</c:v>
                </c:pt>
                <c:pt idx="1200">
                  <c:v>9.5759000000000007</c:v>
                </c:pt>
                <c:pt idx="1201">
                  <c:v>9.65</c:v>
                </c:pt>
                <c:pt idx="1202">
                  <c:v>9.5602</c:v>
                </c:pt>
                <c:pt idx="1203">
                  <c:v>9.5442999999999998</c:v>
                </c:pt>
                <c:pt idx="1204">
                  <c:v>9.5841999999999992</c:v>
                </c:pt>
                <c:pt idx="1205">
                  <c:v>9.5450999999999997</c:v>
                </c:pt>
                <c:pt idx="1206">
                  <c:v>9.5715000000000003</c:v>
                </c:pt>
                <c:pt idx="1207">
                  <c:v>9.5812000000000008</c:v>
                </c:pt>
                <c:pt idx="1208">
                  <c:v>9.5892999999999997</c:v>
                </c:pt>
                <c:pt idx="1209">
                  <c:v>9.6232000000000006</c:v>
                </c:pt>
                <c:pt idx="1210">
                  <c:v>9.5048999999999992</c:v>
                </c:pt>
                <c:pt idx="1211">
                  <c:v>9.5329999999999995</c:v>
                </c:pt>
                <c:pt idx="1212">
                  <c:v>9.5564</c:v>
                </c:pt>
                <c:pt idx="1213">
                  <c:v>9.5698000000000008</c:v>
                </c:pt>
                <c:pt idx="1214">
                  <c:v>9.4913000000000007</c:v>
                </c:pt>
                <c:pt idx="1215">
                  <c:v>9.4657</c:v>
                </c:pt>
                <c:pt idx="1216">
                  <c:v>9.3848000000000003</c:v>
                </c:pt>
                <c:pt idx="1217">
                  <c:v>9.4345999999999997</c:v>
                </c:pt>
                <c:pt idx="1218">
                  <c:v>9.4239999999999995</c:v>
                </c:pt>
                <c:pt idx="1219">
                  <c:v>9.4826999999999995</c:v>
                </c:pt>
                <c:pt idx="1220">
                  <c:v>9.3666999999999998</c:v>
                </c:pt>
                <c:pt idx="1221">
                  <c:v>9.3672000000000004</c:v>
                </c:pt>
                <c:pt idx="1222">
                  <c:v>9.3835999999999995</c:v>
                </c:pt>
                <c:pt idx="1223">
                  <c:v>9.3112999999999992</c:v>
                </c:pt>
                <c:pt idx="1224">
                  <c:v>9.3246000000000002</c:v>
                </c:pt>
                <c:pt idx="1225">
                  <c:v>9.3323999999999998</c:v>
                </c:pt>
                <c:pt idx="1226">
                  <c:v>9.2819000000000003</c:v>
                </c:pt>
                <c:pt idx="1227">
                  <c:v>9.2433999999999994</c:v>
                </c:pt>
                <c:pt idx="1228">
                  <c:v>9.2683999999999997</c:v>
                </c:pt>
                <c:pt idx="1229">
                  <c:v>9.3486999999999991</c:v>
                </c:pt>
                <c:pt idx="1230">
                  <c:v>9.4038000000000004</c:v>
                </c:pt>
                <c:pt idx="1231">
                  <c:v>9.3773999999999997</c:v>
                </c:pt>
                <c:pt idx="1232">
                  <c:v>9.3411000000000008</c:v>
                </c:pt>
                <c:pt idx="1233">
                  <c:v>9.4047000000000001</c:v>
                </c:pt>
                <c:pt idx="1234">
                  <c:v>9.48</c:v>
                </c:pt>
                <c:pt idx="1235">
                  <c:v>9.4227000000000007</c:v>
                </c:pt>
                <c:pt idx="1236">
                  <c:v>9.4151000000000007</c:v>
                </c:pt>
                <c:pt idx="1237">
                  <c:v>9.4102999999999994</c:v>
                </c:pt>
                <c:pt idx="1238">
                  <c:v>9.3736999999999995</c:v>
                </c:pt>
                <c:pt idx="1239">
                  <c:v>9.4247999999999994</c:v>
                </c:pt>
                <c:pt idx="1240">
                  <c:v>9.3652999999999995</c:v>
                </c:pt>
                <c:pt idx="1241">
                  <c:v>9.3755000000000006</c:v>
                </c:pt>
                <c:pt idx="1242">
                  <c:v>9.3991000000000007</c:v>
                </c:pt>
                <c:pt idx="1243">
                  <c:v>9.4283999999999999</c:v>
                </c:pt>
                <c:pt idx="1244">
                  <c:v>9.5282999999999998</c:v>
                </c:pt>
                <c:pt idx="1245">
                  <c:v>9.5137999999999998</c:v>
                </c:pt>
                <c:pt idx="1246">
                  <c:v>9.5130999999999997</c:v>
                </c:pt>
                <c:pt idx="1247">
                  <c:v>9.5524000000000004</c:v>
                </c:pt>
                <c:pt idx="1248">
                  <c:v>9.4837000000000007</c:v>
                </c:pt>
                <c:pt idx="1249">
                  <c:v>9.4209999999999994</c:v>
                </c:pt>
                <c:pt idx="1250">
                  <c:v>9.4474</c:v>
                </c:pt>
                <c:pt idx="1251">
                  <c:v>9.4123000000000001</c:v>
                </c:pt>
                <c:pt idx="1252">
                  <c:v>9.4212000000000007</c:v>
                </c:pt>
                <c:pt idx="1253">
                  <c:v>9.3925999999999998</c:v>
                </c:pt>
                <c:pt idx="1254">
                  <c:v>9.3867999999999991</c:v>
                </c:pt>
                <c:pt idx="1255">
                  <c:v>9.4003999999999994</c:v>
                </c:pt>
                <c:pt idx="1256">
                  <c:v>9.3943999999999992</c:v>
                </c:pt>
                <c:pt idx="1257">
                  <c:v>9.3597000000000001</c:v>
                </c:pt>
                <c:pt idx="1258">
                  <c:v>9.3531999999999993</c:v>
                </c:pt>
                <c:pt idx="1259">
                  <c:v>9.4345999999999997</c:v>
                </c:pt>
                <c:pt idx="1260">
                  <c:v>9.4872999999999994</c:v>
                </c:pt>
                <c:pt idx="1261">
                  <c:v>9.4797999999999991</c:v>
                </c:pt>
                <c:pt idx="1262">
                  <c:v>9.5588999999999995</c:v>
                </c:pt>
                <c:pt idx="1263">
                  <c:v>9.5793999999999997</c:v>
                </c:pt>
                <c:pt idx="1264">
                  <c:v>9.5881000000000007</c:v>
                </c:pt>
                <c:pt idx="1265">
                  <c:v>9.5440000000000005</c:v>
                </c:pt>
                <c:pt idx="1266">
                  <c:v>9.5306999999999995</c:v>
                </c:pt>
                <c:pt idx="1267">
                  <c:v>9.4547000000000008</c:v>
                </c:pt>
                <c:pt idx="1268">
                  <c:v>9.4452999999999996</c:v>
                </c:pt>
                <c:pt idx="1269">
                  <c:v>9.3971</c:v>
                </c:pt>
                <c:pt idx="1270">
                  <c:v>9.4475999999999996</c:v>
                </c:pt>
                <c:pt idx="1271">
                  <c:v>9.4641999999999999</c:v>
                </c:pt>
                <c:pt idx="1272">
                  <c:v>9.4993999999999996</c:v>
                </c:pt>
                <c:pt idx="1273">
                  <c:v>9.5385000000000009</c:v>
                </c:pt>
                <c:pt idx="1274">
                  <c:v>9.5318000000000005</c:v>
                </c:pt>
                <c:pt idx="1275">
                  <c:v>9.5888000000000009</c:v>
                </c:pt>
                <c:pt idx="1276">
                  <c:v>9.5502000000000002</c:v>
                </c:pt>
                <c:pt idx="1277">
                  <c:v>9.5535999999999994</c:v>
                </c:pt>
                <c:pt idx="1278">
                  <c:v>9.4994999999999994</c:v>
                </c:pt>
                <c:pt idx="1279">
                  <c:v>9.4839000000000002</c:v>
                </c:pt>
                <c:pt idx="1280">
                  <c:v>9.4403000000000006</c:v>
                </c:pt>
                <c:pt idx="1281">
                  <c:v>9.423</c:v>
                </c:pt>
                <c:pt idx="1282">
                  <c:v>9.4397000000000002</c:v>
                </c:pt>
                <c:pt idx="1283">
                  <c:v>9.3777000000000008</c:v>
                </c:pt>
                <c:pt idx="1284">
                  <c:v>9.3953000000000007</c:v>
                </c:pt>
                <c:pt idx="1285">
                  <c:v>9.4047999999999998</c:v>
                </c:pt>
                <c:pt idx="1286">
                  <c:v>9.4235000000000007</c:v>
                </c:pt>
                <c:pt idx="1287">
                  <c:v>9.3542000000000005</c:v>
                </c:pt>
                <c:pt idx="1288">
                  <c:v>9.3211999999999993</c:v>
                </c:pt>
                <c:pt idx="1289">
                  <c:v>9.2425999999999995</c:v>
                </c:pt>
                <c:pt idx="1290">
                  <c:v>9.2850999999999999</c:v>
                </c:pt>
                <c:pt idx="1291">
                  <c:v>9.2791999999999994</c:v>
                </c:pt>
                <c:pt idx="1292">
                  <c:v>9.2891999999999992</c:v>
                </c:pt>
                <c:pt idx="1293">
                  <c:v>9.2941000000000003</c:v>
                </c:pt>
                <c:pt idx="1294">
                  <c:v>9.2838999999999992</c:v>
                </c:pt>
                <c:pt idx="1295">
                  <c:v>9.2812000000000001</c:v>
                </c:pt>
                <c:pt idx="1296">
                  <c:v>9.2216000000000005</c:v>
                </c:pt>
                <c:pt idx="1297">
                  <c:v>9.1841000000000008</c:v>
                </c:pt>
                <c:pt idx="1298">
                  <c:v>9.1713000000000005</c:v>
                </c:pt>
                <c:pt idx="1299">
                  <c:v>9.1713000000000005</c:v>
                </c:pt>
                <c:pt idx="1300">
                  <c:v>9.1587999999999994</c:v>
                </c:pt>
                <c:pt idx="1301">
                  <c:v>9.1919000000000004</c:v>
                </c:pt>
                <c:pt idx="1302">
                  <c:v>9.1966999999999999</c:v>
                </c:pt>
                <c:pt idx="1303">
                  <c:v>9.2270000000000003</c:v>
                </c:pt>
              </c:numCache>
            </c:numRef>
          </c:val>
          <c:smooth val="0"/>
          <c:extLst>
            <c:ext xmlns:c16="http://schemas.microsoft.com/office/drawing/2014/chart" uri="{C3380CC4-5D6E-409C-BE32-E72D297353CC}">
              <c16:uniqueId val="{0000000B-6353-45A4-A2C9-46AD4CA61480}"/>
            </c:ext>
          </c:extLst>
        </c:ser>
        <c:ser>
          <c:idx val="1"/>
          <c:order val="1"/>
          <c:tx>
            <c:strRef>
              <c:f>Statsformat!$C$8</c:f>
              <c:strCache>
                <c:ptCount val="1"/>
                <c:pt idx="0">
                  <c:v>SEK per EUR</c:v>
                </c:pt>
              </c:strCache>
            </c:strRef>
          </c:tx>
          <c:spPr>
            <a:ln w="25400">
              <a:solidFill>
                <a:srgbClr val="000000"/>
              </a:solidFill>
              <a:prstDash val="solid"/>
            </a:ln>
          </c:spPr>
          <c:marker>
            <c:symbol val="none"/>
          </c:marker>
          <c:cat>
            <c:numRef>
              <c:f>Statsformat!$A$9:$A$1312</c:f>
              <c:numCache>
                <c:formatCode>m/d/yyyy</c:formatCode>
                <c:ptCount val="1304"/>
                <c:pt idx="0">
                  <c:v>44197</c:v>
                </c:pt>
                <c:pt idx="1">
                  <c:v>44200</c:v>
                </c:pt>
                <c:pt idx="2">
                  <c:v>44201</c:v>
                </c:pt>
                <c:pt idx="3">
                  <c:v>44202</c:v>
                </c:pt>
                <c:pt idx="4">
                  <c:v>44203</c:v>
                </c:pt>
                <c:pt idx="5">
                  <c:v>44204</c:v>
                </c:pt>
                <c:pt idx="6">
                  <c:v>44207</c:v>
                </c:pt>
                <c:pt idx="7">
                  <c:v>44208</c:v>
                </c:pt>
                <c:pt idx="8">
                  <c:v>44209</c:v>
                </c:pt>
                <c:pt idx="9">
                  <c:v>44210</c:v>
                </c:pt>
                <c:pt idx="10">
                  <c:v>44211</c:v>
                </c:pt>
                <c:pt idx="11">
                  <c:v>44214</c:v>
                </c:pt>
                <c:pt idx="12">
                  <c:v>44215</c:v>
                </c:pt>
                <c:pt idx="13">
                  <c:v>44216</c:v>
                </c:pt>
                <c:pt idx="14">
                  <c:v>44217</c:v>
                </c:pt>
                <c:pt idx="15">
                  <c:v>44218</c:v>
                </c:pt>
                <c:pt idx="16">
                  <c:v>44221</c:v>
                </c:pt>
                <c:pt idx="17">
                  <c:v>44222</c:v>
                </c:pt>
                <c:pt idx="18">
                  <c:v>44223</c:v>
                </c:pt>
                <c:pt idx="19">
                  <c:v>44224</c:v>
                </c:pt>
                <c:pt idx="20">
                  <c:v>44225</c:v>
                </c:pt>
                <c:pt idx="21">
                  <c:v>44228</c:v>
                </c:pt>
                <c:pt idx="22">
                  <c:v>44229</c:v>
                </c:pt>
                <c:pt idx="23">
                  <c:v>44230</c:v>
                </c:pt>
                <c:pt idx="24">
                  <c:v>44231</c:v>
                </c:pt>
                <c:pt idx="25">
                  <c:v>44232</c:v>
                </c:pt>
                <c:pt idx="26">
                  <c:v>44235</c:v>
                </c:pt>
                <c:pt idx="27">
                  <c:v>44236</c:v>
                </c:pt>
                <c:pt idx="28">
                  <c:v>44237</c:v>
                </c:pt>
                <c:pt idx="29">
                  <c:v>44238</c:v>
                </c:pt>
                <c:pt idx="30">
                  <c:v>44239</c:v>
                </c:pt>
                <c:pt idx="31">
                  <c:v>44242</c:v>
                </c:pt>
                <c:pt idx="32">
                  <c:v>44243</c:v>
                </c:pt>
                <c:pt idx="33">
                  <c:v>44244</c:v>
                </c:pt>
                <c:pt idx="34">
                  <c:v>44245</c:v>
                </c:pt>
                <c:pt idx="35">
                  <c:v>44246</c:v>
                </c:pt>
                <c:pt idx="36">
                  <c:v>44249</c:v>
                </c:pt>
                <c:pt idx="37">
                  <c:v>44250</c:v>
                </c:pt>
                <c:pt idx="38">
                  <c:v>44251</c:v>
                </c:pt>
                <c:pt idx="39">
                  <c:v>44252</c:v>
                </c:pt>
                <c:pt idx="40">
                  <c:v>44253</c:v>
                </c:pt>
                <c:pt idx="41">
                  <c:v>44256</c:v>
                </c:pt>
                <c:pt idx="42">
                  <c:v>44257</c:v>
                </c:pt>
                <c:pt idx="43">
                  <c:v>44258</c:v>
                </c:pt>
                <c:pt idx="44">
                  <c:v>44259</c:v>
                </c:pt>
                <c:pt idx="45">
                  <c:v>44260</c:v>
                </c:pt>
                <c:pt idx="46">
                  <c:v>44263</c:v>
                </c:pt>
                <c:pt idx="47">
                  <c:v>44264</c:v>
                </c:pt>
                <c:pt idx="48">
                  <c:v>44265</c:v>
                </c:pt>
                <c:pt idx="49">
                  <c:v>44266</c:v>
                </c:pt>
                <c:pt idx="50">
                  <c:v>44267</c:v>
                </c:pt>
                <c:pt idx="51">
                  <c:v>44270</c:v>
                </c:pt>
                <c:pt idx="52">
                  <c:v>44271</c:v>
                </c:pt>
                <c:pt idx="53">
                  <c:v>44272</c:v>
                </c:pt>
                <c:pt idx="54">
                  <c:v>44273</c:v>
                </c:pt>
                <c:pt idx="55">
                  <c:v>44274</c:v>
                </c:pt>
                <c:pt idx="56">
                  <c:v>44277</c:v>
                </c:pt>
                <c:pt idx="57">
                  <c:v>44278</c:v>
                </c:pt>
                <c:pt idx="58">
                  <c:v>44279</c:v>
                </c:pt>
                <c:pt idx="59">
                  <c:v>44280</c:v>
                </c:pt>
                <c:pt idx="60">
                  <c:v>44281</c:v>
                </c:pt>
                <c:pt idx="61">
                  <c:v>44284</c:v>
                </c:pt>
                <c:pt idx="62">
                  <c:v>44285</c:v>
                </c:pt>
                <c:pt idx="63">
                  <c:v>44286</c:v>
                </c:pt>
                <c:pt idx="64">
                  <c:v>44287</c:v>
                </c:pt>
                <c:pt idx="65">
                  <c:v>44288</c:v>
                </c:pt>
                <c:pt idx="66">
                  <c:v>44291</c:v>
                </c:pt>
                <c:pt idx="67">
                  <c:v>44292</c:v>
                </c:pt>
                <c:pt idx="68">
                  <c:v>44293</c:v>
                </c:pt>
                <c:pt idx="69">
                  <c:v>44294</c:v>
                </c:pt>
                <c:pt idx="70">
                  <c:v>44295</c:v>
                </c:pt>
                <c:pt idx="71">
                  <c:v>44298</c:v>
                </c:pt>
                <c:pt idx="72">
                  <c:v>44299</c:v>
                </c:pt>
                <c:pt idx="73">
                  <c:v>44300</c:v>
                </c:pt>
                <c:pt idx="74">
                  <c:v>44301</c:v>
                </c:pt>
                <c:pt idx="75">
                  <c:v>44302</c:v>
                </c:pt>
                <c:pt idx="76">
                  <c:v>44305</c:v>
                </c:pt>
                <c:pt idx="77">
                  <c:v>44306</c:v>
                </c:pt>
                <c:pt idx="78">
                  <c:v>44307</c:v>
                </c:pt>
                <c:pt idx="79">
                  <c:v>44308</c:v>
                </c:pt>
                <c:pt idx="80">
                  <c:v>44309</c:v>
                </c:pt>
                <c:pt idx="81">
                  <c:v>44312</c:v>
                </c:pt>
                <c:pt idx="82">
                  <c:v>44313</c:v>
                </c:pt>
                <c:pt idx="83">
                  <c:v>44314</c:v>
                </c:pt>
                <c:pt idx="84">
                  <c:v>44315</c:v>
                </c:pt>
                <c:pt idx="85">
                  <c:v>44316</c:v>
                </c:pt>
                <c:pt idx="86">
                  <c:v>44319</c:v>
                </c:pt>
                <c:pt idx="87">
                  <c:v>44320</c:v>
                </c:pt>
                <c:pt idx="88">
                  <c:v>44321</c:v>
                </c:pt>
                <c:pt idx="89">
                  <c:v>44322</c:v>
                </c:pt>
                <c:pt idx="90">
                  <c:v>44323</c:v>
                </c:pt>
                <c:pt idx="91">
                  <c:v>44326</c:v>
                </c:pt>
                <c:pt idx="92">
                  <c:v>44327</c:v>
                </c:pt>
                <c:pt idx="93">
                  <c:v>44328</c:v>
                </c:pt>
                <c:pt idx="94">
                  <c:v>44329</c:v>
                </c:pt>
                <c:pt idx="95">
                  <c:v>44330</c:v>
                </c:pt>
                <c:pt idx="96">
                  <c:v>44333</c:v>
                </c:pt>
                <c:pt idx="97">
                  <c:v>44334</c:v>
                </c:pt>
                <c:pt idx="98">
                  <c:v>44335</c:v>
                </c:pt>
                <c:pt idx="99">
                  <c:v>44336</c:v>
                </c:pt>
                <c:pt idx="100">
                  <c:v>44337</c:v>
                </c:pt>
                <c:pt idx="101">
                  <c:v>44340</c:v>
                </c:pt>
                <c:pt idx="102">
                  <c:v>44341</c:v>
                </c:pt>
                <c:pt idx="103">
                  <c:v>44342</c:v>
                </c:pt>
                <c:pt idx="104">
                  <c:v>44343</c:v>
                </c:pt>
                <c:pt idx="105">
                  <c:v>44344</c:v>
                </c:pt>
                <c:pt idx="106">
                  <c:v>44347</c:v>
                </c:pt>
                <c:pt idx="107">
                  <c:v>44348</c:v>
                </c:pt>
                <c:pt idx="108">
                  <c:v>44349</c:v>
                </c:pt>
                <c:pt idx="109">
                  <c:v>44350</c:v>
                </c:pt>
                <c:pt idx="110">
                  <c:v>44351</c:v>
                </c:pt>
                <c:pt idx="111">
                  <c:v>44354</c:v>
                </c:pt>
                <c:pt idx="112">
                  <c:v>44355</c:v>
                </c:pt>
                <c:pt idx="113">
                  <c:v>44356</c:v>
                </c:pt>
                <c:pt idx="114">
                  <c:v>44357</c:v>
                </c:pt>
                <c:pt idx="115">
                  <c:v>44358</c:v>
                </c:pt>
                <c:pt idx="116">
                  <c:v>44361</c:v>
                </c:pt>
                <c:pt idx="117">
                  <c:v>44362</c:v>
                </c:pt>
                <c:pt idx="118">
                  <c:v>44363</c:v>
                </c:pt>
                <c:pt idx="119">
                  <c:v>44364</c:v>
                </c:pt>
                <c:pt idx="120">
                  <c:v>44365</c:v>
                </c:pt>
                <c:pt idx="121">
                  <c:v>44368</c:v>
                </c:pt>
                <c:pt idx="122">
                  <c:v>44369</c:v>
                </c:pt>
                <c:pt idx="123">
                  <c:v>44370</c:v>
                </c:pt>
                <c:pt idx="124">
                  <c:v>44371</c:v>
                </c:pt>
                <c:pt idx="125">
                  <c:v>44372</c:v>
                </c:pt>
                <c:pt idx="126">
                  <c:v>44375</c:v>
                </c:pt>
                <c:pt idx="127">
                  <c:v>44376</c:v>
                </c:pt>
                <c:pt idx="128">
                  <c:v>44377</c:v>
                </c:pt>
                <c:pt idx="129">
                  <c:v>44378</c:v>
                </c:pt>
                <c:pt idx="130">
                  <c:v>44379</c:v>
                </c:pt>
                <c:pt idx="131">
                  <c:v>44382</c:v>
                </c:pt>
                <c:pt idx="132">
                  <c:v>44383</c:v>
                </c:pt>
                <c:pt idx="133">
                  <c:v>44384</c:v>
                </c:pt>
                <c:pt idx="134">
                  <c:v>44385</c:v>
                </c:pt>
                <c:pt idx="135">
                  <c:v>44386</c:v>
                </c:pt>
                <c:pt idx="136">
                  <c:v>44389</c:v>
                </c:pt>
                <c:pt idx="137">
                  <c:v>44390</c:v>
                </c:pt>
                <c:pt idx="138">
                  <c:v>44391</c:v>
                </c:pt>
                <c:pt idx="139">
                  <c:v>44392</c:v>
                </c:pt>
                <c:pt idx="140">
                  <c:v>44393</c:v>
                </c:pt>
                <c:pt idx="141">
                  <c:v>44396</c:v>
                </c:pt>
                <c:pt idx="142">
                  <c:v>44397</c:v>
                </c:pt>
                <c:pt idx="143">
                  <c:v>44398</c:v>
                </c:pt>
                <c:pt idx="144">
                  <c:v>44399</c:v>
                </c:pt>
                <c:pt idx="145">
                  <c:v>44400</c:v>
                </c:pt>
                <c:pt idx="146">
                  <c:v>44403</c:v>
                </c:pt>
                <c:pt idx="147">
                  <c:v>44404</c:v>
                </c:pt>
                <c:pt idx="148">
                  <c:v>44405</c:v>
                </c:pt>
                <c:pt idx="149">
                  <c:v>44406</c:v>
                </c:pt>
                <c:pt idx="150">
                  <c:v>44407</c:v>
                </c:pt>
                <c:pt idx="151">
                  <c:v>44410</c:v>
                </c:pt>
                <c:pt idx="152">
                  <c:v>44411</c:v>
                </c:pt>
                <c:pt idx="153">
                  <c:v>44412</c:v>
                </c:pt>
                <c:pt idx="154">
                  <c:v>44413</c:v>
                </c:pt>
                <c:pt idx="155">
                  <c:v>44414</c:v>
                </c:pt>
                <c:pt idx="156">
                  <c:v>44417</c:v>
                </c:pt>
                <c:pt idx="157">
                  <c:v>44418</c:v>
                </c:pt>
                <c:pt idx="158">
                  <c:v>44419</c:v>
                </c:pt>
                <c:pt idx="159">
                  <c:v>44420</c:v>
                </c:pt>
                <c:pt idx="160">
                  <c:v>44421</c:v>
                </c:pt>
                <c:pt idx="161">
                  <c:v>44424</c:v>
                </c:pt>
                <c:pt idx="162">
                  <c:v>44425</c:v>
                </c:pt>
                <c:pt idx="163">
                  <c:v>44426</c:v>
                </c:pt>
                <c:pt idx="164">
                  <c:v>44427</c:v>
                </c:pt>
                <c:pt idx="165">
                  <c:v>44428</c:v>
                </c:pt>
                <c:pt idx="166">
                  <c:v>44431</c:v>
                </c:pt>
                <c:pt idx="167">
                  <c:v>44432</c:v>
                </c:pt>
                <c:pt idx="168">
                  <c:v>44433</c:v>
                </c:pt>
                <c:pt idx="169">
                  <c:v>44434</c:v>
                </c:pt>
                <c:pt idx="170">
                  <c:v>44435</c:v>
                </c:pt>
                <c:pt idx="171">
                  <c:v>44438</c:v>
                </c:pt>
                <c:pt idx="172">
                  <c:v>44439</c:v>
                </c:pt>
                <c:pt idx="173">
                  <c:v>44440</c:v>
                </c:pt>
                <c:pt idx="174">
                  <c:v>44441</c:v>
                </c:pt>
                <c:pt idx="175">
                  <c:v>44442</c:v>
                </c:pt>
                <c:pt idx="176">
                  <c:v>44445</c:v>
                </c:pt>
                <c:pt idx="177">
                  <c:v>44446</c:v>
                </c:pt>
                <c:pt idx="178">
                  <c:v>44447</c:v>
                </c:pt>
                <c:pt idx="179">
                  <c:v>44448</c:v>
                </c:pt>
                <c:pt idx="180">
                  <c:v>44449</c:v>
                </c:pt>
                <c:pt idx="181">
                  <c:v>44452</c:v>
                </c:pt>
                <c:pt idx="182">
                  <c:v>44453</c:v>
                </c:pt>
                <c:pt idx="183">
                  <c:v>44454</c:v>
                </c:pt>
                <c:pt idx="184">
                  <c:v>44455</c:v>
                </c:pt>
                <c:pt idx="185">
                  <c:v>44456</c:v>
                </c:pt>
                <c:pt idx="186">
                  <c:v>44459</c:v>
                </c:pt>
                <c:pt idx="187">
                  <c:v>44460</c:v>
                </c:pt>
                <c:pt idx="188">
                  <c:v>44461</c:v>
                </c:pt>
                <c:pt idx="189">
                  <c:v>44462</c:v>
                </c:pt>
                <c:pt idx="190">
                  <c:v>44463</c:v>
                </c:pt>
                <c:pt idx="191">
                  <c:v>44466</c:v>
                </c:pt>
                <c:pt idx="192">
                  <c:v>44467</c:v>
                </c:pt>
                <c:pt idx="193">
                  <c:v>44468</c:v>
                </c:pt>
                <c:pt idx="194">
                  <c:v>44469</c:v>
                </c:pt>
                <c:pt idx="195">
                  <c:v>44470</c:v>
                </c:pt>
                <c:pt idx="196">
                  <c:v>44473</c:v>
                </c:pt>
                <c:pt idx="197">
                  <c:v>44474</c:v>
                </c:pt>
                <c:pt idx="198">
                  <c:v>44475</c:v>
                </c:pt>
                <c:pt idx="199">
                  <c:v>44476</c:v>
                </c:pt>
                <c:pt idx="200">
                  <c:v>44477</c:v>
                </c:pt>
                <c:pt idx="201">
                  <c:v>44480</c:v>
                </c:pt>
                <c:pt idx="202">
                  <c:v>44481</c:v>
                </c:pt>
                <c:pt idx="203">
                  <c:v>44482</c:v>
                </c:pt>
                <c:pt idx="204">
                  <c:v>44483</c:v>
                </c:pt>
                <c:pt idx="205">
                  <c:v>44484</c:v>
                </c:pt>
                <c:pt idx="206">
                  <c:v>44487</c:v>
                </c:pt>
                <c:pt idx="207">
                  <c:v>44488</c:v>
                </c:pt>
                <c:pt idx="208">
                  <c:v>44489</c:v>
                </c:pt>
                <c:pt idx="209">
                  <c:v>44490</c:v>
                </c:pt>
                <c:pt idx="210">
                  <c:v>44491</c:v>
                </c:pt>
                <c:pt idx="211">
                  <c:v>44494</c:v>
                </c:pt>
                <c:pt idx="212">
                  <c:v>44495</c:v>
                </c:pt>
                <c:pt idx="213">
                  <c:v>44496</c:v>
                </c:pt>
                <c:pt idx="214">
                  <c:v>44497</c:v>
                </c:pt>
                <c:pt idx="215">
                  <c:v>44498</c:v>
                </c:pt>
                <c:pt idx="216">
                  <c:v>44501</c:v>
                </c:pt>
                <c:pt idx="217">
                  <c:v>44502</c:v>
                </c:pt>
                <c:pt idx="218">
                  <c:v>44503</c:v>
                </c:pt>
                <c:pt idx="219">
                  <c:v>44504</c:v>
                </c:pt>
                <c:pt idx="220">
                  <c:v>44505</c:v>
                </c:pt>
                <c:pt idx="221">
                  <c:v>44508</c:v>
                </c:pt>
                <c:pt idx="222">
                  <c:v>44509</c:v>
                </c:pt>
                <c:pt idx="223">
                  <c:v>44510</c:v>
                </c:pt>
                <c:pt idx="224">
                  <c:v>44511</c:v>
                </c:pt>
                <c:pt idx="225">
                  <c:v>44512</c:v>
                </c:pt>
                <c:pt idx="226">
                  <c:v>44515</c:v>
                </c:pt>
                <c:pt idx="227">
                  <c:v>44516</c:v>
                </c:pt>
                <c:pt idx="228">
                  <c:v>44517</c:v>
                </c:pt>
                <c:pt idx="229">
                  <c:v>44518</c:v>
                </c:pt>
                <c:pt idx="230">
                  <c:v>44519</c:v>
                </c:pt>
                <c:pt idx="231">
                  <c:v>44522</c:v>
                </c:pt>
                <c:pt idx="232">
                  <c:v>44523</c:v>
                </c:pt>
                <c:pt idx="233">
                  <c:v>44524</c:v>
                </c:pt>
                <c:pt idx="234">
                  <c:v>44525</c:v>
                </c:pt>
                <c:pt idx="235">
                  <c:v>44526</c:v>
                </c:pt>
                <c:pt idx="236">
                  <c:v>44529</c:v>
                </c:pt>
                <c:pt idx="237">
                  <c:v>44530</c:v>
                </c:pt>
                <c:pt idx="238">
                  <c:v>44531</c:v>
                </c:pt>
                <c:pt idx="239">
                  <c:v>44532</c:v>
                </c:pt>
                <c:pt idx="240">
                  <c:v>44533</c:v>
                </c:pt>
                <c:pt idx="241">
                  <c:v>44536</c:v>
                </c:pt>
                <c:pt idx="242">
                  <c:v>44537</c:v>
                </c:pt>
                <c:pt idx="243">
                  <c:v>44538</c:v>
                </c:pt>
                <c:pt idx="244">
                  <c:v>44539</c:v>
                </c:pt>
                <c:pt idx="245">
                  <c:v>44540</c:v>
                </c:pt>
                <c:pt idx="246">
                  <c:v>44543</c:v>
                </c:pt>
                <c:pt idx="247">
                  <c:v>44544</c:v>
                </c:pt>
                <c:pt idx="248">
                  <c:v>44545</c:v>
                </c:pt>
                <c:pt idx="249">
                  <c:v>44546</c:v>
                </c:pt>
                <c:pt idx="250">
                  <c:v>44547</c:v>
                </c:pt>
                <c:pt idx="251">
                  <c:v>44550</c:v>
                </c:pt>
                <c:pt idx="252">
                  <c:v>44551</c:v>
                </c:pt>
                <c:pt idx="253">
                  <c:v>44552</c:v>
                </c:pt>
                <c:pt idx="254">
                  <c:v>44553</c:v>
                </c:pt>
                <c:pt idx="255">
                  <c:v>44554</c:v>
                </c:pt>
                <c:pt idx="256">
                  <c:v>44557</c:v>
                </c:pt>
                <c:pt idx="257">
                  <c:v>44558</c:v>
                </c:pt>
                <c:pt idx="258">
                  <c:v>44559</c:v>
                </c:pt>
                <c:pt idx="259">
                  <c:v>44560</c:v>
                </c:pt>
                <c:pt idx="260">
                  <c:v>44561</c:v>
                </c:pt>
                <c:pt idx="261">
                  <c:v>44564</c:v>
                </c:pt>
                <c:pt idx="262">
                  <c:v>44565</c:v>
                </c:pt>
                <c:pt idx="263">
                  <c:v>44566</c:v>
                </c:pt>
                <c:pt idx="264">
                  <c:v>44567</c:v>
                </c:pt>
                <c:pt idx="265">
                  <c:v>44568</c:v>
                </c:pt>
                <c:pt idx="266">
                  <c:v>44571</c:v>
                </c:pt>
                <c:pt idx="267">
                  <c:v>44572</c:v>
                </c:pt>
                <c:pt idx="268">
                  <c:v>44573</c:v>
                </c:pt>
                <c:pt idx="269">
                  <c:v>44574</c:v>
                </c:pt>
                <c:pt idx="270">
                  <c:v>44575</c:v>
                </c:pt>
                <c:pt idx="271">
                  <c:v>44578</c:v>
                </c:pt>
                <c:pt idx="272">
                  <c:v>44579</c:v>
                </c:pt>
                <c:pt idx="273">
                  <c:v>44580</c:v>
                </c:pt>
                <c:pt idx="274">
                  <c:v>44581</c:v>
                </c:pt>
                <c:pt idx="275">
                  <c:v>44582</c:v>
                </c:pt>
                <c:pt idx="276">
                  <c:v>44585</c:v>
                </c:pt>
                <c:pt idx="277">
                  <c:v>44586</c:v>
                </c:pt>
                <c:pt idx="278">
                  <c:v>44587</c:v>
                </c:pt>
                <c:pt idx="279">
                  <c:v>44588</c:v>
                </c:pt>
                <c:pt idx="280">
                  <c:v>44589</c:v>
                </c:pt>
                <c:pt idx="281">
                  <c:v>44592</c:v>
                </c:pt>
                <c:pt idx="282">
                  <c:v>44593</c:v>
                </c:pt>
                <c:pt idx="283">
                  <c:v>44594</c:v>
                </c:pt>
                <c:pt idx="284">
                  <c:v>44595</c:v>
                </c:pt>
                <c:pt idx="285">
                  <c:v>44596</c:v>
                </c:pt>
                <c:pt idx="286">
                  <c:v>44599</c:v>
                </c:pt>
                <c:pt idx="287">
                  <c:v>44600</c:v>
                </c:pt>
                <c:pt idx="288">
                  <c:v>44601</c:v>
                </c:pt>
                <c:pt idx="289">
                  <c:v>44602</c:v>
                </c:pt>
                <c:pt idx="290">
                  <c:v>44603</c:v>
                </c:pt>
                <c:pt idx="291">
                  <c:v>44606</c:v>
                </c:pt>
                <c:pt idx="292">
                  <c:v>44607</c:v>
                </c:pt>
                <c:pt idx="293">
                  <c:v>44608</c:v>
                </c:pt>
                <c:pt idx="294">
                  <c:v>44609</c:v>
                </c:pt>
                <c:pt idx="295">
                  <c:v>44610</c:v>
                </c:pt>
                <c:pt idx="296">
                  <c:v>44613</c:v>
                </c:pt>
                <c:pt idx="297">
                  <c:v>44614</c:v>
                </c:pt>
                <c:pt idx="298">
                  <c:v>44615</c:v>
                </c:pt>
                <c:pt idx="299">
                  <c:v>44616</c:v>
                </c:pt>
                <c:pt idx="300">
                  <c:v>44617</c:v>
                </c:pt>
                <c:pt idx="301">
                  <c:v>44620</c:v>
                </c:pt>
                <c:pt idx="302">
                  <c:v>44621</c:v>
                </c:pt>
                <c:pt idx="303">
                  <c:v>44622</c:v>
                </c:pt>
                <c:pt idx="304">
                  <c:v>44623</c:v>
                </c:pt>
                <c:pt idx="305">
                  <c:v>44624</c:v>
                </c:pt>
                <c:pt idx="306">
                  <c:v>44627</c:v>
                </c:pt>
                <c:pt idx="307">
                  <c:v>44628</c:v>
                </c:pt>
                <c:pt idx="308">
                  <c:v>44629</c:v>
                </c:pt>
                <c:pt idx="309">
                  <c:v>44630</c:v>
                </c:pt>
                <c:pt idx="310">
                  <c:v>44631</c:v>
                </c:pt>
                <c:pt idx="311">
                  <c:v>44634</c:v>
                </c:pt>
                <c:pt idx="312">
                  <c:v>44635</c:v>
                </c:pt>
                <c:pt idx="313">
                  <c:v>44636</c:v>
                </c:pt>
                <c:pt idx="314">
                  <c:v>44637</c:v>
                </c:pt>
                <c:pt idx="315">
                  <c:v>44638</c:v>
                </c:pt>
                <c:pt idx="316">
                  <c:v>44641</c:v>
                </c:pt>
                <c:pt idx="317">
                  <c:v>44642</c:v>
                </c:pt>
                <c:pt idx="318">
                  <c:v>44643</c:v>
                </c:pt>
                <c:pt idx="319">
                  <c:v>44644</c:v>
                </c:pt>
                <c:pt idx="320">
                  <c:v>44645</c:v>
                </c:pt>
                <c:pt idx="321">
                  <c:v>44648</c:v>
                </c:pt>
                <c:pt idx="322">
                  <c:v>44649</c:v>
                </c:pt>
                <c:pt idx="323">
                  <c:v>44650</c:v>
                </c:pt>
                <c:pt idx="324">
                  <c:v>44651</c:v>
                </c:pt>
                <c:pt idx="325">
                  <c:v>44652</c:v>
                </c:pt>
                <c:pt idx="326">
                  <c:v>44655</c:v>
                </c:pt>
                <c:pt idx="327">
                  <c:v>44656</c:v>
                </c:pt>
                <c:pt idx="328">
                  <c:v>44657</c:v>
                </c:pt>
                <c:pt idx="329">
                  <c:v>44658</c:v>
                </c:pt>
                <c:pt idx="330">
                  <c:v>44659</c:v>
                </c:pt>
                <c:pt idx="331">
                  <c:v>44662</c:v>
                </c:pt>
                <c:pt idx="332">
                  <c:v>44663</c:v>
                </c:pt>
                <c:pt idx="333">
                  <c:v>44664</c:v>
                </c:pt>
                <c:pt idx="334">
                  <c:v>44665</c:v>
                </c:pt>
                <c:pt idx="335">
                  <c:v>44666</c:v>
                </c:pt>
                <c:pt idx="336">
                  <c:v>44669</c:v>
                </c:pt>
                <c:pt idx="337">
                  <c:v>44670</c:v>
                </c:pt>
                <c:pt idx="338">
                  <c:v>44671</c:v>
                </c:pt>
                <c:pt idx="339">
                  <c:v>44672</c:v>
                </c:pt>
                <c:pt idx="340">
                  <c:v>44673</c:v>
                </c:pt>
                <c:pt idx="341">
                  <c:v>44676</c:v>
                </c:pt>
                <c:pt idx="342">
                  <c:v>44677</c:v>
                </c:pt>
                <c:pt idx="343">
                  <c:v>44678</c:v>
                </c:pt>
                <c:pt idx="344">
                  <c:v>44679</c:v>
                </c:pt>
                <c:pt idx="345">
                  <c:v>44680</c:v>
                </c:pt>
                <c:pt idx="346">
                  <c:v>44683</c:v>
                </c:pt>
                <c:pt idx="347">
                  <c:v>44684</c:v>
                </c:pt>
                <c:pt idx="348">
                  <c:v>44685</c:v>
                </c:pt>
                <c:pt idx="349">
                  <c:v>44686</c:v>
                </c:pt>
                <c:pt idx="350">
                  <c:v>44687</c:v>
                </c:pt>
                <c:pt idx="351">
                  <c:v>44690</c:v>
                </c:pt>
                <c:pt idx="352">
                  <c:v>44691</c:v>
                </c:pt>
                <c:pt idx="353">
                  <c:v>44692</c:v>
                </c:pt>
                <c:pt idx="354">
                  <c:v>44693</c:v>
                </c:pt>
                <c:pt idx="355">
                  <c:v>44694</c:v>
                </c:pt>
                <c:pt idx="356">
                  <c:v>44697</c:v>
                </c:pt>
                <c:pt idx="357">
                  <c:v>44698</c:v>
                </c:pt>
                <c:pt idx="358">
                  <c:v>44699</c:v>
                </c:pt>
                <c:pt idx="359">
                  <c:v>44700</c:v>
                </c:pt>
                <c:pt idx="360">
                  <c:v>44701</c:v>
                </c:pt>
                <c:pt idx="361">
                  <c:v>44704</c:v>
                </c:pt>
                <c:pt idx="362">
                  <c:v>44705</c:v>
                </c:pt>
                <c:pt idx="363">
                  <c:v>44706</c:v>
                </c:pt>
                <c:pt idx="364">
                  <c:v>44707</c:v>
                </c:pt>
                <c:pt idx="365">
                  <c:v>44708</c:v>
                </c:pt>
                <c:pt idx="366">
                  <c:v>44711</c:v>
                </c:pt>
                <c:pt idx="367">
                  <c:v>44712</c:v>
                </c:pt>
                <c:pt idx="368">
                  <c:v>44713</c:v>
                </c:pt>
                <c:pt idx="369">
                  <c:v>44714</c:v>
                </c:pt>
                <c:pt idx="370">
                  <c:v>44715</c:v>
                </c:pt>
                <c:pt idx="371">
                  <c:v>44718</c:v>
                </c:pt>
                <c:pt idx="372">
                  <c:v>44719</c:v>
                </c:pt>
                <c:pt idx="373">
                  <c:v>44720</c:v>
                </c:pt>
                <c:pt idx="374">
                  <c:v>44721</c:v>
                </c:pt>
                <c:pt idx="375">
                  <c:v>44722</c:v>
                </c:pt>
                <c:pt idx="376">
                  <c:v>44725</c:v>
                </c:pt>
                <c:pt idx="377">
                  <c:v>44726</c:v>
                </c:pt>
                <c:pt idx="378">
                  <c:v>44727</c:v>
                </c:pt>
                <c:pt idx="379">
                  <c:v>44728</c:v>
                </c:pt>
                <c:pt idx="380">
                  <c:v>44729</c:v>
                </c:pt>
                <c:pt idx="381">
                  <c:v>44732</c:v>
                </c:pt>
                <c:pt idx="382">
                  <c:v>44733</c:v>
                </c:pt>
                <c:pt idx="383">
                  <c:v>44734</c:v>
                </c:pt>
                <c:pt idx="384">
                  <c:v>44735</c:v>
                </c:pt>
                <c:pt idx="385">
                  <c:v>44736</c:v>
                </c:pt>
                <c:pt idx="386">
                  <c:v>44739</c:v>
                </c:pt>
                <c:pt idx="387">
                  <c:v>44740</c:v>
                </c:pt>
                <c:pt idx="388">
                  <c:v>44741</c:v>
                </c:pt>
                <c:pt idx="389">
                  <c:v>44742</c:v>
                </c:pt>
                <c:pt idx="390">
                  <c:v>44743</c:v>
                </c:pt>
                <c:pt idx="391">
                  <c:v>44746</c:v>
                </c:pt>
                <c:pt idx="392">
                  <c:v>44747</c:v>
                </c:pt>
                <c:pt idx="393">
                  <c:v>44748</c:v>
                </c:pt>
                <c:pt idx="394">
                  <c:v>44749</c:v>
                </c:pt>
                <c:pt idx="395">
                  <c:v>44750</c:v>
                </c:pt>
                <c:pt idx="396">
                  <c:v>44753</c:v>
                </c:pt>
                <c:pt idx="397">
                  <c:v>44754</c:v>
                </c:pt>
                <c:pt idx="398">
                  <c:v>44755</c:v>
                </c:pt>
                <c:pt idx="399">
                  <c:v>44756</c:v>
                </c:pt>
                <c:pt idx="400">
                  <c:v>44757</c:v>
                </c:pt>
                <c:pt idx="401">
                  <c:v>44760</c:v>
                </c:pt>
                <c:pt idx="402">
                  <c:v>44761</c:v>
                </c:pt>
                <c:pt idx="403">
                  <c:v>44762</c:v>
                </c:pt>
                <c:pt idx="404">
                  <c:v>44763</c:v>
                </c:pt>
                <c:pt idx="405">
                  <c:v>44764</c:v>
                </c:pt>
                <c:pt idx="406">
                  <c:v>44767</c:v>
                </c:pt>
                <c:pt idx="407">
                  <c:v>44768</c:v>
                </c:pt>
                <c:pt idx="408">
                  <c:v>44769</c:v>
                </c:pt>
                <c:pt idx="409">
                  <c:v>44770</c:v>
                </c:pt>
                <c:pt idx="410">
                  <c:v>44771</c:v>
                </c:pt>
                <c:pt idx="411">
                  <c:v>44774</c:v>
                </c:pt>
                <c:pt idx="412">
                  <c:v>44775</c:v>
                </c:pt>
                <c:pt idx="413">
                  <c:v>44776</c:v>
                </c:pt>
                <c:pt idx="414">
                  <c:v>44777</c:v>
                </c:pt>
                <c:pt idx="415">
                  <c:v>44778</c:v>
                </c:pt>
                <c:pt idx="416">
                  <c:v>44781</c:v>
                </c:pt>
                <c:pt idx="417">
                  <c:v>44782</c:v>
                </c:pt>
                <c:pt idx="418">
                  <c:v>44783</c:v>
                </c:pt>
                <c:pt idx="419">
                  <c:v>44784</c:v>
                </c:pt>
                <c:pt idx="420">
                  <c:v>44785</c:v>
                </c:pt>
                <c:pt idx="421">
                  <c:v>44788</c:v>
                </c:pt>
                <c:pt idx="422">
                  <c:v>44789</c:v>
                </c:pt>
                <c:pt idx="423">
                  <c:v>44790</c:v>
                </c:pt>
                <c:pt idx="424">
                  <c:v>44791</c:v>
                </c:pt>
                <c:pt idx="425">
                  <c:v>44792</c:v>
                </c:pt>
                <c:pt idx="426">
                  <c:v>44795</c:v>
                </c:pt>
                <c:pt idx="427">
                  <c:v>44796</c:v>
                </c:pt>
                <c:pt idx="428">
                  <c:v>44797</c:v>
                </c:pt>
                <c:pt idx="429">
                  <c:v>44798</c:v>
                </c:pt>
                <c:pt idx="430">
                  <c:v>44799</c:v>
                </c:pt>
                <c:pt idx="431">
                  <c:v>44802</c:v>
                </c:pt>
                <c:pt idx="432">
                  <c:v>44803</c:v>
                </c:pt>
                <c:pt idx="433">
                  <c:v>44804</c:v>
                </c:pt>
                <c:pt idx="434">
                  <c:v>44805</c:v>
                </c:pt>
                <c:pt idx="435">
                  <c:v>44806</c:v>
                </c:pt>
                <c:pt idx="436">
                  <c:v>44809</c:v>
                </c:pt>
                <c:pt idx="437">
                  <c:v>44810</c:v>
                </c:pt>
                <c:pt idx="438">
                  <c:v>44811</c:v>
                </c:pt>
                <c:pt idx="439">
                  <c:v>44812</c:v>
                </c:pt>
                <c:pt idx="440">
                  <c:v>44813</c:v>
                </c:pt>
                <c:pt idx="441">
                  <c:v>44816</c:v>
                </c:pt>
                <c:pt idx="442">
                  <c:v>44817</c:v>
                </c:pt>
                <c:pt idx="443">
                  <c:v>44818</c:v>
                </c:pt>
                <c:pt idx="444">
                  <c:v>44819</c:v>
                </c:pt>
                <c:pt idx="445">
                  <c:v>44820</c:v>
                </c:pt>
                <c:pt idx="446">
                  <c:v>44823</c:v>
                </c:pt>
                <c:pt idx="447">
                  <c:v>44824</c:v>
                </c:pt>
                <c:pt idx="448">
                  <c:v>44825</c:v>
                </c:pt>
                <c:pt idx="449">
                  <c:v>44826</c:v>
                </c:pt>
                <c:pt idx="450">
                  <c:v>44827</c:v>
                </c:pt>
                <c:pt idx="451">
                  <c:v>44830</c:v>
                </c:pt>
                <c:pt idx="452">
                  <c:v>44831</c:v>
                </c:pt>
                <c:pt idx="453">
                  <c:v>44832</c:v>
                </c:pt>
                <c:pt idx="454">
                  <c:v>44833</c:v>
                </c:pt>
                <c:pt idx="455">
                  <c:v>44834</c:v>
                </c:pt>
                <c:pt idx="456">
                  <c:v>44837</c:v>
                </c:pt>
                <c:pt idx="457">
                  <c:v>44838</c:v>
                </c:pt>
                <c:pt idx="458">
                  <c:v>44839</c:v>
                </c:pt>
                <c:pt idx="459">
                  <c:v>44840</c:v>
                </c:pt>
                <c:pt idx="460">
                  <c:v>44841</c:v>
                </c:pt>
                <c:pt idx="461">
                  <c:v>44844</c:v>
                </c:pt>
                <c:pt idx="462">
                  <c:v>44845</c:v>
                </c:pt>
                <c:pt idx="463">
                  <c:v>44846</c:v>
                </c:pt>
                <c:pt idx="464">
                  <c:v>44847</c:v>
                </c:pt>
                <c:pt idx="465">
                  <c:v>44848</c:v>
                </c:pt>
                <c:pt idx="466">
                  <c:v>44851</c:v>
                </c:pt>
                <c:pt idx="467">
                  <c:v>44852</c:v>
                </c:pt>
                <c:pt idx="468">
                  <c:v>44853</c:v>
                </c:pt>
                <c:pt idx="469">
                  <c:v>44854</c:v>
                </c:pt>
                <c:pt idx="470">
                  <c:v>44855</c:v>
                </c:pt>
                <c:pt idx="471">
                  <c:v>44858</c:v>
                </c:pt>
                <c:pt idx="472">
                  <c:v>44859</c:v>
                </c:pt>
                <c:pt idx="473">
                  <c:v>44860</c:v>
                </c:pt>
                <c:pt idx="474">
                  <c:v>44861</c:v>
                </c:pt>
                <c:pt idx="475">
                  <c:v>44862</c:v>
                </c:pt>
                <c:pt idx="476">
                  <c:v>44865</c:v>
                </c:pt>
                <c:pt idx="477">
                  <c:v>44866</c:v>
                </c:pt>
                <c:pt idx="478">
                  <c:v>44867</c:v>
                </c:pt>
                <c:pt idx="479">
                  <c:v>44868</c:v>
                </c:pt>
                <c:pt idx="480">
                  <c:v>44869</c:v>
                </c:pt>
                <c:pt idx="481">
                  <c:v>44872</c:v>
                </c:pt>
                <c:pt idx="482">
                  <c:v>44873</c:v>
                </c:pt>
                <c:pt idx="483">
                  <c:v>44874</c:v>
                </c:pt>
                <c:pt idx="484">
                  <c:v>44875</c:v>
                </c:pt>
                <c:pt idx="485">
                  <c:v>44876</c:v>
                </c:pt>
                <c:pt idx="486">
                  <c:v>44879</c:v>
                </c:pt>
                <c:pt idx="487">
                  <c:v>44880</c:v>
                </c:pt>
                <c:pt idx="488">
                  <c:v>44881</c:v>
                </c:pt>
                <c:pt idx="489">
                  <c:v>44882</c:v>
                </c:pt>
                <c:pt idx="490">
                  <c:v>44883</c:v>
                </c:pt>
                <c:pt idx="491">
                  <c:v>44886</c:v>
                </c:pt>
                <c:pt idx="492">
                  <c:v>44887</c:v>
                </c:pt>
                <c:pt idx="493">
                  <c:v>44888</c:v>
                </c:pt>
                <c:pt idx="494">
                  <c:v>44889</c:v>
                </c:pt>
                <c:pt idx="495">
                  <c:v>44890</c:v>
                </c:pt>
                <c:pt idx="496">
                  <c:v>44893</c:v>
                </c:pt>
                <c:pt idx="497">
                  <c:v>44894</c:v>
                </c:pt>
                <c:pt idx="498">
                  <c:v>44895</c:v>
                </c:pt>
                <c:pt idx="499">
                  <c:v>44896</c:v>
                </c:pt>
                <c:pt idx="500">
                  <c:v>44897</c:v>
                </c:pt>
                <c:pt idx="501">
                  <c:v>44900</c:v>
                </c:pt>
                <c:pt idx="502">
                  <c:v>44901</c:v>
                </c:pt>
                <c:pt idx="503">
                  <c:v>44902</c:v>
                </c:pt>
                <c:pt idx="504">
                  <c:v>44903</c:v>
                </c:pt>
                <c:pt idx="505">
                  <c:v>44904</c:v>
                </c:pt>
                <c:pt idx="506">
                  <c:v>44907</c:v>
                </c:pt>
                <c:pt idx="507">
                  <c:v>44908</c:v>
                </c:pt>
                <c:pt idx="508">
                  <c:v>44909</c:v>
                </c:pt>
                <c:pt idx="509">
                  <c:v>44910</c:v>
                </c:pt>
                <c:pt idx="510">
                  <c:v>44911</c:v>
                </c:pt>
                <c:pt idx="511">
                  <c:v>44914</c:v>
                </c:pt>
                <c:pt idx="512">
                  <c:v>44915</c:v>
                </c:pt>
                <c:pt idx="513">
                  <c:v>44916</c:v>
                </c:pt>
                <c:pt idx="514">
                  <c:v>44917</c:v>
                </c:pt>
                <c:pt idx="515">
                  <c:v>44918</c:v>
                </c:pt>
                <c:pt idx="516">
                  <c:v>44921</c:v>
                </c:pt>
                <c:pt idx="517">
                  <c:v>44922</c:v>
                </c:pt>
                <c:pt idx="518">
                  <c:v>44923</c:v>
                </c:pt>
                <c:pt idx="519">
                  <c:v>44924</c:v>
                </c:pt>
                <c:pt idx="520">
                  <c:v>44925</c:v>
                </c:pt>
                <c:pt idx="521">
                  <c:v>44928</c:v>
                </c:pt>
                <c:pt idx="522">
                  <c:v>44929</c:v>
                </c:pt>
                <c:pt idx="523">
                  <c:v>44930</c:v>
                </c:pt>
                <c:pt idx="524">
                  <c:v>44931</c:v>
                </c:pt>
                <c:pt idx="525">
                  <c:v>44932</c:v>
                </c:pt>
                <c:pt idx="526">
                  <c:v>44935</c:v>
                </c:pt>
                <c:pt idx="527">
                  <c:v>44936</c:v>
                </c:pt>
                <c:pt idx="528">
                  <c:v>44937</c:v>
                </c:pt>
                <c:pt idx="529">
                  <c:v>44938</c:v>
                </c:pt>
                <c:pt idx="530">
                  <c:v>44939</c:v>
                </c:pt>
                <c:pt idx="531">
                  <c:v>44942</c:v>
                </c:pt>
                <c:pt idx="532">
                  <c:v>44943</c:v>
                </c:pt>
                <c:pt idx="533">
                  <c:v>44944</c:v>
                </c:pt>
                <c:pt idx="534">
                  <c:v>44945</c:v>
                </c:pt>
                <c:pt idx="535">
                  <c:v>44946</c:v>
                </c:pt>
                <c:pt idx="536">
                  <c:v>44949</c:v>
                </c:pt>
                <c:pt idx="537">
                  <c:v>44950</c:v>
                </c:pt>
                <c:pt idx="538">
                  <c:v>44951</c:v>
                </c:pt>
                <c:pt idx="539">
                  <c:v>44952</c:v>
                </c:pt>
                <c:pt idx="540">
                  <c:v>44953</c:v>
                </c:pt>
                <c:pt idx="541">
                  <c:v>44956</c:v>
                </c:pt>
                <c:pt idx="542">
                  <c:v>44957</c:v>
                </c:pt>
                <c:pt idx="543">
                  <c:v>44958</c:v>
                </c:pt>
                <c:pt idx="544">
                  <c:v>44959</c:v>
                </c:pt>
                <c:pt idx="545">
                  <c:v>44960</c:v>
                </c:pt>
                <c:pt idx="546">
                  <c:v>44963</c:v>
                </c:pt>
                <c:pt idx="547">
                  <c:v>44964</c:v>
                </c:pt>
                <c:pt idx="548">
                  <c:v>44965</c:v>
                </c:pt>
                <c:pt idx="549">
                  <c:v>44966</c:v>
                </c:pt>
                <c:pt idx="550">
                  <c:v>44967</c:v>
                </c:pt>
                <c:pt idx="551">
                  <c:v>44970</c:v>
                </c:pt>
                <c:pt idx="552">
                  <c:v>44971</c:v>
                </c:pt>
                <c:pt idx="553">
                  <c:v>44972</c:v>
                </c:pt>
                <c:pt idx="554">
                  <c:v>44973</c:v>
                </c:pt>
                <c:pt idx="555">
                  <c:v>44974</c:v>
                </c:pt>
                <c:pt idx="556">
                  <c:v>44977</c:v>
                </c:pt>
                <c:pt idx="557">
                  <c:v>44978</c:v>
                </c:pt>
                <c:pt idx="558">
                  <c:v>44979</c:v>
                </c:pt>
                <c:pt idx="559">
                  <c:v>44980</c:v>
                </c:pt>
                <c:pt idx="560">
                  <c:v>44981</c:v>
                </c:pt>
                <c:pt idx="561">
                  <c:v>44984</c:v>
                </c:pt>
                <c:pt idx="562">
                  <c:v>44985</c:v>
                </c:pt>
                <c:pt idx="563">
                  <c:v>44986</c:v>
                </c:pt>
                <c:pt idx="564">
                  <c:v>44987</c:v>
                </c:pt>
                <c:pt idx="565">
                  <c:v>44988</c:v>
                </c:pt>
                <c:pt idx="566">
                  <c:v>44991</c:v>
                </c:pt>
                <c:pt idx="567">
                  <c:v>44992</c:v>
                </c:pt>
                <c:pt idx="568">
                  <c:v>44993</c:v>
                </c:pt>
                <c:pt idx="569">
                  <c:v>44994</c:v>
                </c:pt>
                <c:pt idx="570">
                  <c:v>44995</c:v>
                </c:pt>
                <c:pt idx="571">
                  <c:v>44998</c:v>
                </c:pt>
                <c:pt idx="572">
                  <c:v>44999</c:v>
                </c:pt>
                <c:pt idx="573">
                  <c:v>45000</c:v>
                </c:pt>
                <c:pt idx="574">
                  <c:v>45001</c:v>
                </c:pt>
                <c:pt idx="575">
                  <c:v>45002</c:v>
                </c:pt>
                <c:pt idx="576">
                  <c:v>45005</c:v>
                </c:pt>
                <c:pt idx="577">
                  <c:v>45006</c:v>
                </c:pt>
                <c:pt idx="578">
                  <c:v>45007</c:v>
                </c:pt>
                <c:pt idx="579">
                  <c:v>45008</c:v>
                </c:pt>
                <c:pt idx="580">
                  <c:v>45009</c:v>
                </c:pt>
                <c:pt idx="581">
                  <c:v>45012</c:v>
                </c:pt>
                <c:pt idx="582">
                  <c:v>45013</c:v>
                </c:pt>
                <c:pt idx="583">
                  <c:v>45014</c:v>
                </c:pt>
                <c:pt idx="584">
                  <c:v>45015</c:v>
                </c:pt>
                <c:pt idx="585">
                  <c:v>45016</c:v>
                </c:pt>
                <c:pt idx="586">
                  <c:v>45019</c:v>
                </c:pt>
                <c:pt idx="587">
                  <c:v>45020</c:v>
                </c:pt>
                <c:pt idx="588">
                  <c:v>45021</c:v>
                </c:pt>
                <c:pt idx="589">
                  <c:v>45022</c:v>
                </c:pt>
                <c:pt idx="590">
                  <c:v>45023</c:v>
                </c:pt>
                <c:pt idx="591">
                  <c:v>45026</c:v>
                </c:pt>
                <c:pt idx="592">
                  <c:v>45027</c:v>
                </c:pt>
                <c:pt idx="593">
                  <c:v>45028</c:v>
                </c:pt>
                <c:pt idx="594">
                  <c:v>45029</c:v>
                </c:pt>
                <c:pt idx="595">
                  <c:v>45030</c:v>
                </c:pt>
                <c:pt idx="596">
                  <c:v>45033</c:v>
                </c:pt>
                <c:pt idx="597">
                  <c:v>45034</c:v>
                </c:pt>
                <c:pt idx="598">
                  <c:v>45035</c:v>
                </c:pt>
                <c:pt idx="599">
                  <c:v>45036</c:v>
                </c:pt>
                <c:pt idx="600">
                  <c:v>45037</c:v>
                </c:pt>
                <c:pt idx="601">
                  <c:v>45040</c:v>
                </c:pt>
                <c:pt idx="602">
                  <c:v>45041</c:v>
                </c:pt>
                <c:pt idx="603">
                  <c:v>45042</c:v>
                </c:pt>
                <c:pt idx="604">
                  <c:v>45043</c:v>
                </c:pt>
                <c:pt idx="605">
                  <c:v>45044</c:v>
                </c:pt>
                <c:pt idx="606">
                  <c:v>45047</c:v>
                </c:pt>
                <c:pt idx="607">
                  <c:v>45048</c:v>
                </c:pt>
                <c:pt idx="608">
                  <c:v>45049</c:v>
                </c:pt>
                <c:pt idx="609">
                  <c:v>45050</c:v>
                </c:pt>
                <c:pt idx="610">
                  <c:v>45051</c:v>
                </c:pt>
                <c:pt idx="611">
                  <c:v>45054</c:v>
                </c:pt>
                <c:pt idx="612">
                  <c:v>45055</c:v>
                </c:pt>
                <c:pt idx="613">
                  <c:v>45056</c:v>
                </c:pt>
                <c:pt idx="614">
                  <c:v>45057</c:v>
                </c:pt>
                <c:pt idx="615">
                  <c:v>45058</c:v>
                </c:pt>
                <c:pt idx="616">
                  <c:v>45061</c:v>
                </c:pt>
                <c:pt idx="617">
                  <c:v>45062</c:v>
                </c:pt>
                <c:pt idx="618">
                  <c:v>45063</c:v>
                </c:pt>
                <c:pt idx="619">
                  <c:v>45064</c:v>
                </c:pt>
                <c:pt idx="620">
                  <c:v>45065</c:v>
                </c:pt>
                <c:pt idx="621">
                  <c:v>45068</c:v>
                </c:pt>
                <c:pt idx="622">
                  <c:v>45069</c:v>
                </c:pt>
                <c:pt idx="623">
                  <c:v>45070</c:v>
                </c:pt>
                <c:pt idx="624">
                  <c:v>45071</c:v>
                </c:pt>
                <c:pt idx="625">
                  <c:v>45072</c:v>
                </c:pt>
                <c:pt idx="626">
                  <c:v>45075</c:v>
                </c:pt>
                <c:pt idx="627">
                  <c:v>45076</c:v>
                </c:pt>
                <c:pt idx="628">
                  <c:v>45077</c:v>
                </c:pt>
                <c:pt idx="629">
                  <c:v>45078</c:v>
                </c:pt>
                <c:pt idx="630">
                  <c:v>45079</c:v>
                </c:pt>
                <c:pt idx="631">
                  <c:v>45082</c:v>
                </c:pt>
                <c:pt idx="632">
                  <c:v>45083</c:v>
                </c:pt>
                <c:pt idx="633">
                  <c:v>45084</c:v>
                </c:pt>
                <c:pt idx="634">
                  <c:v>45085</c:v>
                </c:pt>
                <c:pt idx="635">
                  <c:v>45086</c:v>
                </c:pt>
                <c:pt idx="636">
                  <c:v>45089</c:v>
                </c:pt>
                <c:pt idx="637">
                  <c:v>45090</c:v>
                </c:pt>
                <c:pt idx="638">
                  <c:v>45091</c:v>
                </c:pt>
                <c:pt idx="639">
                  <c:v>45092</c:v>
                </c:pt>
                <c:pt idx="640">
                  <c:v>45093</c:v>
                </c:pt>
                <c:pt idx="641">
                  <c:v>45096</c:v>
                </c:pt>
                <c:pt idx="642">
                  <c:v>45097</c:v>
                </c:pt>
                <c:pt idx="643">
                  <c:v>45098</c:v>
                </c:pt>
                <c:pt idx="644">
                  <c:v>45099</c:v>
                </c:pt>
                <c:pt idx="645">
                  <c:v>45100</c:v>
                </c:pt>
                <c:pt idx="646">
                  <c:v>45103</c:v>
                </c:pt>
                <c:pt idx="647">
                  <c:v>45104</c:v>
                </c:pt>
                <c:pt idx="648">
                  <c:v>45105</c:v>
                </c:pt>
                <c:pt idx="649">
                  <c:v>45106</c:v>
                </c:pt>
                <c:pt idx="650">
                  <c:v>45107</c:v>
                </c:pt>
                <c:pt idx="651">
                  <c:v>45110</c:v>
                </c:pt>
                <c:pt idx="652">
                  <c:v>45111</c:v>
                </c:pt>
                <c:pt idx="653">
                  <c:v>45112</c:v>
                </c:pt>
                <c:pt idx="654">
                  <c:v>45113</c:v>
                </c:pt>
                <c:pt idx="655">
                  <c:v>45114</c:v>
                </c:pt>
                <c:pt idx="656">
                  <c:v>45117</c:v>
                </c:pt>
                <c:pt idx="657">
                  <c:v>45118</c:v>
                </c:pt>
                <c:pt idx="658">
                  <c:v>45119</c:v>
                </c:pt>
                <c:pt idx="659">
                  <c:v>45120</c:v>
                </c:pt>
                <c:pt idx="660">
                  <c:v>45121</c:v>
                </c:pt>
                <c:pt idx="661">
                  <c:v>45124</c:v>
                </c:pt>
                <c:pt idx="662">
                  <c:v>45125</c:v>
                </c:pt>
                <c:pt idx="663">
                  <c:v>45126</c:v>
                </c:pt>
                <c:pt idx="664">
                  <c:v>45127</c:v>
                </c:pt>
                <c:pt idx="665">
                  <c:v>45128</c:v>
                </c:pt>
                <c:pt idx="666">
                  <c:v>45131</c:v>
                </c:pt>
                <c:pt idx="667">
                  <c:v>45132</c:v>
                </c:pt>
                <c:pt idx="668">
                  <c:v>45133</c:v>
                </c:pt>
                <c:pt idx="669">
                  <c:v>45134</c:v>
                </c:pt>
                <c:pt idx="670">
                  <c:v>45135</c:v>
                </c:pt>
                <c:pt idx="671">
                  <c:v>45138</c:v>
                </c:pt>
                <c:pt idx="672">
                  <c:v>45139</c:v>
                </c:pt>
                <c:pt idx="673">
                  <c:v>45140</c:v>
                </c:pt>
                <c:pt idx="674">
                  <c:v>45141</c:v>
                </c:pt>
                <c:pt idx="675">
                  <c:v>45142</c:v>
                </c:pt>
                <c:pt idx="676">
                  <c:v>45145</c:v>
                </c:pt>
                <c:pt idx="677">
                  <c:v>45146</c:v>
                </c:pt>
                <c:pt idx="678">
                  <c:v>45147</c:v>
                </c:pt>
                <c:pt idx="679">
                  <c:v>45148</c:v>
                </c:pt>
                <c:pt idx="680">
                  <c:v>45149</c:v>
                </c:pt>
                <c:pt idx="681">
                  <c:v>45152</c:v>
                </c:pt>
                <c:pt idx="682">
                  <c:v>45153</c:v>
                </c:pt>
                <c:pt idx="683">
                  <c:v>45154</c:v>
                </c:pt>
                <c:pt idx="684">
                  <c:v>45155</c:v>
                </c:pt>
                <c:pt idx="685">
                  <c:v>45156</c:v>
                </c:pt>
                <c:pt idx="686">
                  <c:v>45159</c:v>
                </c:pt>
                <c:pt idx="687">
                  <c:v>45160</c:v>
                </c:pt>
                <c:pt idx="688">
                  <c:v>45161</c:v>
                </c:pt>
                <c:pt idx="689">
                  <c:v>45162</c:v>
                </c:pt>
                <c:pt idx="690">
                  <c:v>45163</c:v>
                </c:pt>
                <c:pt idx="691">
                  <c:v>45166</c:v>
                </c:pt>
                <c:pt idx="692">
                  <c:v>45167</c:v>
                </c:pt>
                <c:pt idx="693">
                  <c:v>45168</c:v>
                </c:pt>
                <c:pt idx="694">
                  <c:v>45169</c:v>
                </c:pt>
                <c:pt idx="695">
                  <c:v>45170</c:v>
                </c:pt>
                <c:pt idx="696">
                  <c:v>45173</c:v>
                </c:pt>
                <c:pt idx="697">
                  <c:v>45174</c:v>
                </c:pt>
                <c:pt idx="698">
                  <c:v>45175</c:v>
                </c:pt>
                <c:pt idx="699">
                  <c:v>45176</c:v>
                </c:pt>
                <c:pt idx="700">
                  <c:v>45177</c:v>
                </c:pt>
                <c:pt idx="701">
                  <c:v>45180</c:v>
                </c:pt>
                <c:pt idx="702">
                  <c:v>45181</c:v>
                </c:pt>
                <c:pt idx="703">
                  <c:v>45182</c:v>
                </c:pt>
                <c:pt idx="704">
                  <c:v>45183</c:v>
                </c:pt>
                <c:pt idx="705">
                  <c:v>45184</c:v>
                </c:pt>
                <c:pt idx="706">
                  <c:v>45187</c:v>
                </c:pt>
                <c:pt idx="707">
                  <c:v>45188</c:v>
                </c:pt>
                <c:pt idx="708">
                  <c:v>45189</c:v>
                </c:pt>
                <c:pt idx="709">
                  <c:v>45190</c:v>
                </c:pt>
                <c:pt idx="710">
                  <c:v>45191</c:v>
                </c:pt>
                <c:pt idx="711">
                  <c:v>45194</c:v>
                </c:pt>
                <c:pt idx="712">
                  <c:v>45195</c:v>
                </c:pt>
                <c:pt idx="713">
                  <c:v>45196</c:v>
                </c:pt>
                <c:pt idx="714">
                  <c:v>45197</c:v>
                </c:pt>
                <c:pt idx="715">
                  <c:v>45198</c:v>
                </c:pt>
                <c:pt idx="716">
                  <c:v>45201</c:v>
                </c:pt>
                <c:pt idx="717">
                  <c:v>45202</c:v>
                </c:pt>
                <c:pt idx="718">
                  <c:v>45203</c:v>
                </c:pt>
                <c:pt idx="719">
                  <c:v>45204</c:v>
                </c:pt>
                <c:pt idx="720">
                  <c:v>45205</c:v>
                </c:pt>
                <c:pt idx="721">
                  <c:v>45208</c:v>
                </c:pt>
                <c:pt idx="722">
                  <c:v>45209</c:v>
                </c:pt>
                <c:pt idx="723">
                  <c:v>45210</c:v>
                </c:pt>
                <c:pt idx="724">
                  <c:v>45211</c:v>
                </c:pt>
                <c:pt idx="725">
                  <c:v>45212</c:v>
                </c:pt>
                <c:pt idx="726">
                  <c:v>45215</c:v>
                </c:pt>
                <c:pt idx="727">
                  <c:v>45216</c:v>
                </c:pt>
                <c:pt idx="728">
                  <c:v>45217</c:v>
                </c:pt>
                <c:pt idx="729">
                  <c:v>45218</c:v>
                </c:pt>
                <c:pt idx="730">
                  <c:v>45219</c:v>
                </c:pt>
                <c:pt idx="731">
                  <c:v>45222</c:v>
                </c:pt>
                <c:pt idx="732">
                  <c:v>45223</c:v>
                </c:pt>
                <c:pt idx="733">
                  <c:v>45224</c:v>
                </c:pt>
                <c:pt idx="734">
                  <c:v>45225</c:v>
                </c:pt>
                <c:pt idx="735">
                  <c:v>45226</c:v>
                </c:pt>
                <c:pt idx="736">
                  <c:v>45229</c:v>
                </c:pt>
                <c:pt idx="737">
                  <c:v>45230</c:v>
                </c:pt>
                <c:pt idx="738">
                  <c:v>45231</c:v>
                </c:pt>
                <c:pt idx="739">
                  <c:v>45232</c:v>
                </c:pt>
                <c:pt idx="740">
                  <c:v>45233</c:v>
                </c:pt>
                <c:pt idx="741">
                  <c:v>45236</c:v>
                </c:pt>
                <c:pt idx="742">
                  <c:v>45237</c:v>
                </c:pt>
                <c:pt idx="743">
                  <c:v>45238</c:v>
                </c:pt>
                <c:pt idx="744">
                  <c:v>45239</c:v>
                </c:pt>
                <c:pt idx="745">
                  <c:v>45240</c:v>
                </c:pt>
                <c:pt idx="746">
                  <c:v>45243</c:v>
                </c:pt>
                <c:pt idx="747">
                  <c:v>45244</c:v>
                </c:pt>
                <c:pt idx="748">
                  <c:v>45245</c:v>
                </c:pt>
                <c:pt idx="749">
                  <c:v>45246</c:v>
                </c:pt>
                <c:pt idx="750">
                  <c:v>45247</c:v>
                </c:pt>
                <c:pt idx="751">
                  <c:v>45250</c:v>
                </c:pt>
                <c:pt idx="752">
                  <c:v>45251</c:v>
                </c:pt>
                <c:pt idx="753">
                  <c:v>45252</c:v>
                </c:pt>
                <c:pt idx="754">
                  <c:v>45253</c:v>
                </c:pt>
                <c:pt idx="755">
                  <c:v>45254</c:v>
                </c:pt>
                <c:pt idx="756">
                  <c:v>45257</c:v>
                </c:pt>
                <c:pt idx="757">
                  <c:v>45258</c:v>
                </c:pt>
                <c:pt idx="758">
                  <c:v>45259</c:v>
                </c:pt>
                <c:pt idx="759">
                  <c:v>45260</c:v>
                </c:pt>
                <c:pt idx="760">
                  <c:v>45261</c:v>
                </c:pt>
                <c:pt idx="761">
                  <c:v>45264</c:v>
                </c:pt>
                <c:pt idx="762">
                  <c:v>45265</c:v>
                </c:pt>
                <c:pt idx="763">
                  <c:v>45266</c:v>
                </c:pt>
                <c:pt idx="764">
                  <c:v>45267</c:v>
                </c:pt>
                <c:pt idx="765">
                  <c:v>45268</c:v>
                </c:pt>
                <c:pt idx="766">
                  <c:v>45271</c:v>
                </c:pt>
                <c:pt idx="767">
                  <c:v>45272</c:v>
                </c:pt>
                <c:pt idx="768">
                  <c:v>45273</c:v>
                </c:pt>
                <c:pt idx="769">
                  <c:v>45274</c:v>
                </c:pt>
                <c:pt idx="770">
                  <c:v>45275</c:v>
                </c:pt>
                <c:pt idx="771">
                  <c:v>45278</c:v>
                </c:pt>
                <c:pt idx="772">
                  <c:v>45279</c:v>
                </c:pt>
                <c:pt idx="773">
                  <c:v>45280</c:v>
                </c:pt>
                <c:pt idx="774">
                  <c:v>45281</c:v>
                </c:pt>
                <c:pt idx="775">
                  <c:v>45282</c:v>
                </c:pt>
                <c:pt idx="776">
                  <c:v>45285</c:v>
                </c:pt>
                <c:pt idx="777">
                  <c:v>45286</c:v>
                </c:pt>
                <c:pt idx="778">
                  <c:v>45287</c:v>
                </c:pt>
                <c:pt idx="779">
                  <c:v>45288</c:v>
                </c:pt>
                <c:pt idx="780">
                  <c:v>45289</c:v>
                </c:pt>
                <c:pt idx="781">
                  <c:v>45292</c:v>
                </c:pt>
                <c:pt idx="782">
                  <c:v>45293</c:v>
                </c:pt>
                <c:pt idx="783">
                  <c:v>45294</c:v>
                </c:pt>
                <c:pt idx="784">
                  <c:v>45295</c:v>
                </c:pt>
                <c:pt idx="785">
                  <c:v>45296</c:v>
                </c:pt>
                <c:pt idx="786">
                  <c:v>45299</c:v>
                </c:pt>
                <c:pt idx="787">
                  <c:v>45300</c:v>
                </c:pt>
                <c:pt idx="788">
                  <c:v>45301</c:v>
                </c:pt>
                <c:pt idx="789">
                  <c:v>45302</c:v>
                </c:pt>
                <c:pt idx="790">
                  <c:v>45303</c:v>
                </c:pt>
                <c:pt idx="791">
                  <c:v>45306</c:v>
                </c:pt>
                <c:pt idx="792">
                  <c:v>45307</c:v>
                </c:pt>
                <c:pt idx="793">
                  <c:v>45308</c:v>
                </c:pt>
                <c:pt idx="794">
                  <c:v>45309</c:v>
                </c:pt>
                <c:pt idx="795">
                  <c:v>45310</c:v>
                </c:pt>
                <c:pt idx="796">
                  <c:v>45313</c:v>
                </c:pt>
                <c:pt idx="797">
                  <c:v>45314</c:v>
                </c:pt>
                <c:pt idx="798">
                  <c:v>45315</c:v>
                </c:pt>
                <c:pt idx="799">
                  <c:v>45316</c:v>
                </c:pt>
                <c:pt idx="800">
                  <c:v>45317</c:v>
                </c:pt>
                <c:pt idx="801">
                  <c:v>45320</c:v>
                </c:pt>
                <c:pt idx="802">
                  <c:v>45321</c:v>
                </c:pt>
                <c:pt idx="803">
                  <c:v>45322</c:v>
                </c:pt>
                <c:pt idx="804">
                  <c:v>45323</c:v>
                </c:pt>
                <c:pt idx="805">
                  <c:v>45324</c:v>
                </c:pt>
                <c:pt idx="806">
                  <c:v>45327</c:v>
                </c:pt>
                <c:pt idx="807">
                  <c:v>45328</c:v>
                </c:pt>
                <c:pt idx="808">
                  <c:v>45329</c:v>
                </c:pt>
                <c:pt idx="809">
                  <c:v>45330</c:v>
                </c:pt>
                <c:pt idx="810">
                  <c:v>45331</c:v>
                </c:pt>
                <c:pt idx="811">
                  <c:v>45334</c:v>
                </c:pt>
                <c:pt idx="812">
                  <c:v>45335</c:v>
                </c:pt>
                <c:pt idx="813">
                  <c:v>45336</c:v>
                </c:pt>
                <c:pt idx="814">
                  <c:v>45337</c:v>
                </c:pt>
                <c:pt idx="815">
                  <c:v>45338</c:v>
                </c:pt>
                <c:pt idx="816">
                  <c:v>45341</c:v>
                </c:pt>
                <c:pt idx="817">
                  <c:v>45342</c:v>
                </c:pt>
                <c:pt idx="818">
                  <c:v>45343</c:v>
                </c:pt>
                <c:pt idx="819">
                  <c:v>45344</c:v>
                </c:pt>
                <c:pt idx="820">
                  <c:v>45345</c:v>
                </c:pt>
                <c:pt idx="821">
                  <c:v>45348</c:v>
                </c:pt>
                <c:pt idx="822">
                  <c:v>45349</c:v>
                </c:pt>
                <c:pt idx="823">
                  <c:v>45350</c:v>
                </c:pt>
                <c:pt idx="824">
                  <c:v>45351</c:v>
                </c:pt>
                <c:pt idx="825">
                  <c:v>45352</c:v>
                </c:pt>
                <c:pt idx="826">
                  <c:v>45355</c:v>
                </c:pt>
                <c:pt idx="827">
                  <c:v>45356</c:v>
                </c:pt>
                <c:pt idx="828">
                  <c:v>45357</c:v>
                </c:pt>
                <c:pt idx="829">
                  <c:v>45358</c:v>
                </c:pt>
                <c:pt idx="830">
                  <c:v>45359</c:v>
                </c:pt>
                <c:pt idx="831">
                  <c:v>45362</c:v>
                </c:pt>
                <c:pt idx="832">
                  <c:v>45363</c:v>
                </c:pt>
                <c:pt idx="833">
                  <c:v>45364</c:v>
                </c:pt>
                <c:pt idx="834">
                  <c:v>45365</c:v>
                </c:pt>
                <c:pt idx="835">
                  <c:v>45366</c:v>
                </c:pt>
                <c:pt idx="836">
                  <c:v>45369</c:v>
                </c:pt>
                <c:pt idx="837">
                  <c:v>45370</c:v>
                </c:pt>
                <c:pt idx="838">
                  <c:v>45371</c:v>
                </c:pt>
                <c:pt idx="839">
                  <c:v>45372</c:v>
                </c:pt>
                <c:pt idx="840">
                  <c:v>45373</c:v>
                </c:pt>
                <c:pt idx="841">
                  <c:v>45376</c:v>
                </c:pt>
                <c:pt idx="842">
                  <c:v>45377</c:v>
                </c:pt>
                <c:pt idx="843">
                  <c:v>45378</c:v>
                </c:pt>
                <c:pt idx="844">
                  <c:v>45379</c:v>
                </c:pt>
                <c:pt idx="845">
                  <c:v>45380</c:v>
                </c:pt>
                <c:pt idx="846">
                  <c:v>45383</c:v>
                </c:pt>
                <c:pt idx="847">
                  <c:v>45384</c:v>
                </c:pt>
                <c:pt idx="848">
                  <c:v>45385</c:v>
                </c:pt>
                <c:pt idx="849">
                  <c:v>45386</c:v>
                </c:pt>
                <c:pt idx="850">
                  <c:v>45387</c:v>
                </c:pt>
                <c:pt idx="851">
                  <c:v>45390</c:v>
                </c:pt>
                <c:pt idx="852">
                  <c:v>45391</c:v>
                </c:pt>
                <c:pt idx="853">
                  <c:v>45392</c:v>
                </c:pt>
                <c:pt idx="854">
                  <c:v>45393</c:v>
                </c:pt>
                <c:pt idx="855">
                  <c:v>45394</c:v>
                </c:pt>
                <c:pt idx="856">
                  <c:v>45397</c:v>
                </c:pt>
                <c:pt idx="857">
                  <c:v>45398</c:v>
                </c:pt>
                <c:pt idx="858">
                  <c:v>45399</c:v>
                </c:pt>
                <c:pt idx="859">
                  <c:v>45400</c:v>
                </c:pt>
                <c:pt idx="860">
                  <c:v>45401</c:v>
                </c:pt>
                <c:pt idx="861">
                  <c:v>45404</c:v>
                </c:pt>
                <c:pt idx="862">
                  <c:v>45405</c:v>
                </c:pt>
                <c:pt idx="863">
                  <c:v>45406</c:v>
                </c:pt>
                <c:pt idx="864">
                  <c:v>45407</c:v>
                </c:pt>
                <c:pt idx="865">
                  <c:v>45408</c:v>
                </c:pt>
                <c:pt idx="866">
                  <c:v>45411</c:v>
                </c:pt>
                <c:pt idx="867">
                  <c:v>45412</c:v>
                </c:pt>
                <c:pt idx="868">
                  <c:v>45413</c:v>
                </c:pt>
                <c:pt idx="869">
                  <c:v>45414</c:v>
                </c:pt>
                <c:pt idx="870">
                  <c:v>45415</c:v>
                </c:pt>
                <c:pt idx="871">
                  <c:v>45418</c:v>
                </c:pt>
                <c:pt idx="872">
                  <c:v>45419</c:v>
                </c:pt>
                <c:pt idx="873">
                  <c:v>45420</c:v>
                </c:pt>
                <c:pt idx="874">
                  <c:v>45421</c:v>
                </c:pt>
                <c:pt idx="875">
                  <c:v>45422</c:v>
                </c:pt>
                <c:pt idx="876">
                  <c:v>45425</c:v>
                </c:pt>
                <c:pt idx="877">
                  <c:v>45426</c:v>
                </c:pt>
                <c:pt idx="878">
                  <c:v>45427</c:v>
                </c:pt>
                <c:pt idx="879">
                  <c:v>45428</c:v>
                </c:pt>
                <c:pt idx="880">
                  <c:v>45429</c:v>
                </c:pt>
                <c:pt idx="881">
                  <c:v>45432</c:v>
                </c:pt>
                <c:pt idx="882">
                  <c:v>45433</c:v>
                </c:pt>
                <c:pt idx="883">
                  <c:v>45434</c:v>
                </c:pt>
                <c:pt idx="884">
                  <c:v>45435</c:v>
                </c:pt>
                <c:pt idx="885">
                  <c:v>45436</c:v>
                </c:pt>
                <c:pt idx="886">
                  <c:v>45439</c:v>
                </c:pt>
                <c:pt idx="887">
                  <c:v>45440</c:v>
                </c:pt>
                <c:pt idx="888">
                  <c:v>45441</c:v>
                </c:pt>
                <c:pt idx="889">
                  <c:v>45442</c:v>
                </c:pt>
                <c:pt idx="890">
                  <c:v>45443</c:v>
                </c:pt>
                <c:pt idx="891">
                  <c:v>45446</c:v>
                </c:pt>
                <c:pt idx="892">
                  <c:v>45447</c:v>
                </c:pt>
                <c:pt idx="893">
                  <c:v>45448</c:v>
                </c:pt>
                <c:pt idx="894">
                  <c:v>45449</c:v>
                </c:pt>
                <c:pt idx="895">
                  <c:v>45450</c:v>
                </c:pt>
                <c:pt idx="896">
                  <c:v>45453</c:v>
                </c:pt>
                <c:pt idx="897">
                  <c:v>45454</c:v>
                </c:pt>
                <c:pt idx="898">
                  <c:v>45455</c:v>
                </c:pt>
                <c:pt idx="899">
                  <c:v>45456</c:v>
                </c:pt>
                <c:pt idx="900">
                  <c:v>45457</c:v>
                </c:pt>
                <c:pt idx="901">
                  <c:v>45460</c:v>
                </c:pt>
                <c:pt idx="902">
                  <c:v>45461</c:v>
                </c:pt>
                <c:pt idx="903">
                  <c:v>45462</c:v>
                </c:pt>
                <c:pt idx="904">
                  <c:v>45463</c:v>
                </c:pt>
                <c:pt idx="905">
                  <c:v>45464</c:v>
                </c:pt>
                <c:pt idx="906">
                  <c:v>45467</c:v>
                </c:pt>
                <c:pt idx="907">
                  <c:v>45468</c:v>
                </c:pt>
                <c:pt idx="908">
                  <c:v>45469</c:v>
                </c:pt>
                <c:pt idx="909">
                  <c:v>45470</c:v>
                </c:pt>
                <c:pt idx="910">
                  <c:v>45471</c:v>
                </c:pt>
                <c:pt idx="911">
                  <c:v>45474</c:v>
                </c:pt>
                <c:pt idx="912">
                  <c:v>45475</c:v>
                </c:pt>
                <c:pt idx="913">
                  <c:v>45476</c:v>
                </c:pt>
                <c:pt idx="914">
                  <c:v>45477</c:v>
                </c:pt>
                <c:pt idx="915">
                  <c:v>45478</c:v>
                </c:pt>
                <c:pt idx="916">
                  <c:v>45481</c:v>
                </c:pt>
                <c:pt idx="917">
                  <c:v>45482</c:v>
                </c:pt>
                <c:pt idx="918">
                  <c:v>45483</c:v>
                </c:pt>
                <c:pt idx="919">
                  <c:v>45484</c:v>
                </c:pt>
                <c:pt idx="920">
                  <c:v>45485</c:v>
                </c:pt>
                <c:pt idx="921">
                  <c:v>45488</c:v>
                </c:pt>
                <c:pt idx="922">
                  <c:v>45489</c:v>
                </c:pt>
                <c:pt idx="923">
                  <c:v>45490</c:v>
                </c:pt>
                <c:pt idx="924">
                  <c:v>45491</c:v>
                </c:pt>
                <c:pt idx="925">
                  <c:v>45492</c:v>
                </c:pt>
                <c:pt idx="926">
                  <c:v>45495</c:v>
                </c:pt>
                <c:pt idx="927">
                  <c:v>45496</c:v>
                </c:pt>
                <c:pt idx="928">
                  <c:v>45497</c:v>
                </c:pt>
                <c:pt idx="929">
                  <c:v>45498</c:v>
                </c:pt>
                <c:pt idx="930">
                  <c:v>45499</c:v>
                </c:pt>
                <c:pt idx="931">
                  <c:v>45502</c:v>
                </c:pt>
                <c:pt idx="932">
                  <c:v>45503</c:v>
                </c:pt>
                <c:pt idx="933">
                  <c:v>45504</c:v>
                </c:pt>
                <c:pt idx="934">
                  <c:v>45505</c:v>
                </c:pt>
                <c:pt idx="935">
                  <c:v>45506</c:v>
                </c:pt>
                <c:pt idx="936">
                  <c:v>45509</c:v>
                </c:pt>
                <c:pt idx="937">
                  <c:v>45510</c:v>
                </c:pt>
                <c:pt idx="938">
                  <c:v>45511</c:v>
                </c:pt>
                <c:pt idx="939">
                  <c:v>45512</c:v>
                </c:pt>
                <c:pt idx="940">
                  <c:v>45513</c:v>
                </c:pt>
                <c:pt idx="941">
                  <c:v>45516</c:v>
                </c:pt>
                <c:pt idx="942">
                  <c:v>45517</c:v>
                </c:pt>
                <c:pt idx="943">
                  <c:v>45518</c:v>
                </c:pt>
                <c:pt idx="944">
                  <c:v>45519</c:v>
                </c:pt>
                <c:pt idx="945">
                  <c:v>45520</c:v>
                </c:pt>
                <c:pt idx="946">
                  <c:v>45523</c:v>
                </c:pt>
                <c:pt idx="947">
                  <c:v>45524</c:v>
                </c:pt>
                <c:pt idx="948">
                  <c:v>45525</c:v>
                </c:pt>
                <c:pt idx="949">
                  <c:v>45526</c:v>
                </c:pt>
                <c:pt idx="950">
                  <c:v>45527</c:v>
                </c:pt>
                <c:pt idx="951">
                  <c:v>45530</c:v>
                </c:pt>
                <c:pt idx="952">
                  <c:v>45531</c:v>
                </c:pt>
                <c:pt idx="953">
                  <c:v>45532</c:v>
                </c:pt>
                <c:pt idx="954">
                  <c:v>45533</c:v>
                </c:pt>
                <c:pt idx="955">
                  <c:v>45534</c:v>
                </c:pt>
                <c:pt idx="956">
                  <c:v>45537</c:v>
                </c:pt>
                <c:pt idx="957">
                  <c:v>45538</c:v>
                </c:pt>
                <c:pt idx="958">
                  <c:v>45539</c:v>
                </c:pt>
                <c:pt idx="959">
                  <c:v>45540</c:v>
                </c:pt>
                <c:pt idx="960">
                  <c:v>45541</c:v>
                </c:pt>
                <c:pt idx="961">
                  <c:v>45544</c:v>
                </c:pt>
                <c:pt idx="962">
                  <c:v>45545</c:v>
                </c:pt>
                <c:pt idx="963">
                  <c:v>45546</c:v>
                </c:pt>
                <c:pt idx="964">
                  <c:v>45547</c:v>
                </c:pt>
                <c:pt idx="965">
                  <c:v>45548</c:v>
                </c:pt>
                <c:pt idx="966">
                  <c:v>45551</c:v>
                </c:pt>
                <c:pt idx="967">
                  <c:v>45552</c:v>
                </c:pt>
                <c:pt idx="968">
                  <c:v>45553</c:v>
                </c:pt>
                <c:pt idx="969">
                  <c:v>45554</c:v>
                </c:pt>
                <c:pt idx="970">
                  <c:v>45555</c:v>
                </c:pt>
                <c:pt idx="971">
                  <c:v>45558</c:v>
                </c:pt>
                <c:pt idx="972">
                  <c:v>45559</c:v>
                </c:pt>
                <c:pt idx="973">
                  <c:v>45560</c:v>
                </c:pt>
                <c:pt idx="974">
                  <c:v>45561</c:v>
                </c:pt>
                <c:pt idx="975">
                  <c:v>45562</c:v>
                </c:pt>
                <c:pt idx="976">
                  <c:v>45565</c:v>
                </c:pt>
                <c:pt idx="977">
                  <c:v>45566</c:v>
                </c:pt>
                <c:pt idx="978">
                  <c:v>45567</c:v>
                </c:pt>
                <c:pt idx="979">
                  <c:v>45568</c:v>
                </c:pt>
                <c:pt idx="980">
                  <c:v>45569</c:v>
                </c:pt>
                <c:pt idx="981">
                  <c:v>45572</c:v>
                </c:pt>
                <c:pt idx="982">
                  <c:v>45573</c:v>
                </c:pt>
                <c:pt idx="983">
                  <c:v>45574</c:v>
                </c:pt>
                <c:pt idx="984">
                  <c:v>45575</c:v>
                </c:pt>
                <c:pt idx="985">
                  <c:v>45576</c:v>
                </c:pt>
                <c:pt idx="986">
                  <c:v>45579</c:v>
                </c:pt>
                <c:pt idx="987">
                  <c:v>45580</c:v>
                </c:pt>
                <c:pt idx="988">
                  <c:v>45581</c:v>
                </c:pt>
                <c:pt idx="989">
                  <c:v>45582</c:v>
                </c:pt>
                <c:pt idx="990">
                  <c:v>45583</c:v>
                </c:pt>
                <c:pt idx="991">
                  <c:v>45586</c:v>
                </c:pt>
                <c:pt idx="992">
                  <c:v>45587</c:v>
                </c:pt>
                <c:pt idx="993">
                  <c:v>45588</c:v>
                </c:pt>
                <c:pt idx="994">
                  <c:v>45589</c:v>
                </c:pt>
                <c:pt idx="995">
                  <c:v>45590</c:v>
                </c:pt>
                <c:pt idx="996">
                  <c:v>45593</c:v>
                </c:pt>
                <c:pt idx="997">
                  <c:v>45594</c:v>
                </c:pt>
                <c:pt idx="998">
                  <c:v>45595</c:v>
                </c:pt>
                <c:pt idx="999">
                  <c:v>45596</c:v>
                </c:pt>
                <c:pt idx="1000">
                  <c:v>45597</c:v>
                </c:pt>
                <c:pt idx="1001">
                  <c:v>45600</c:v>
                </c:pt>
                <c:pt idx="1002">
                  <c:v>45601</c:v>
                </c:pt>
                <c:pt idx="1003">
                  <c:v>45602</c:v>
                </c:pt>
                <c:pt idx="1004">
                  <c:v>45603</c:v>
                </c:pt>
                <c:pt idx="1005">
                  <c:v>45604</c:v>
                </c:pt>
                <c:pt idx="1006">
                  <c:v>45607</c:v>
                </c:pt>
                <c:pt idx="1007">
                  <c:v>45608</c:v>
                </c:pt>
                <c:pt idx="1008">
                  <c:v>45609</c:v>
                </c:pt>
                <c:pt idx="1009">
                  <c:v>45610</c:v>
                </c:pt>
                <c:pt idx="1010">
                  <c:v>45611</c:v>
                </c:pt>
                <c:pt idx="1011">
                  <c:v>45614</c:v>
                </c:pt>
                <c:pt idx="1012">
                  <c:v>45615</c:v>
                </c:pt>
                <c:pt idx="1013">
                  <c:v>45616</c:v>
                </c:pt>
                <c:pt idx="1014">
                  <c:v>45617</c:v>
                </c:pt>
                <c:pt idx="1015">
                  <c:v>45618</c:v>
                </c:pt>
                <c:pt idx="1016">
                  <c:v>45621</c:v>
                </c:pt>
                <c:pt idx="1017">
                  <c:v>45622</c:v>
                </c:pt>
                <c:pt idx="1018">
                  <c:v>45623</c:v>
                </c:pt>
                <c:pt idx="1019">
                  <c:v>45624</c:v>
                </c:pt>
                <c:pt idx="1020">
                  <c:v>45625</c:v>
                </c:pt>
                <c:pt idx="1021">
                  <c:v>45628</c:v>
                </c:pt>
                <c:pt idx="1022">
                  <c:v>45629</c:v>
                </c:pt>
                <c:pt idx="1023">
                  <c:v>45630</c:v>
                </c:pt>
                <c:pt idx="1024">
                  <c:v>45631</c:v>
                </c:pt>
                <c:pt idx="1025">
                  <c:v>45632</c:v>
                </c:pt>
                <c:pt idx="1026">
                  <c:v>45635</c:v>
                </c:pt>
                <c:pt idx="1027">
                  <c:v>45636</c:v>
                </c:pt>
                <c:pt idx="1028">
                  <c:v>45637</c:v>
                </c:pt>
                <c:pt idx="1029">
                  <c:v>45638</c:v>
                </c:pt>
                <c:pt idx="1030">
                  <c:v>45639</c:v>
                </c:pt>
                <c:pt idx="1031">
                  <c:v>45642</c:v>
                </c:pt>
                <c:pt idx="1032">
                  <c:v>45643</c:v>
                </c:pt>
                <c:pt idx="1033">
                  <c:v>45644</c:v>
                </c:pt>
                <c:pt idx="1034">
                  <c:v>45645</c:v>
                </c:pt>
                <c:pt idx="1035">
                  <c:v>45646</c:v>
                </c:pt>
                <c:pt idx="1036">
                  <c:v>45649</c:v>
                </c:pt>
                <c:pt idx="1037">
                  <c:v>45650</c:v>
                </c:pt>
                <c:pt idx="1038">
                  <c:v>45651</c:v>
                </c:pt>
                <c:pt idx="1039">
                  <c:v>45652</c:v>
                </c:pt>
                <c:pt idx="1040">
                  <c:v>45653</c:v>
                </c:pt>
                <c:pt idx="1041">
                  <c:v>45656</c:v>
                </c:pt>
                <c:pt idx="1042">
                  <c:v>45657</c:v>
                </c:pt>
                <c:pt idx="1043">
                  <c:v>45658</c:v>
                </c:pt>
                <c:pt idx="1044">
                  <c:v>45659</c:v>
                </c:pt>
                <c:pt idx="1045">
                  <c:v>45660</c:v>
                </c:pt>
                <c:pt idx="1046">
                  <c:v>45663</c:v>
                </c:pt>
                <c:pt idx="1047">
                  <c:v>45664</c:v>
                </c:pt>
                <c:pt idx="1048">
                  <c:v>45665</c:v>
                </c:pt>
                <c:pt idx="1049">
                  <c:v>45666</c:v>
                </c:pt>
                <c:pt idx="1050">
                  <c:v>45667</c:v>
                </c:pt>
                <c:pt idx="1051">
                  <c:v>45670</c:v>
                </c:pt>
                <c:pt idx="1052">
                  <c:v>45671</c:v>
                </c:pt>
                <c:pt idx="1053">
                  <c:v>45672</c:v>
                </c:pt>
                <c:pt idx="1054">
                  <c:v>45673</c:v>
                </c:pt>
                <c:pt idx="1055">
                  <c:v>45674</c:v>
                </c:pt>
                <c:pt idx="1056">
                  <c:v>45677</c:v>
                </c:pt>
                <c:pt idx="1057">
                  <c:v>45678</c:v>
                </c:pt>
                <c:pt idx="1058">
                  <c:v>45679</c:v>
                </c:pt>
                <c:pt idx="1059">
                  <c:v>45680</c:v>
                </c:pt>
                <c:pt idx="1060">
                  <c:v>45681</c:v>
                </c:pt>
                <c:pt idx="1061">
                  <c:v>45684</c:v>
                </c:pt>
                <c:pt idx="1062">
                  <c:v>45685</c:v>
                </c:pt>
                <c:pt idx="1063">
                  <c:v>45686</c:v>
                </c:pt>
                <c:pt idx="1064">
                  <c:v>45687</c:v>
                </c:pt>
                <c:pt idx="1065">
                  <c:v>45688</c:v>
                </c:pt>
                <c:pt idx="1066">
                  <c:v>45691</c:v>
                </c:pt>
                <c:pt idx="1067">
                  <c:v>45692</c:v>
                </c:pt>
                <c:pt idx="1068">
                  <c:v>45693</c:v>
                </c:pt>
                <c:pt idx="1069">
                  <c:v>45694</c:v>
                </c:pt>
                <c:pt idx="1070">
                  <c:v>45695</c:v>
                </c:pt>
                <c:pt idx="1071">
                  <c:v>45698</c:v>
                </c:pt>
                <c:pt idx="1072">
                  <c:v>45699</c:v>
                </c:pt>
                <c:pt idx="1073">
                  <c:v>45700</c:v>
                </c:pt>
                <c:pt idx="1074">
                  <c:v>45701</c:v>
                </c:pt>
                <c:pt idx="1075">
                  <c:v>45702</c:v>
                </c:pt>
                <c:pt idx="1076">
                  <c:v>45705</c:v>
                </c:pt>
                <c:pt idx="1077">
                  <c:v>45706</c:v>
                </c:pt>
                <c:pt idx="1078">
                  <c:v>45707</c:v>
                </c:pt>
                <c:pt idx="1079">
                  <c:v>45708</c:v>
                </c:pt>
                <c:pt idx="1080">
                  <c:v>45709</c:v>
                </c:pt>
                <c:pt idx="1081">
                  <c:v>45712</c:v>
                </c:pt>
                <c:pt idx="1082">
                  <c:v>45713</c:v>
                </c:pt>
                <c:pt idx="1083">
                  <c:v>45714</c:v>
                </c:pt>
                <c:pt idx="1084">
                  <c:v>45715</c:v>
                </c:pt>
                <c:pt idx="1085">
                  <c:v>45716</c:v>
                </c:pt>
                <c:pt idx="1086">
                  <c:v>45719</c:v>
                </c:pt>
                <c:pt idx="1087">
                  <c:v>45720</c:v>
                </c:pt>
                <c:pt idx="1088">
                  <c:v>45721</c:v>
                </c:pt>
                <c:pt idx="1089">
                  <c:v>45722</c:v>
                </c:pt>
                <c:pt idx="1090">
                  <c:v>45723</c:v>
                </c:pt>
                <c:pt idx="1091">
                  <c:v>45726</c:v>
                </c:pt>
                <c:pt idx="1092">
                  <c:v>45727</c:v>
                </c:pt>
                <c:pt idx="1093">
                  <c:v>45728</c:v>
                </c:pt>
                <c:pt idx="1094">
                  <c:v>45729</c:v>
                </c:pt>
                <c:pt idx="1095">
                  <c:v>45730</c:v>
                </c:pt>
                <c:pt idx="1096">
                  <c:v>45733</c:v>
                </c:pt>
                <c:pt idx="1097">
                  <c:v>45734</c:v>
                </c:pt>
                <c:pt idx="1098">
                  <c:v>45735</c:v>
                </c:pt>
                <c:pt idx="1099">
                  <c:v>45736</c:v>
                </c:pt>
                <c:pt idx="1100">
                  <c:v>45737</c:v>
                </c:pt>
                <c:pt idx="1101">
                  <c:v>45740</c:v>
                </c:pt>
                <c:pt idx="1102">
                  <c:v>45741</c:v>
                </c:pt>
                <c:pt idx="1103">
                  <c:v>45742</c:v>
                </c:pt>
                <c:pt idx="1104">
                  <c:v>45743</c:v>
                </c:pt>
                <c:pt idx="1105">
                  <c:v>45744</c:v>
                </c:pt>
                <c:pt idx="1106">
                  <c:v>45747</c:v>
                </c:pt>
                <c:pt idx="1107">
                  <c:v>45748</c:v>
                </c:pt>
                <c:pt idx="1108">
                  <c:v>45749</c:v>
                </c:pt>
                <c:pt idx="1109">
                  <c:v>45750</c:v>
                </c:pt>
                <c:pt idx="1110">
                  <c:v>45751</c:v>
                </c:pt>
                <c:pt idx="1111">
                  <c:v>45754</c:v>
                </c:pt>
                <c:pt idx="1112">
                  <c:v>45755</c:v>
                </c:pt>
                <c:pt idx="1113">
                  <c:v>45756</c:v>
                </c:pt>
                <c:pt idx="1114">
                  <c:v>45757</c:v>
                </c:pt>
                <c:pt idx="1115">
                  <c:v>45758</c:v>
                </c:pt>
                <c:pt idx="1116">
                  <c:v>45761</c:v>
                </c:pt>
                <c:pt idx="1117">
                  <c:v>45762</c:v>
                </c:pt>
                <c:pt idx="1118">
                  <c:v>45763</c:v>
                </c:pt>
                <c:pt idx="1119">
                  <c:v>45764</c:v>
                </c:pt>
                <c:pt idx="1120">
                  <c:v>45765</c:v>
                </c:pt>
                <c:pt idx="1121">
                  <c:v>45768</c:v>
                </c:pt>
                <c:pt idx="1122">
                  <c:v>45769</c:v>
                </c:pt>
                <c:pt idx="1123">
                  <c:v>45770</c:v>
                </c:pt>
                <c:pt idx="1124">
                  <c:v>45771</c:v>
                </c:pt>
                <c:pt idx="1125">
                  <c:v>45772</c:v>
                </c:pt>
                <c:pt idx="1126">
                  <c:v>45775</c:v>
                </c:pt>
                <c:pt idx="1127">
                  <c:v>45776</c:v>
                </c:pt>
                <c:pt idx="1128">
                  <c:v>45777</c:v>
                </c:pt>
                <c:pt idx="1129">
                  <c:v>45778</c:v>
                </c:pt>
                <c:pt idx="1130">
                  <c:v>45779</c:v>
                </c:pt>
                <c:pt idx="1131">
                  <c:v>45782</c:v>
                </c:pt>
                <c:pt idx="1132">
                  <c:v>45783</c:v>
                </c:pt>
                <c:pt idx="1133">
                  <c:v>45784</c:v>
                </c:pt>
                <c:pt idx="1134">
                  <c:v>45785</c:v>
                </c:pt>
                <c:pt idx="1135">
                  <c:v>45786</c:v>
                </c:pt>
                <c:pt idx="1136">
                  <c:v>45789</c:v>
                </c:pt>
                <c:pt idx="1137">
                  <c:v>45790</c:v>
                </c:pt>
                <c:pt idx="1138">
                  <c:v>45791</c:v>
                </c:pt>
                <c:pt idx="1139">
                  <c:v>45792</c:v>
                </c:pt>
                <c:pt idx="1140">
                  <c:v>45793</c:v>
                </c:pt>
                <c:pt idx="1141">
                  <c:v>45796</c:v>
                </c:pt>
                <c:pt idx="1142">
                  <c:v>45797</c:v>
                </c:pt>
                <c:pt idx="1143">
                  <c:v>45798</c:v>
                </c:pt>
                <c:pt idx="1144">
                  <c:v>45799</c:v>
                </c:pt>
                <c:pt idx="1145">
                  <c:v>45800</c:v>
                </c:pt>
                <c:pt idx="1146">
                  <c:v>45803</c:v>
                </c:pt>
                <c:pt idx="1147">
                  <c:v>45804</c:v>
                </c:pt>
                <c:pt idx="1148">
                  <c:v>45805</c:v>
                </c:pt>
                <c:pt idx="1149">
                  <c:v>45806</c:v>
                </c:pt>
                <c:pt idx="1150">
                  <c:v>45807</c:v>
                </c:pt>
                <c:pt idx="1151">
                  <c:v>45810</c:v>
                </c:pt>
                <c:pt idx="1152">
                  <c:v>45811</c:v>
                </c:pt>
                <c:pt idx="1153">
                  <c:v>45812</c:v>
                </c:pt>
                <c:pt idx="1154">
                  <c:v>45813</c:v>
                </c:pt>
                <c:pt idx="1155">
                  <c:v>45814</c:v>
                </c:pt>
                <c:pt idx="1156">
                  <c:v>45817</c:v>
                </c:pt>
                <c:pt idx="1157">
                  <c:v>45818</c:v>
                </c:pt>
                <c:pt idx="1158">
                  <c:v>45819</c:v>
                </c:pt>
                <c:pt idx="1159">
                  <c:v>45820</c:v>
                </c:pt>
                <c:pt idx="1160">
                  <c:v>45821</c:v>
                </c:pt>
                <c:pt idx="1161">
                  <c:v>45824</c:v>
                </c:pt>
                <c:pt idx="1162">
                  <c:v>45825</c:v>
                </c:pt>
                <c:pt idx="1163">
                  <c:v>45826</c:v>
                </c:pt>
                <c:pt idx="1164">
                  <c:v>45827</c:v>
                </c:pt>
                <c:pt idx="1165">
                  <c:v>45828</c:v>
                </c:pt>
                <c:pt idx="1166">
                  <c:v>45831</c:v>
                </c:pt>
                <c:pt idx="1167">
                  <c:v>45832</c:v>
                </c:pt>
                <c:pt idx="1168">
                  <c:v>45833</c:v>
                </c:pt>
                <c:pt idx="1169">
                  <c:v>45834</c:v>
                </c:pt>
                <c:pt idx="1170">
                  <c:v>45835</c:v>
                </c:pt>
                <c:pt idx="1171">
                  <c:v>45838</c:v>
                </c:pt>
                <c:pt idx="1172">
                  <c:v>45839</c:v>
                </c:pt>
                <c:pt idx="1173">
                  <c:v>45840</c:v>
                </c:pt>
                <c:pt idx="1174">
                  <c:v>45841</c:v>
                </c:pt>
                <c:pt idx="1175">
                  <c:v>45842</c:v>
                </c:pt>
                <c:pt idx="1176">
                  <c:v>45845</c:v>
                </c:pt>
                <c:pt idx="1177">
                  <c:v>45846</c:v>
                </c:pt>
                <c:pt idx="1178">
                  <c:v>45847</c:v>
                </c:pt>
                <c:pt idx="1179">
                  <c:v>45848</c:v>
                </c:pt>
                <c:pt idx="1180">
                  <c:v>45849</c:v>
                </c:pt>
                <c:pt idx="1181">
                  <c:v>45852</c:v>
                </c:pt>
                <c:pt idx="1182">
                  <c:v>45853</c:v>
                </c:pt>
                <c:pt idx="1183">
                  <c:v>45854</c:v>
                </c:pt>
                <c:pt idx="1184">
                  <c:v>45855</c:v>
                </c:pt>
                <c:pt idx="1185">
                  <c:v>45856</c:v>
                </c:pt>
                <c:pt idx="1186">
                  <c:v>45859</c:v>
                </c:pt>
                <c:pt idx="1187">
                  <c:v>45860</c:v>
                </c:pt>
                <c:pt idx="1188">
                  <c:v>45861</c:v>
                </c:pt>
                <c:pt idx="1189">
                  <c:v>45862</c:v>
                </c:pt>
                <c:pt idx="1190">
                  <c:v>45863</c:v>
                </c:pt>
                <c:pt idx="1191">
                  <c:v>45866</c:v>
                </c:pt>
                <c:pt idx="1192">
                  <c:v>45867</c:v>
                </c:pt>
                <c:pt idx="1193">
                  <c:v>45868</c:v>
                </c:pt>
                <c:pt idx="1194">
                  <c:v>45869</c:v>
                </c:pt>
                <c:pt idx="1195">
                  <c:v>45870</c:v>
                </c:pt>
                <c:pt idx="1196">
                  <c:v>45873</c:v>
                </c:pt>
                <c:pt idx="1197">
                  <c:v>45874</c:v>
                </c:pt>
                <c:pt idx="1198">
                  <c:v>45875</c:v>
                </c:pt>
                <c:pt idx="1199">
                  <c:v>45876</c:v>
                </c:pt>
                <c:pt idx="1200">
                  <c:v>45877</c:v>
                </c:pt>
                <c:pt idx="1201">
                  <c:v>45880</c:v>
                </c:pt>
                <c:pt idx="1202">
                  <c:v>45881</c:v>
                </c:pt>
                <c:pt idx="1203">
                  <c:v>45882</c:v>
                </c:pt>
                <c:pt idx="1204">
                  <c:v>45883</c:v>
                </c:pt>
                <c:pt idx="1205">
                  <c:v>45884</c:v>
                </c:pt>
                <c:pt idx="1206">
                  <c:v>45887</c:v>
                </c:pt>
                <c:pt idx="1207">
                  <c:v>45888</c:v>
                </c:pt>
                <c:pt idx="1208">
                  <c:v>45889</c:v>
                </c:pt>
                <c:pt idx="1209">
                  <c:v>45890</c:v>
                </c:pt>
                <c:pt idx="1210">
                  <c:v>45891</c:v>
                </c:pt>
                <c:pt idx="1211">
                  <c:v>45894</c:v>
                </c:pt>
                <c:pt idx="1212">
                  <c:v>45895</c:v>
                </c:pt>
                <c:pt idx="1213">
                  <c:v>45896</c:v>
                </c:pt>
                <c:pt idx="1214">
                  <c:v>45897</c:v>
                </c:pt>
                <c:pt idx="1215">
                  <c:v>45898</c:v>
                </c:pt>
                <c:pt idx="1216">
                  <c:v>45901</c:v>
                </c:pt>
                <c:pt idx="1217">
                  <c:v>45902</c:v>
                </c:pt>
                <c:pt idx="1218">
                  <c:v>45903</c:v>
                </c:pt>
                <c:pt idx="1219">
                  <c:v>45904</c:v>
                </c:pt>
                <c:pt idx="1220">
                  <c:v>45905</c:v>
                </c:pt>
                <c:pt idx="1221">
                  <c:v>45908</c:v>
                </c:pt>
                <c:pt idx="1222">
                  <c:v>45909</c:v>
                </c:pt>
                <c:pt idx="1223">
                  <c:v>45910</c:v>
                </c:pt>
                <c:pt idx="1224">
                  <c:v>45911</c:v>
                </c:pt>
                <c:pt idx="1225">
                  <c:v>45912</c:v>
                </c:pt>
                <c:pt idx="1226">
                  <c:v>45915</c:v>
                </c:pt>
                <c:pt idx="1227">
                  <c:v>45916</c:v>
                </c:pt>
                <c:pt idx="1228">
                  <c:v>45917</c:v>
                </c:pt>
                <c:pt idx="1229">
                  <c:v>45918</c:v>
                </c:pt>
                <c:pt idx="1230">
                  <c:v>45919</c:v>
                </c:pt>
                <c:pt idx="1231">
                  <c:v>45922</c:v>
                </c:pt>
                <c:pt idx="1232">
                  <c:v>45923</c:v>
                </c:pt>
                <c:pt idx="1233">
                  <c:v>45924</c:v>
                </c:pt>
                <c:pt idx="1234">
                  <c:v>45925</c:v>
                </c:pt>
                <c:pt idx="1235">
                  <c:v>45926</c:v>
                </c:pt>
                <c:pt idx="1236">
                  <c:v>45929</c:v>
                </c:pt>
                <c:pt idx="1237">
                  <c:v>45930</c:v>
                </c:pt>
                <c:pt idx="1238">
                  <c:v>45931</c:v>
                </c:pt>
                <c:pt idx="1239">
                  <c:v>45932</c:v>
                </c:pt>
                <c:pt idx="1240">
                  <c:v>45933</c:v>
                </c:pt>
                <c:pt idx="1241">
                  <c:v>45936</c:v>
                </c:pt>
                <c:pt idx="1242">
                  <c:v>45937</c:v>
                </c:pt>
                <c:pt idx="1243">
                  <c:v>45938</c:v>
                </c:pt>
                <c:pt idx="1244">
                  <c:v>45939</c:v>
                </c:pt>
                <c:pt idx="1245">
                  <c:v>45940</c:v>
                </c:pt>
                <c:pt idx="1246">
                  <c:v>45943</c:v>
                </c:pt>
                <c:pt idx="1247">
                  <c:v>45944</c:v>
                </c:pt>
                <c:pt idx="1248">
                  <c:v>45945</c:v>
                </c:pt>
                <c:pt idx="1249">
                  <c:v>45946</c:v>
                </c:pt>
                <c:pt idx="1250">
                  <c:v>45947</c:v>
                </c:pt>
                <c:pt idx="1251">
                  <c:v>45950</c:v>
                </c:pt>
                <c:pt idx="1252">
                  <c:v>45951</c:v>
                </c:pt>
                <c:pt idx="1253">
                  <c:v>45952</c:v>
                </c:pt>
                <c:pt idx="1254">
                  <c:v>45953</c:v>
                </c:pt>
                <c:pt idx="1255">
                  <c:v>45954</c:v>
                </c:pt>
                <c:pt idx="1256">
                  <c:v>45957</c:v>
                </c:pt>
                <c:pt idx="1257">
                  <c:v>45958</c:v>
                </c:pt>
                <c:pt idx="1258">
                  <c:v>45959</c:v>
                </c:pt>
                <c:pt idx="1259">
                  <c:v>45960</c:v>
                </c:pt>
                <c:pt idx="1260">
                  <c:v>45961</c:v>
                </c:pt>
                <c:pt idx="1261">
                  <c:v>45964</c:v>
                </c:pt>
                <c:pt idx="1262">
                  <c:v>45965</c:v>
                </c:pt>
                <c:pt idx="1263">
                  <c:v>45966</c:v>
                </c:pt>
                <c:pt idx="1264">
                  <c:v>45967</c:v>
                </c:pt>
                <c:pt idx="1265">
                  <c:v>45968</c:v>
                </c:pt>
                <c:pt idx="1266">
                  <c:v>45971</c:v>
                </c:pt>
                <c:pt idx="1267">
                  <c:v>45972</c:v>
                </c:pt>
                <c:pt idx="1268">
                  <c:v>45973</c:v>
                </c:pt>
                <c:pt idx="1269">
                  <c:v>45974</c:v>
                </c:pt>
                <c:pt idx="1270">
                  <c:v>45975</c:v>
                </c:pt>
                <c:pt idx="1271">
                  <c:v>45978</c:v>
                </c:pt>
                <c:pt idx="1272">
                  <c:v>45979</c:v>
                </c:pt>
                <c:pt idx="1273">
                  <c:v>45980</c:v>
                </c:pt>
                <c:pt idx="1274">
                  <c:v>45981</c:v>
                </c:pt>
                <c:pt idx="1275">
                  <c:v>45982</c:v>
                </c:pt>
                <c:pt idx="1276">
                  <c:v>45985</c:v>
                </c:pt>
                <c:pt idx="1277">
                  <c:v>45986</c:v>
                </c:pt>
                <c:pt idx="1278">
                  <c:v>45987</c:v>
                </c:pt>
                <c:pt idx="1279">
                  <c:v>45988</c:v>
                </c:pt>
                <c:pt idx="1280">
                  <c:v>45989</c:v>
                </c:pt>
                <c:pt idx="1281">
                  <c:v>45992</c:v>
                </c:pt>
                <c:pt idx="1282">
                  <c:v>45993</c:v>
                </c:pt>
                <c:pt idx="1283">
                  <c:v>45994</c:v>
                </c:pt>
                <c:pt idx="1284">
                  <c:v>45995</c:v>
                </c:pt>
                <c:pt idx="1285">
                  <c:v>45996</c:v>
                </c:pt>
                <c:pt idx="1286">
                  <c:v>45999</c:v>
                </c:pt>
                <c:pt idx="1287">
                  <c:v>46000</c:v>
                </c:pt>
                <c:pt idx="1288">
                  <c:v>46001</c:v>
                </c:pt>
                <c:pt idx="1289">
                  <c:v>46002</c:v>
                </c:pt>
                <c:pt idx="1290">
                  <c:v>46003</c:v>
                </c:pt>
                <c:pt idx="1291">
                  <c:v>46006</c:v>
                </c:pt>
                <c:pt idx="1292">
                  <c:v>46007</c:v>
                </c:pt>
                <c:pt idx="1293">
                  <c:v>46008</c:v>
                </c:pt>
                <c:pt idx="1294">
                  <c:v>46009</c:v>
                </c:pt>
                <c:pt idx="1295">
                  <c:v>46010</c:v>
                </c:pt>
                <c:pt idx="1296">
                  <c:v>46013</c:v>
                </c:pt>
                <c:pt idx="1297">
                  <c:v>46014</c:v>
                </c:pt>
                <c:pt idx="1298">
                  <c:v>46015</c:v>
                </c:pt>
                <c:pt idx="1299">
                  <c:v>46016</c:v>
                </c:pt>
                <c:pt idx="1300">
                  <c:v>46017</c:v>
                </c:pt>
                <c:pt idx="1301">
                  <c:v>46020</c:v>
                </c:pt>
                <c:pt idx="1302">
                  <c:v>46021</c:v>
                </c:pt>
                <c:pt idx="1303">
                  <c:v>46022</c:v>
                </c:pt>
              </c:numCache>
            </c:numRef>
          </c:cat>
          <c:val>
            <c:numRef>
              <c:f>Statsformat!$C$9:$C$1312</c:f>
              <c:numCache>
                <c:formatCode>General</c:formatCode>
                <c:ptCount val="1304"/>
                <c:pt idx="0">
                  <c:v>10.046200000000001</c:v>
                </c:pt>
                <c:pt idx="1">
                  <c:v>10.0909</c:v>
                </c:pt>
                <c:pt idx="2">
                  <c:v>10.0761</c:v>
                </c:pt>
                <c:pt idx="3">
                  <c:v>10.0763</c:v>
                </c:pt>
                <c:pt idx="4">
                  <c:v>10.064</c:v>
                </c:pt>
                <c:pt idx="5">
                  <c:v>10.0517</c:v>
                </c:pt>
                <c:pt idx="6">
                  <c:v>10.075900000000001</c:v>
                </c:pt>
                <c:pt idx="7">
                  <c:v>10.075200000000001</c:v>
                </c:pt>
                <c:pt idx="8">
                  <c:v>10.1327</c:v>
                </c:pt>
                <c:pt idx="9">
                  <c:v>10.103199999999999</c:v>
                </c:pt>
                <c:pt idx="10">
                  <c:v>10.1347</c:v>
                </c:pt>
                <c:pt idx="11">
                  <c:v>10.1325</c:v>
                </c:pt>
                <c:pt idx="12">
                  <c:v>10.132400000000001</c:v>
                </c:pt>
                <c:pt idx="13">
                  <c:v>10.1088</c:v>
                </c:pt>
                <c:pt idx="14">
                  <c:v>10.0717</c:v>
                </c:pt>
                <c:pt idx="15">
                  <c:v>10.0969</c:v>
                </c:pt>
                <c:pt idx="16">
                  <c:v>10.0708</c:v>
                </c:pt>
                <c:pt idx="17">
                  <c:v>10.0883</c:v>
                </c:pt>
                <c:pt idx="18">
                  <c:v>10.1107</c:v>
                </c:pt>
                <c:pt idx="19">
                  <c:v>10.113099999999999</c:v>
                </c:pt>
                <c:pt idx="20">
                  <c:v>10.1198</c:v>
                </c:pt>
                <c:pt idx="21">
                  <c:v>10.175800000000001</c:v>
                </c:pt>
                <c:pt idx="22">
                  <c:v>10.1319</c:v>
                </c:pt>
                <c:pt idx="23">
                  <c:v>10.114599999999999</c:v>
                </c:pt>
                <c:pt idx="24">
                  <c:v>10.134</c:v>
                </c:pt>
                <c:pt idx="25">
                  <c:v>10.090199999999999</c:v>
                </c:pt>
                <c:pt idx="26">
                  <c:v>10.105600000000001</c:v>
                </c:pt>
                <c:pt idx="27">
                  <c:v>10.0898</c:v>
                </c:pt>
                <c:pt idx="28">
                  <c:v>10.0938</c:v>
                </c:pt>
                <c:pt idx="29">
                  <c:v>10.088200000000001</c:v>
                </c:pt>
                <c:pt idx="30">
                  <c:v>10.0761</c:v>
                </c:pt>
                <c:pt idx="31">
                  <c:v>10.037599999999999</c:v>
                </c:pt>
                <c:pt idx="32">
                  <c:v>10.037800000000001</c:v>
                </c:pt>
                <c:pt idx="33">
                  <c:v>10.0326</c:v>
                </c:pt>
                <c:pt idx="34">
                  <c:v>10.068199999999999</c:v>
                </c:pt>
                <c:pt idx="35">
                  <c:v>10.0334</c:v>
                </c:pt>
                <c:pt idx="36">
                  <c:v>10.042199999999999</c:v>
                </c:pt>
                <c:pt idx="37">
                  <c:v>10.0807</c:v>
                </c:pt>
                <c:pt idx="38">
                  <c:v>10.0748</c:v>
                </c:pt>
                <c:pt idx="39">
                  <c:v>10.072699999999999</c:v>
                </c:pt>
                <c:pt idx="40">
                  <c:v>10.194900000000001</c:v>
                </c:pt>
                <c:pt idx="41">
                  <c:v>10.1577</c:v>
                </c:pt>
                <c:pt idx="42">
                  <c:v>10.136799999999999</c:v>
                </c:pt>
                <c:pt idx="43">
                  <c:v>10.1439</c:v>
                </c:pt>
                <c:pt idx="44">
                  <c:v>10.158799999999999</c:v>
                </c:pt>
                <c:pt idx="45">
                  <c:v>10.177899999999999</c:v>
                </c:pt>
                <c:pt idx="46">
                  <c:v>10.168699999999999</c:v>
                </c:pt>
                <c:pt idx="47">
                  <c:v>10.120900000000001</c:v>
                </c:pt>
                <c:pt idx="48">
                  <c:v>10.1309</c:v>
                </c:pt>
                <c:pt idx="49">
                  <c:v>10.1311</c:v>
                </c:pt>
                <c:pt idx="50">
                  <c:v>10.137</c:v>
                </c:pt>
                <c:pt idx="51">
                  <c:v>10.167400000000001</c:v>
                </c:pt>
                <c:pt idx="52">
                  <c:v>10.135300000000001</c:v>
                </c:pt>
                <c:pt idx="53">
                  <c:v>10.138400000000001</c:v>
                </c:pt>
                <c:pt idx="54">
                  <c:v>10.155200000000001</c:v>
                </c:pt>
                <c:pt idx="55">
                  <c:v>10.1759</c:v>
                </c:pt>
                <c:pt idx="56">
                  <c:v>10.1569</c:v>
                </c:pt>
                <c:pt idx="57">
                  <c:v>10.171200000000001</c:v>
                </c:pt>
                <c:pt idx="58">
                  <c:v>10.167899999999999</c:v>
                </c:pt>
                <c:pt idx="59">
                  <c:v>10.2082</c:v>
                </c:pt>
                <c:pt idx="60">
                  <c:v>10.2005</c:v>
                </c:pt>
                <c:pt idx="61">
                  <c:v>10.2418</c:v>
                </c:pt>
                <c:pt idx="62">
                  <c:v>10.2613</c:v>
                </c:pt>
                <c:pt idx="63">
                  <c:v>10.2479</c:v>
                </c:pt>
                <c:pt idx="64">
                  <c:v>10.2592</c:v>
                </c:pt>
                <c:pt idx="65">
                  <c:v>10.266299999999999</c:v>
                </c:pt>
                <c:pt idx="66">
                  <c:v>10.275499999999999</c:v>
                </c:pt>
                <c:pt idx="67">
                  <c:v>10.2401</c:v>
                </c:pt>
                <c:pt idx="68">
                  <c:v>10.232900000000001</c:v>
                </c:pt>
                <c:pt idx="69">
                  <c:v>10.1851</c:v>
                </c:pt>
                <c:pt idx="70">
                  <c:v>10.164300000000001</c:v>
                </c:pt>
                <c:pt idx="71">
                  <c:v>10.207800000000001</c:v>
                </c:pt>
                <c:pt idx="72">
                  <c:v>10.1797</c:v>
                </c:pt>
                <c:pt idx="73">
                  <c:v>10.127800000000001</c:v>
                </c:pt>
                <c:pt idx="74">
                  <c:v>10.116099999999999</c:v>
                </c:pt>
                <c:pt idx="75">
                  <c:v>10.1135</c:v>
                </c:pt>
                <c:pt idx="76">
                  <c:v>10.1066</c:v>
                </c:pt>
                <c:pt idx="77">
                  <c:v>10.142300000000001</c:v>
                </c:pt>
                <c:pt idx="78">
                  <c:v>10.1257</c:v>
                </c:pt>
                <c:pt idx="79">
                  <c:v>10.1288</c:v>
                </c:pt>
                <c:pt idx="80">
                  <c:v>10.1381</c:v>
                </c:pt>
                <c:pt idx="81">
                  <c:v>10.129300000000001</c:v>
                </c:pt>
                <c:pt idx="82">
                  <c:v>10.122299999999999</c:v>
                </c:pt>
                <c:pt idx="83">
                  <c:v>10.115399999999999</c:v>
                </c:pt>
                <c:pt idx="84">
                  <c:v>10.1341</c:v>
                </c:pt>
                <c:pt idx="85">
                  <c:v>10.1776</c:v>
                </c:pt>
                <c:pt idx="86">
                  <c:v>10.160600000000001</c:v>
                </c:pt>
                <c:pt idx="87">
                  <c:v>10.1882</c:v>
                </c:pt>
                <c:pt idx="88">
                  <c:v>10.191599999999999</c:v>
                </c:pt>
                <c:pt idx="89">
                  <c:v>10.179</c:v>
                </c:pt>
                <c:pt idx="90">
                  <c:v>10.1104</c:v>
                </c:pt>
                <c:pt idx="91">
                  <c:v>10.121700000000001</c:v>
                </c:pt>
                <c:pt idx="92">
                  <c:v>10.106</c:v>
                </c:pt>
                <c:pt idx="93">
                  <c:v>10.1541</c:v>
                </c:pt>
                <c:pt idx="94">
                  <c:v>10.159000000000001</c:v>
                </c:pt>
                <c:pt idx="95">
                  <c:v>10.125999999999999</c:v>
                </c:pt>
                <c:pt idx="96">
                  <c:v>10.1296</c:v>
                </c:pt>
                <c:pt idx="97">
                  <c:v>10.125500000000001</c:v>
                </c:pt>
                <c:pt idx="98">
                  <c:v>10.184799999999999</c:v>
                </c:pt>
                <c:pt idx="99">
                  <c:v>10.1616</c:v>
                </c:pt>
                <c:pt idx="100">
                  <c:v>10.1358</c:v>
                </c:pt>
                <c:pt idx="101">
                  <c:v>10.163600000000001</c:v>
                </c:pt>
                <c:pt idx="102">
                  <c:v>10.1195</c:v>
                </c:pt>
                <c:pt idx="103">
                  <c:v>10.150499999999999</c:v>
                </c:pt>
                <c:pt idx="104">
                  <c:v>10.111800000000001</c:v>
                </c:pt>
                <c:pt idx="105">
                  <c:v>10.1381</c:v>
                </c:pt>
                <c:pt idx="106">
                  <c:v>10.1341</c:v>
                </c:pt>
                <c:pt idx="107">
                  <c:v>10.104799999999999</c:v>
                </c:pt>
                <c:pt idx="108">
                  <c:v>10.095700000000001</c:v>
                </c:pt>
                <c:pt idx="109">
                  <c:v>10.113300000000001</c:v>
                </c:pt>
                <c:pt idx="110">
                  <c:v>10.076700000000001</c:v>
                </c:pt>
                <c:pt idx="111">
                  <c:v>10.0726</c:v>
                </c:pt>
                <c:pt idx="112">
                  <c:v>10.0731</c:v>
                </c:pt>
                <c:pt idx="113">
                  <c:v>10.068899999999999</c:v>
                </c:pt>
                <c:pt idx="114">
                  <c:v>10.0534</c:v>
                </c:pt>
                <c:pt idx="115">
                  <c:v>10.0739</c:v>
                </c:pt>
                <c:pt idx="116">
                  <c:v>10.0938</c:v>
                </c:pt>
                <c:pt idx="117">
                  <c:v>10.1037</c:v>
                </c:pt>
                <c:pt idx="118">
                  <c:v>10.138500000000001</c:v>
                </c:pt>
                <c:pt idx="119">
                  <c:v>10.166399999999999</c:v>
                </c:pt>
                <c:pt idx="120">
                  <c:v>10.239599999999999</c:v>
                </c:pt>
                <c:pt idx="121">
                  <c:v>10.1843</c:v>
                </c:pt>
                <c:pt idx="122">
                  <c:v>10.1439</c:v>
                </c:pt>
                <c:pt idx="123">
                  <c:v>10.1286</c:v>
                </c:pt>
                <c:pt idx="124">
                  <c:v>10.103899999999999</c:v>
                </c:pt>
                <c:pt idx="125">
                  <c:v>10.120200000000001</c:v>
                </c:pt>
                <c:pt idx="126">
                  <c:v>10.1553</c:v>
                </c:pt>
                <c:pt idx="127">
                  <c:v>10.147500000000001</c:v>
                </c:pt>
                <c:pt idx="128">
                  <c:v>10.138400000000001</c:v>
                </c:pt>
                <c:pt idx="129">
                  <c:v>10.1678</c:v>
                </c:pt>
                <c:pt idx="130">
                  <c:v>10.1447</c:v>
                </c:pt>
                <c:pt idx="131">
                  <c:v>10.141999999999999</c:v>
                </c:pt>
                <c:pt idx="132">
                  <c:v>10.145899999999999</c:v>
                </c:pt>
                <c:pt idx="133">
                  <c:v>10.190799999999999</c:v>
                </c:pt>
                <c:pt idx="134">
                  <c:v>10.171799999999999</c:v>
                </c:pt>
                <c:pt idx="135">
                  <c:v>10.1806</c:v>
                </c:pt>
                <c:pt idx="136">
                  <c:v>10.1645</c:v>
                </c:pt>
                <c:pt idx="137">
                  <c:v>10.197100000000001</c:v>
                </c:pt>
                <c:pt idx="138">
                  <c:v>10.192399999999999</c:v>
                </c:pt>
                <c:pt idx="139">
                  <c:v>10.2338</c:v>
                </c:pt>
                <c:pt idx="140">
                  <c:v>10.2471</c:v>
                </c:pt>
                <c:pt idx="141">
                  <c:v>10.2583</c:v>
                </c:pt>
                <c:pt idx="142">
                  <c:v>10.2521</c:v>
                </c:pt>
                <c:pt idx="143">
                  <c:v>10.2522</c:v>
                </c:pt>
                <c:pt idx="144">
                  <c:v>10.2157</c:v>
                </c:pt>
                <c:pt idx="145">
                  <c:v>10.229900000000001</c:v>
                </c:pt>
                <c:pt idx="146">
                  <c:v>10.1881</c:v>
                </c:pt>
                <c:pt idx="147">
                  <c:v>10.1799</c:v>
                </c:pt>
                <c:pt idx="148">
                  <c:v>10.1851</c:v>
                </c:pt>
                <c:pt idx="149">
                  <c:v>10.159700000000001</c:v>
                </c:pt>
                <c:pt idx="150">
                  <c:v>10.201000000000001</c:v>
                </c:pt>
                <c:pt idx="151">
                  <c:v>10.1854</c:v>
                </c:pt>
                <c:pt idx="152">
                  <c:v>10.2064</c:v>
                </c:pt>
                <c:pt idx="153">
                  <c:v>10.186500000000001</c:v>
                </c:pt>
                <c:pt idx="154">
                  <c:v>10.1867</c:v>
                </c:pt>
                <c:pt idx="155">
                  <c:v>10.1869</c:v>
                </c:pt>
                <c:pt idx="156">
                  <c:v>10.223599999999999</c:v>
                </c:pt>
                <c:pt idx="157">
                  <c:v>10.211499999999999</c:v>
                </c:pt>
                <c:pt idx="158">
                  <c:v>10.200799999999999</c:v>
                </c:pt>
                <c:pt idx="159">
                  <c:v>10.193300000000001</c:v>
                </c:pt>
                <c:pt idx="160">
                  <c:v>10.1967</c:v>
                </c:pt>
                <c:pt idx="161">
                  <c:v>10.197699999999999</c:v>
                </c:pt>
                <c:pt idx="162">
                  <c:v>10.2288</c:v>
                </c:pt>
                <c:pt idx="163">
                  <c:v>10.2133</c:v>
                </c:pt>
                <c:pt idx="164">
                  <c:v>10.2903</c:v>
                </c:pt>
                <c:pt idx="165">
                  <c:v>10.305300000000001</c:v>
                </c:pt>
                <c:pt idx="166">
                  <c:v>10.2316</c:v>
                </c:pt>
                <c:pt idx="167">
                  <c:v>10.2103</c:v>
                </c:pt>
                <c:pt idx="168">
                  <c:v>10.228199999999999</c:v>
                </c:pt>
                <c:pt idx="169">
                  <c:v>10.2494</c:v>
                </c:pt>
                <c:pt idx="170">
                  <c:v>10.1951</c:v>
                </c:pt>
                <c:pt idx="171">
                  <c:v>10.1663</c:v>
                </c:pt>
                <c:pt idx="172">
                  <c:v>10.1936</c:v>
                </c:pt>
                <c:pt idx="173">
                  <c:v>10.1945</c:v>
                </c:pt>
                <c:pt idx="174">
                  <c:v>10.175800000000001</c:v>
                </c:pt>
                <c:pt idx="175">
                  <c:v>10.1616</c:v>
                </c:pt>
                <c:pt idx="176">
                  <c:v>10.167199999999999</c:v>
                </c:pt>
                <c:pt idx="177">
                  <c:v>10.1623</c:v>
                </c:pt>
                <c:pt idx="178">
                  <c:v>10.165100000000001</c:v>
                </c:pt>
                <c:pt idx="179">
                  <c:v>10.1783</c:v>
                </c:pt>
                <c:pt idx="180">
                  <c:v>10.186999999999999</c:v>
                </c:pt>
                <c:pt idx="181">
                  <c:v>10.164</c:v>
                </c:pt>
                <c:pt idx="182">
                  <c:v>10.158799999999999</c:v>
                </c:pt>
                <c:pt idx="183">
                  <c:v>10.134499999999999</c:v>
                </c:pt>
                <c:pt idx="184">
                  <c:v>10.162100000000001</c:v>
                </c:pt>
                <c:pt idx="185">
                  <c:v>10.193</c:v>
                </c:pt>
                <c:pt idx="186">
                  <c:v>10.2033</c:v>
                </c:pt>
                <c:pt idx="187">
                  <c:v>10.1753</c:v>
                </c:pt>
                <c:pt idx="188">
                  <c:v>10.154999999999999</c:v>
                </c:pt>
                <c:pt idx="189">
                  <c:v>10.1282</c:v>
                </c:pt>
                <c:pt idx="190">
                  <c:v>10.142099999999999</c:v>
                </c:pt>
                <c:pt idx="191">
                  <c:v>10.1755</c:v>
                </c:pt>
                <c:pt idx="192">
                  <c:v>10.209</c:v>
                </c:pt>
                <c:pt idx="193">
                  <c:v>10.1982</c:v>
                </c:pt>
                <c:pt idx="194">
                  <c:v>10.143599999999999</c:v>
                </c:pt>
                <c:pt idx="195">
                  <c:v>10.164400000000001</c:v>
                </c:pt>
                <c:pt idx="196">
                  <c:v>10.141999999999999</c:v>
                </c:pt>
                <c:pt idx="197">
                  <c:v>10.1302</c:v>
                </c:pt>
                <c:pt idx="198">
                  <c:v>10.1653</c:v>
                </c:pt>
                <c:pt idx="199">
                  <c:v>10.1487</c:v>
                </c:pt>
                <c:pt idx="200">
                  <c:v>10.1096</c:v>
                </c:pt>
                <c:pt idx="201">
                  <c:v>10.1167</c:v>
                </c:pt>
                <c:pt idx="202">
                  <c:v>10.1248</c:v>
                </c:pt>
                <c:pt idx="203">
                  <c:v>10.092000000000001</c:v>
                </c:pt>
                <c:pt idx="204">
                  <c:v>10.020099999999999</c:v>
                </c:pt>
                <c:pt idx="205">
                  <c:v>9.9984999999999999</c:v>
                </c:pt>
                <c:pt idx="206">
                  <c:v>10.0481</c:v>
                </c:pt>
                <c:pt idx="207">
                  <c:v>10.025</c:v>
                </c:pt>
                <c:pt idx="208">
                  <c:v>10.0078</c:v>
                </c:pt>
                <c:pt idx="209">
                  <c:v>10.002000000000001</c:v>
                </c:pt>
                <c:pt idx="210">
                  <c:v>9.9754000000000005</c:v>
                </c:pt>
                <c:pt idx="211">
                  <c:v>9.9825999999999997</c:v>
                </c:pt>
                <c:pt idx="212">
                  <c:v>9.9771999999999998</c:v>
                </c:pt>
                <c:pt idx="213">
                  <c:v>9.9658999999999995</c:v>
                </c:pt>
                <c:pt idx="214">
                  <c:v>9.9764999999999997</c:v>
                </c:pt>
                <c:pt idx="215">
                  <c:v>9.9405999999999999</c:v>
                </c:pt>
                <c:pt idx="216">
                  <c:v>9.8673000000000002</c:v>
                </c:pt>
                <c:pt idx="217">
                  <c:v>9.9267000000000003</c:v>
                </c:pt>
                <c:pt idx="218">
                  <c:v>9.9159000000000006</c:v>
                </c:pt>
                <c:pt idx="219">
                  <c:v>9.9092000000000002</c:v>
                </c:pt>
                <c:pt idx="220">
                  <c:v>9.8961000000000006</c:v>
                </c:pt>
                <c:pt idx="221">
                  <c:v>9.9321000000000002</c:v>
                </c:pt>
                <c:pt idx="222">
                  <c:v>9.9319000000000006</c:v>
                </c:pt>
                <c:pt idx="223">
                  <c:v>9.9804999999999993</c:v>
                </c:pt>
                <c:pt idx="224">
                  <c:v>9.9753000000000007</c:v>
                </c:pt>
                <c:pt idx="225">
                  <c:v>10.011699999999999</c:v>
                </c:pt>
                <c:pt idx="226">
                  <c:v>10.0139</c:v>
                </c:pt>
                <c:pt idx="227">
                  <c:v>10.057399999999999</c:v>
                </c:pt>
                <c:pt idx="228">
                  <c:v>10.0246</c:v>
                </c:pt>
                <c:pt idx="229">
                  <c:v>10.093500000000001</c:v>
                </c:pt>
                <c:pt idx="230">
                  <c:v>10.0967</c:v>
                </c:pt>
                <c:pt idx="231">
                  <c:v>10.0953</c:v>
                </c:pt>
                <c:pt idx="232">
                  <c:v>10.168900000000001</c:v>
                </c:pt>
                <c:pt idx="233">
                  <c:v>10.217499999999999</c:v>
                </c:pt>
                <c:pt idx="234">
                  <c:v>10.161300000000001</c:v>
                </c:pt>
                <c:pt idx="235">
                  <c:v>10.2967</c:v>
                </c:pt>
                <c:pt idx="236">
                  <c:v>10.2341</c:v>
                </c:pt>
                <c:pt idx="237">
                  <c:v>10.215199999999999</c:v>
                </c:pt>
                <c:pt idx="238">
                  <c:v>10.2484</c:v>
                </c:pt>
                <c:pt idx="239">
                  <c:v>10.2484</c:v>
                </c:pt>
                <c:pt idx="240">
                  <c:v>10.3431</c:v>
                </c:pt>
                <c:pt idx="241">
                  <c:v>10.260899999999999</c:v>
                </c:pt>
                <c:pt idx="242">
                  <c:v>10.254799999999999</c:v>
                </c:pt>
                <c:pt idx="243">
                  <c:v>10.260899999999999</c:v>
                </c:pt>
                <c:pt idx="244">
                  <c:v>10.2601</c:v>
                </c:pt>
                <c:pt idx="245">
                  <c:v>10.2415</c:v>
                </c:pt>
                <c:pt idx="246">
                  <c:v>10.2674</c:v>
                </c:pt>
                <c:pt idx="247">
                  <c:v>10.3041</c:v>
                </c:pt>
                <c:pt idx="248">
                  <c:v>10.2675</c:v>
                </c:pt>
                <c:pt idx="249">
                  <c:v>10.2323</c:v>
                </c:pt>
                <c:pt idx="250">
                  <c:v>10.2516</c:v>
                </c:pt>
                <c:pt idx="251">
                  <c:v>10.325699999999999</c:v>
                </c:pt>
                <c:pt idx="252">
                  <c:v>10.319000000000001</c:v>
                </c:pt>
                <c:pt idx="253">
                  <c:v>10.299899999999999</c:v>
                </c:pt>
                <c:pt idx="254">
                  <c:v>10.291</c:v>
                </c:pt>
                <c:pt idx="255">
                  <c:v>10.313700000000001</c:v>
                </c:pt>
                <c:pt idx="256">
                  <c:v>10.3096</c:v>
                </c:pt>
                <c:pt idx="257">
                  <c:v>10.2361</c:v>
                </c:pt>
                <c:pt idx="258">
                  <c:v>10.2607</c:v>
                </c:pt>
                <c:pt idx="259">
                  <c:v>10.252700000000001</c:v>
                </c:pt>
                <c:pt idx="260">
                  <c:v>10.295500000000001</c:v>
                </c:pt>
                <c:pt idx="261">
                  <c:v>10.2965</c:v>
                </c:pt>
                <c:pt idx="262">
                  <c:v>10.266</c:v>
                </c:pt>
                <c:pt idx="263">
                  <c:v>10.273400000000001</c:v>
                </c:pt>
                <c:pt idx="264">
                  <c:v>10.3278</c:v>
                </c:pt>
                <c:pt idx="265">
                  <c:v>10.3011</c:v>
                </c:pt>
                <c:pt idx="266">
                  <c:v>10.331899999999999</c:v>
                </c:pt>
                <c:pt idx="267">
                  <c:v>10.3024</c:v>
                </c:pt>
                <c:pt idx="268">
                  <c:v>10.2361</c:v>
                </c:pt>
                <c:pt idx="269">
                  <c:v>10.226699999999999</c:v>
                </c:pt>
                <c:pt idx="270">
                  <c:v>10.285</c:v>
                </c:pt>
                <c:pt idx="271">
                  <c:v>10.278</c:v>
                </c:pt>
                <c:pt idx="272">
                  <c:v>10.3294</c:v>
                </c:pt>
                <c:pt idx="273">
                  <c:v>10.337999999999999</c:v>
                </c:pt>
                <c:pt idx="274">
                  <c:v>10.3355</c:v>
                </c:pt>
                <c:pt idx="275">
                  <c:v>10.4139</c:v>
                </c:pt>
                <c:pt idx="276">
                  <c:v>10.502800000000001</c:v>
                </c:pt>
                <c:pt idx="277">
                  <c:v>10.472799999999999</c:v>
                </c:pt>
                <c:pt idx="278">
                  <c:v>10.458500000000001</c:v>
                </c:pt>
                <c:pt idx="279">
                  <c:v>10.4442</c:v>
                </c:pt>
                <c:pt idx="280">
                  <c:v>10.527900000000001</c:v>
                </c:pt>
                <c:pt idx="281">
                  <c:v>10.463800000000001</c:v>
                </c:pt>
                <c:pt idx="282">
                  <c:v>10.4374</c:v>
                </c:pt>
                <c:pt idx="283">
                  <c:v>10.395</c:v>
                </c:pt>
                <c:pt idx="284">
                  <c:v>10.4039</c:v>
                </c:pt>
                <c:pt idx="285">
                  <c:v>10.4809</c:v>
                </c:pt>
                <c:pt idx="286">
                  <c:v>10.4376</c:v>
                </c:pt>
                <c:pt idx="287">
                  <c:v>10.4636</c:v>
                </c:pt>
                <c:pt idx="288">
                  <c:v>10.3896</c:v>
                </c:pt>
                <c:pt idx="289">
                  <c:v>10.5748</c:v>
                </c:pt>
                <c:pt idx="290">
                  <c:v>10.574400000000001</c:v>
                </c:pt>
                <c:pt idx="291">
                  <c:v>10.611000000000001</c:v>
                </c:pt>
                <c:pt idx="292">
                  <c:v>10.5474</c:v>
                </c:pt>
                <c:pt idx="293">
                  <c:v>10.5702</c:v>
                </c:pt>
                <c:pt idx="294">
                  <c:v>10.6127</c:v>
                </c:pt>
                <c:pt idx="295">
                  <c:v>10.618499999999999</c:v>
                </c:pt>
                <c:pt idx="296">
                  <c:v>10.6494</c:v>
                </c:pt>
                <c:pt idx="297">
                  <c:v>10.5626</c:v>
                </c:pt>
                <c:pt idx="298">
                  <c:v>10.595599999999999</c:v>
                </c:pt>
                <c:pt idx="299">
                  <c:v>10.710699999999999</c:v>
                </c:pt>
                <c:pt idx="300">
                  <c:v>10.601900000000001</c:v>
                </c:pt>
                <c:pt idx="301">
                  <c:v>10.601599999999999</c:v>
                </c:pt>
                <c:pt idx="302">
                  <c:v>10.677199999999999</c:v>
                </c:pt>
                <c:pt idx="303">
                  <c:v>10.781499999999999</c:v>
                </c:pt>
                <c:pt idx="304">
                  <c:v>10.806100000000001</c:v>
                </c:pt>
                <c:pt idx="305">
                  <c:v>10.806100000000001</c:v>
                </c:pt>
                <c:pt idx="306">
                  <c:v>10.840199999999999</c:v>
                </c:pt>
                <c:pt idx="307">
                  <c:v>10.8345</c:v>
                </c:pt>
                <c:pt idx="308">
                  <c:v>10.71</c:v>
                </c:pt>
                <c:pt idx="309">
                  <c:v>10.6343</c:v>
                </c:pt>
                <c:pt idx="310">
                  <c:v>10.6309</c:v>
                </c:pt>
                <c:pt idx="311">
                  <c:v>10.514200000000001</c:v>
                </c:pt>
                <c:pt idx="312">
                  <c:v>10.551500000000001</c:v>
                </c:pt>
                <c:pt idx="313">
                  <c:v>10.4038</c:v>
                </c:pt>
                <c:pt idx="314">
                  <c:v>10.440200000000001</c:v>
                </c:pt>
                <c:pt idx="315">
                  <c:v>10.4023</c:v>
                </c:pt>
                <c:pt idx="316">
                  <c:v>10.4277</c:v>
                </c:pt>
                <c:pt idx="317">
                  <c:v>10.3817</c:v>
                </c:pt>
                <c:pt idx="318">
                  <c:v>10.402799999999999</c:v>
                </c:pt>
                <c:pt idx="319">
                  <c:v>10.3461</c:v>
                </c:pt>
                <c:pt idx="320">
                  <c:v>10.3573</c:v>
                </c:pt>
                <c:pt idx="321">
                  <c:v>10.4526</c:v>
                </c:pt>
                <c:pt idx="322">
                  <c:v>10.3188</c:v>
                </c:pt>
                <c:pt idx="323">
                  <c:v>10.3283</c:v>
                </c:pt>
                <c:pt idx="324">
                  <c:v>10.3698</c:v>
                </c:pt>
                <c:pt idx="325">
                  <c:v>10.3302</c:v>
                </c:pt>
                <c:pt idx="326">
                  <c:v>10.340999999999999</c:v>
                </c:pt>
                <c:pt idx="327">
                  <c:v>10.277699999999999</c:v>
                </c:pt>
                <c:pt idx="328">
                  <c:v>10.306900000000001</c:v>
                </c:pt>
                <c:pt idx="329">
                  <c:v>10.3171</c:v>
                </c:pt>
                <c:pt idx="330">
                  <c:v>10.2773</c:v>
                </c:pt>
                <c:pt idx="331">
                  <c:v>10.321999999999999</c:v>
                </c:pt>
                <c:pt idx="332">
                  <c:v>10.293100000000001</c:v>
                </c:pt>
                <c:pt idx="333">
                  <c:v>10.333600000000001</c:v>
                </c:pt>
                <c:pt idx="334">
                  <c:v>10.297700000000001</c:v>
                </c:pt>
                <c:pt idx="335">
                  <c:v>10.3352</c:v>
                </c:pt>
                <c:pt idx="336">
                  <c:v>10.349500000000001</c:v>
                </c:pt>
                <c:pt idx="337">
                  <c:v>10.3171</c:v>
                </c:pt>
                <c:pt idx="338">
                  <c:v>10.252599999999999</c:v>
                </c:pt>
                <c:pt idx="339">
                  <c:v>10.281700000000001</c:v>
                </c:pt>
                <c:pt idx="340">
                  <c:v>10.2928</c:v>
                </c:pt>
                <c:pt idx="341">
                  <c:v>10.4099</c:v>
                </c:pt>
                <c:pt idx="342">
                  <c:v>10.4472</c:v>
                </c:pt>
                <c:pt idx="343">
                  <c:v>10.376099999999999</c:v>
                </c:pt>
                <c:pt idx="344">
                  <c:v>10.340299999999999</c:v>
                </c:pt>
                <c:pt idx="345">
                  <c:v>10.333399999999999</c:v>
                </c:pt>
                <c:pt idx="346">
                  <c:v>10.420400000000001</c:v>
                </c:pt>
                <c:pt idx="347">
                  <c:v>10.3935</c:v>
                </c:pt>
                <c:pt idx="348">
                  <c:v>10.4048</c:v>
                </c:pt>
                <c:pt idx="349">
                  <c:v>10.4475</c:v>
                </c:pt>
                <c:pt idx="350">
                  <c:v>10.476900000000001</c:v>
                </c:pt>
                <c:pt idx="351">
                  <c:v>10.635400000000001</c:v>
                </c:pt>
                <c:pt idx="352">
                  <c:v>10.5974</c:v>
                </c:pt>
                <c:pt idx="353">
                  <c:v>10.542899999999999</c:v>
                </c:pt>
                <c:pt idx="354">
                  <c:v>10.516999999999999</c:v>
                </c:pt>
                <c:pt idx="355">
                  <c:v>10.473699999999999</c:v>
                </c:pt>
                <c:pt idx="356">
                  <c:v>10.483000000000001</c:v>
                </c:pt>
                <c:pt idx="357">
                  <c:v>10.468400000000001</c:v>
                </c:pt>
                <c:pt idx="358">
                  <c:v>10.475899999999999</c:v>
                </c:pt>
                <c:pt idx="359">
                  <c:v>10.5106</c:v>
                </c:pt>
                <c:pt idx="360">
                  <c:v>10.505000000000001</c:v>
                </c:pt>
                <c:pt idx="361">
                  <c:v>10.4864</c:v>
                </c:pt>
                <c:pt idx="362">
                  <c:v>10.5</c:v>
                </c:pt>
                <c:pt idx="363">
                  <c:v>10.542999999999999</c:v>
                </c:pt>
                <c:pt idx="364">
                  <c:v>10.5776</c:v>
                </c:pt>
                <c:pt idx="365">
                  <c:v>10.5465</c:v>
                </c:pt>
                <c:pt idx="366">
                  <c:v>10.5039</c:v>
                </c:pt>
                <c:pt idx="367">
                  <c:v>10.482900000000001</c:v>
                </c:pt>
                <c:pt idx="368">
                  <c:v>10.478999999999999</c:v>
                </c:pt>
                <c:pt idx="369">
                  <c:v>10.4643</c:v>
                </c:pt>
                <c:pt idx="370">
                  <c:v>10.468999999999999</c:v>
                </c:pt>
                <c:pt idx="371">
                  <c:v>10.4567</c:v>
                </c:pt>
                <c:pt idx="372">
                  <c:v>10.4725</c:v>
                </c:pt>
                <c:pt idx="373">
                  <c:v>10.501799999999999</c:v>
                </c:pt>
                <c:pt idx="374">
                  <c:v>10.5246</c:v>
                </c:pt>
                <c:pt idx="375">
                  <c:v>10.542</c:v>
                </c:pt>
                <c:pt idx="376">
                  <c:v>10.622299999999999</c:v>
                </c:pt>
                <c:pt idx="377">
                  <c:v>10.625999999999999</c:v>
                </c:pt>
                <c:pt idx="378">
                  <c:v>10.654199999999999</c:v>
                </c:pt>
                <c:pt idx="379">
                  <c:v>10.7226</c:v>
                </c:pt>
                <c:pt idx="380">
                  <c:v>10.6837</c:v>
                </c:pt>
                <c:pt idx="381">
                  <c:v>10.6449</c:v>
                </c:pt>
                <c:pt idx="382">
                  <c:v>10.6335</c:v>
                </c:pt>
                <c:pt idx="383">
                  <c:v>10.653499999999999</c:v>
                </c:pt>
                <c:pt idx="384">
                  <c:v>10.714399999999999</c:v>
                </c:pt>
                <c:pt idx="385">
                  <c:v>10.6813</c:v>
                </c:pt>
                <c:pt idx="386">
                  <c:v>10.670999999999999</c:v>
                </c:pt>
                <c:pt idx="387">
                  <c:v>10.654</c:v>
                </c:pt>
                <c:pt idx="388">
                  <c:v>10.689500000000001</c:v>
                </c:pt>
                <c:pt idx="389">
                  <c:v>10.718</c:v>
                </c:pt>
                <c:pt idx="390">
                  <c:v>10.7562</c:v>
                </c:pt>
                <c:pt idx="391">
                  <c:v>10.7864</c:v>
                </c:pt>
                <c:pt idx="392">
                  <c:v>10.788</c:v>
                </c:pt>
                <c:pt idx="393">
                  <c:v>10.7354</c:v>
                </c:pt>
                <c:pt idx="394">
                  <c:v>10.716900000000001</c:v>
                </c:pt>
                <c:pt idx="395">
                  <c:v>10.707000000000001</c:v>
                </c:pt>
                <c:pt idx="396">
                  <c:v>10.694100000000001</c:v>
                </c:pt>
                <c:pt idx="397">
                  <c:v>10.6073</c:v>
                </c:pt>
                <c:pt idx="398">
                  <c:v>10.5983</c:v>
                </c:pt>
                <c:pt idx="399">
                  <c:v>10.6082</c:v>
                </c:pt>
                <c:pt idx="400">
                  <c:v>10.571899999999999</c:v>
                </c:pt>
                <c:pt idx="401">
                  <c:v>10.5185</c:v>
                </c:pt>
                <c:pt idx="402">
                  <c:v>10.4506</c:v>
                </c:pt>
                <c:pt idx="403">
                  <c:v>10.449</c:v>
                </c:pt>
                <c:pt idx="404">
                  <c:v>10.4194</c:v>
                </c:pt>
                <c:pt idx="405">
                  <c:v>10.436</c:v>
                </c:pt>
                <c:pt idx="406">
                  <c:v>10.4109</c:v>
                </c:pt>
                <c:pt idx="407">
                  <c:v>10.442600000000001</c:v>
                </c:pt>
                <c:pt idx="408">
                  <c:v>10.4497</c:v>
                </c:pt>
                <c:pt idx="409">
                  <c:v>10.4102</c:v>
                </c:pt>
                <c:pt idx="410">
                  <c:v>10.394500000000001</c:v>
                </c:pt>
                <c:pt idx="411">
                  <c:v>10.3553</c:v>
                </c:pt>
                <c:pt idx="412">
                  <c:v>10.401300000000001</c:v>
                </c:pt>
                <c:pt idx="413">
                  <c:v>10.379200000000001</c:v>
                </c:pt>
                <c:pt idx="414">
                  <c:v>10.3553</c:v>
                </c:pt>
                <c:pt idx="415">
                  <c:v>10.3705</c:v>
                </c:pt>
                <c:pt idx="416">
                  <c:v>10.3561</c:v>
                </c:pt>
                <c:pt idx="417">
                  <c:v>10.385400000000001</c:v>
                </c:pt>
                <c:pt idx="418">
                  <c:v>10.3756</c:v>
                </c:pt>
                <c:pt idx="419">
                  <c:v>10.369300000000001</c:v>
                </c:pt>
                <c:pt idx="420">
                  <c:v>10.465</c:v>
                </c:pt>
                <c:pt idx="421">
                  <c:v>10.5138</c:v>
                </c:pt>
                <c:pt idx="422">
                  <c:v>10.531000000000001</c:v>
                </c:pt>
                <c:pt idx="423">
                  <c:v>10.531000000000001</c:v>
                </c:pt>
                <c:pt idx="424">
                  <c:v>10.6012</c:v>
                </c:pt>
                <c:pt idx="425">
                  <c:v>10.6408</c:v>
                </c:pt>
                <c:pt idx="426">
                  <c:v>10.657299999999999</c:v>
                </c:pt>
                <c:pt idx="427">
                  <c:v>10.585000000000001</c:v>
                </c:pt>
                <c:pt idx="428">
                  <c:v>10.5768</c:v>
                </c:pt>
                <c:pt idx="429">
                  <c:v>10.544</c:v>
                </c:pt>
                <c:pt idx="430">
                  <c:v>10.6129</c:v>
                </c:pt>
                <c:pt idx="431">
                  <c:v>10.6617</c:v>
                </c:pt>
                <c:pt idx="432">
                  <c:v>10.696199999999999</c:v>
                </c:pt>
                <c:pt idx="433">
                  <c:v>10.6907</c:v>
                </c:pt>
                <c:pt idx="434">
                  <c:v>10.7372</c:v>
                </c:pt>
                <c:pt idx="435">
                  <c:v>10.727499999999999</c:v>
                </c:pt>
                <c:pt idx="436">
                  <c:v>10.711600000000001</c:v>
                </c:pt>
                <c:pt idx="437">
                  <c:v>10.6919</c:v>
                </c:pt>
                <c:pt idx="438">
                  <c:v>10.7059</c:v>
                </c:pt>
                <c:pt idx="439">
                  <c:v>10.7012</c:v>
                </c:pt>
                <c:pt idx="440">
                  <c:v>10.6578</c:v>
                </c:pt>
                <c:pt idx="441">
                  <c:v>10.6175</c:v>
                </c:pt>
                <c:pt idx="442">
                  <c:v>10.6449</c:v>
                </c:pt>
                <c:pt idx="443">
                  <c:v>10.6713</c:v>
                </c:pt>
                <c:pt idx="444">
                  <c:v>10.7072</c:v>
                </c:pt>
                <c:pt idx="445">
                  <c:v>10.7712</c:v>
                </c:pt>
                <c:pt idx="446">
                  <c:v>10.8203</c:v>
                </c:pt>
                <c:pt idx="447">
                  <c:v>10.863099999999999</c:v>
                </c:pt>
                <c:pt idx="448">
                  <c:v>10.8841</c:v>
                </c:pt>
                <c:pt idx="449">
                  <c:v>10.888500000000001</c:v>
                </c:pt>
                <c:pt idx="450">
                  <c:v>10.928699999999999</c:v>
                </c:pt>
                <c:pt idx="451">
                  <c:v>10.8864</c:v>
                </c:pt>
                <c:pt idx="452">
                  <c:v>10.893800000000001</c:v>
                </c:pt>
                <c:pt idx="453">
                  <c:v>10.894600000000001</c:v>
                </c:pt>
                <c:pt idx="454">
                  <c:v>10.9565</c:v>
                </c:pt>
                <c:pt idx="455">
                  <c:v>10.873799999999999</c:v>
                </c:pt>
                <c:pt idx="456">
                  <c:v>10.8186</c:v>
                </c:pt>
                <c:pt idx="457">
                  <c:v>10.8474</c:v>
                </c:pt>
                <c:pt idx="458">
                  <c:v>10.8309</c:v>
                </c:pt>
                <c:pt idx="459">
                  <c:v>10.905900000000001</c:v>
                </c:pt>
                <c:pt idx="460">
                  <c:v>10.920999999999999</c:v>
                </c:pt>
                <c:pt idx="461">
                  <c:v>10.9915</c:v>
                </c:pt>
                <c:pt idx="462">
                  <c:v>11.0114</c:v>
                </c:pt>
                <c:pt idx="463">
                  <c:v>10.982799999999999</c:v>
                </c:pt>
                <c:pt idx="464">
                  <c:v>11.049899999999999</c:v>
                </c:pt>
                <c:pt idx="465">
                  <c:v>11.004099999999999</c:v>
                </c:pt>
                <c:pt idx="466">
                  <c:v>10.979100000000001</c:v>
                </c:pt>
                <c:pt idx="467">
                  <c:v>10.9268</c:v>
                </c:pt>
                <c:pt idx="468">
                  <c:v>10.946899999999999</c:v>
                </c:pt>
                <c:pt idx="469">
                  <c:v>10.9907</c:v>
                </c:pt>
                <c:pt idx="470">
                  <c:v>11.0558</c:v>
                </c:pt>
                <c:pt idx="471">
                  <c:v>11.0647</c:v>
                </c:pt>
                <c:pt idx="472">
                  <c:v>10.9436</c:v>
                </c:pt>
                <c:pt idx="473">
                  <c:v>10.9451</c:v>
                </c:pt>
                <c:pt idx="474">
                  <c:v>10.910299999999999</c:v>
                </c:pt>
                <c:pt idx="475">
                  <c:v>10.911099999999999</c:v>
                </c:pt>
                <c:pt idx="476">
                  <c:v>10.918799999999999</c:v>
                </c:pt>
                <c:pt idx="477">
                  <c:v>10.884499999999999</c:v>
                </c:pt>
                <c:pt idx="478">
                  <c:v>10.889900000000001</c:v>
                </c:pt>
                <c:pt idx="479">
                  <c:v>10.914300000000001</c:v>
                </c:pt>
                <c:pt idx="480">
                  <c:v>10.8498</c:v>
                </c:pt>
                <c:pt idx="481">
                  <c:v>10.8592</c:v>
                </c:pt>
                <c:pt idx="482">
                  <c:v>10.8141</c:v>
                </c:pt>
                <c:pt idx="483">
                  <c:v>10.8804</c:v>
                </c:pt>
                <c:pt idx="484">
                  <c:v>10.809900000000001</c:v>
                </c:pt>
                <c:pt idx="485">
                  <c:v>10.721399999999999</c:v>
                </c:pt>
                <c:pt idx="486">
                  <c:v>10.8142</c:v>
                </c:pt>
                <c:pt idx="487">
                  <c:v>10.815099999999999</c:v>
                </c:pt>
                <c:pt idx="488">
                  <c:v>10.8932</c:v>
                </c:pt>
                <c:pt idx="489">
                  <c:v>11.014799999999999</c:v>
                </c:pt>
                <c:pt idx="490">
                  <c:v>10.977499999999999</c:v>
                </c:pt>
                <c:pt idx="491">
                  <c:v>10.9764</c:v>
                </c:pt>
                <c:pt idx="492">
                  <c:v>10.973699999999999</c:v>
                </c:pt>
                <c:pt idx="493">
                  <c:v>10.8591</c:v>
                </c:pt>
                <c:pt idx="494">
                  <c:v>10.8208</c:v>
                </c:pt>
                <c:pt idx="495">
                  <c:v>10.842499999999999</c:v>
                </c:pt>
                <c:pt idx="496">
                  <c:v>10.897399999999999</c:v>
                </c:pt>
                <c:pt idx="497">
                  <c:v>10.9194</c:v>
                </c:pt>
                <c:pt idx="498">
                  <c:v>10.9803</c:v>
                </c:pt>
                <c:pt idx="499">
                  <c:v>10.8629</c:v>
                </c:pt>
                <c:pt idx="500">
                  <c:v>10.8965</c:v>
                </c:pt>
                <c:pt idx="501">
                  <c:v>10.904400000000001</c:v>
                </c:pt>
                <c:pt idx="502">
                  <c:v>10.921900000000001</c:v>
                </c:pt>
                <c:pt idx="503">
                  <c:v>10.8794</c:v>
                </c:pt>
                <c:pt idx="504">
                  <c:v>10.9148</c:v>
                </c:pt>
                <c:pt idx="505">
                  <c:v>10.893700000000001</c:v>
                </c:pt>
                <c:pt idx="506">
                  <c:v>10.8969</c:v>
                </c:pt>
                <c:pt idx="507">
                  <c:v>10.856999999999999</c:v>
                </c:pt>
                <c:pt idx="508">
                  <c:v>10.8619</c:v>
                </c:pt>
                <c:pt idx="509">
                  <c:v>10.98</c:v>
                </c:pt>
                <c:pt idx="510">
                  <c:v>11.036799999999999</c:v>
                </c:pt>
                <c:pt idx="511">
                  <c:v>11.0198</c:v>
                </c:pt>
                <c:pt idx="512">
                  <c:v>11.079800000000001</c:v>
                </c:pt>
                <c:pt idx="513">
                  <c:v>11.0472</c:v>
                </c:pt>
                <c:pt idx="514">
                  <c:v>11.087899999999999</c:v>
                </c:pt>
                <c:pt idx="515">
                  <c:v>11.174899999999999</c:v>
                </c:pt>
                <c:pt idx="516">
                  <c:v>11.125299999999999</c:v>
                </c:pt>
                <c:pt idx="517">
                  <c:v>11.1312</c:v>
                </c:pt>
                <c:pt idx="518">
                  <c:v>11.1029</c:v>
                </c:pt>
                <c:pt idx="519">
                  <c:v>11.150600000000001</c:v>
                </c:pt>
                <c:pt idx="520">
                  <c:v>11.119300000000001</c:v>
                </c:pt>
                <c:pt idx="521">
                  <c:v>11.1494</c:v>
                </c:pt>
                <c:pt idx="522">
                  <c:v>11.1363</c:v>
                </c:pt>
                <c:pt idx="523">
                  <c:v>11.1426</c:v>
                </c:pt>
                <c:pt idx="524">
                  <c:v>11.2498</c:v>
                </c:pt>
                <c:pt idx="525">
                  <c:v>11.2112</c:v>
                </c:pt>
                <c:pt idx="526">
                  <c:v>11.1548</c:v>
                </c:pt>
                <c:pt idx="527">
                  <c:v>11.1922</c:v>
                </c:pt>
                <c:pt idx="528">
                  <c:v>11.2744</c:v>
                </c:pt>
                <c:pt idx="529">
                  <c:v>11.306100000000001</c:v>
                </c:pt>
                <c:pt idx="530">
                  <c:v>11.2576</c:v>
                </c:pt>
                <c:pt idx="531">
                  <c:v>11.2857</c:v>
                </c:pt>
                <c:pt idx="532">
                  <c:v>11.231400000000001</c:v>
                </c:pt>
                <c:pt idx="533">
                  <c:v>11.1075</c:v>
                </c:pt>
                <c:pt idx="534">
                  <c:v>11.185600000000001</c:v>
                </c:pt>
                <c:pt idx="535">
                  <c:v>11.1633</c:v>
                </c:pt>
                <c:pt idx="536">
                  <c:v>11.119899999999999</c:v>
                </c:pt>
                <c:pt idx="537">
                  <c:v>11.111599999999999</c:v>
                </c:pt>
                <c:pt idx="538">
                  <c:v>11.177</c:v>
                </c:pt>
                <c:pt idx="539">
                  <c:v>11.2029</c:v>
                </c:pt>
                <c:pt idx="540">
                  <c:v>11.205</c:v>
                </c:pt>
                <c:pt idx="541">
                  <c:v>11.271699999999999</c:v>
                </c:pt>
                <c:pt idx="542">
                  <c:v>11.370699999999999</c:v>
                </c:pt>
                <c:pt idx="543">
                  <c:v>11.3781</c:v>
                </c:pt>
                <c:pt idx="544">
                  <c:v>11.2964</c:v>
                </c:pt>
                <c:pt idx="545">
                  <c:v>11.374700000000001</c:v>
                </c:pt>
                <c:pt idx="546">
                  <c:v>11.4033</c:v>
                </c:pt>
                <c:pt idx="547">
                  <c:v>11.3589</c:v>
                </c:pt>
                <c:pt idx="548">
                  <c:v>11.374499999999999</c:v>
                </c:pt>
                <c:pt idx="549">
                  <c:v>11.092700000000001</c:v>
                </c:pt>
                <c:pt idx="550">
                  <c:v>11.1518</c:v>
                </c:pt>
                <c:pt idx="551">
                  <c:v>11.1355</c:v>
                </c:pt>
                <c:pt idx="552">
                  <c:v>11.119199999999999</c:v>
                </c:pt>
                <c:pt idx="553">
                  <c:v>11.1378</c:v>
                </c:pt>
                <c:pt idx="554">
                  <c:v>11.137499999999999</c:v>
                </c:pt>
                <c:pt idx="555">
                  <c:v>11.1492</c:v>
                </c:pt>
                <c:pt idx="556">
                  <c:v>11.048299999999999</c:v>
                </c:pt>
                <c:pt idx="557">
                  <c:v>11.012700000000001</c:v>
                </c:pt>
                <c:pt idx="558">
                  <c:v>11.051299999999999</c:v>
                </c:pt>
                <c:pt idx="559">
                  <c:v>11.046799999999999</c:v>
                </c:pt>
                <c:pt idx="560">
                  <c:v>11.0594</c:v>
                </c:pt>
                <c:pt idx="561">
                  <c:v>11.0374</c:v>
                </c:pt>
                <c:pt idx="562">
                  <c:v>11.0679</c:v>
                </c:pt>
                <c:pt idx="563">
                  <c:v>11.146000000000001</c:v>
                </c:pt>
                <c:pt idx="564">
                  <c:v>11.1355</c:v>
                </c:pt>
                <c:pt idx="565">
                  <c:v>11.1381</c:v>
                </c:pt>
                <c:pt idx="566">
                  <c:v>11.166</c:v>
                </c:pt>
                <c:pt idx="567">
                  <c:v>11.299200000000001</c:v>
                </c:pt>
                <c:pt idx="568">
                  <c:v>11.264900000000001</c:v>
                </c:pt>
                <c:pt idx="569">
                  <c:v>11.3348</c:v>
                </c:pt>
                <c:pt idx="570">
                  <c:v>11.347799999999999</c:v>
                </c:pt>
                <c:pt idx="571">
                  <c:v>11.3515</c:v>
                </c:pt>
                <c:pt idx="572">
                  <c:v>11.235200000000001</c:v>
                </c:pt>
                <c:pt idx="573">
                  <c:v>11.2035</c:v>
                </c:pt>
                <c:pt idx="574">
                  <c:v>11.159000000000001</c:v>
                </c:pt>
                <c:pt idx="575">
                  <c:v>11.174899999999999</c:v>
                </c:pt>
                <c:pt idx="576">
                  <c:v>11.1256</c:v>
                </c:pt>
                <c:pt idx="577">
                  <c:v>11.143800000000001</c:v>
                </c:pt>
                <c:pt idx="578">
                  <c:v>11.1691</c:v>
                </c:pt>
                <c:pt idx="579">
                  <c:v>11.1717</c:v>
                </c:pt>
                <c:pt idx="580">
                  <c:v>11.225899999999999</c:v>
                </c:pt>
                <c:pt idx="581">
                  <c:v>11.202199999999999</c:v>
                </c:pt>
                <c:pt idx="582">
                  <c:v>11.2156</c:v>
                </c:pt>
                <c:pt idx="583">
                  <c:v>11.278600000000001</c:v>
                </c:pt>
                <c:pt idx="584">
                  <c:v>11.3033</c:v>
                </c:pt>
                <c:pt idx="585">
                  <c:v>11.265700000000001</c:v>
                </c:pt>
                <c:pt idx="586">
                  <c:v>11.305899999999999</c:v>
                </c:pt>
                <c:pt idx="587">
                  <c:v>11.259399999999999</c:v>
                </c:pt>
                <c:pt idx="588">
                  <c:v>11.3468</c:v>
                </c:pt>
                <c:pt idx="589">
                  <c:v>11.391999999999999</c:v>
                </c:pt>
                <c:pt idx="590">
                  <c:v>11.4137</c:v>
                </c:pt>
                <c:pt idx="591">
                  <c:v>11.4422</c:v>
                </c:pt>
                <c:pt idx="592">
                  <c:v>11.400399999999999</c:v>
                </c:pt>
                <c:pt idx="593">
                  <c:v>11.3573</c:v>
                </c:pt>
                <c:pt idx="594">
                  <c:v>11.3612</c:v>
                </c:pt>
                <c:pt idx="595">
                  <c:v>11.347799999999999</c:v>
                </c:pt>
                <c:pt idx="596">
                  <c:v>11.3057</c:v>
                </c:pt>
                <c:pt idx="597">
                  <c:v>11.305099999999999</c:v>
                </c:pt>
                <c:pt idx="598">
                  <c:v>11.3216</c:v>
                </c:pt>
                <c:pt idx="599">
                  <c:v>11.3126</c:v>
                </c:pt>
                <c:pt idx="600">
                  <c:v>11.316700000000001</c:v>
                </c:pt>
                <c:pt idx="601">
                  <c:v>11.319800000000001</c:v>
                </c:pt>
                <c:pt idx="602">
                  <c:v>11.311500000000001</c:v>
                </c:pt>
                <c:pt idx="603">
                  <c:v>11.403499999999999</c:v>
                </c:pt>
                <c:pt idx="604">
                  <c:v>11.3552</c:v>
                </c:pt>
                <c:pt idx="605">
                  <c:v>11.323700000000001</c:v>
                </c:pt>
                <c:pt idx="606">
                  <c:v>11.3332</c:v>
                </c:pt>
                <c:pt idx="607">
                  <c:v>11.3353</c:v>
                </c:pt>
                <c:pt idx="608">
                  <c:v>11.324400000000001</c:v>
                </c:pt>
                <c:pt idx="609">
                  <c:v>11.301399999999999</c:v>
                </c:pt>
                <c:pt idx="610">
                  <c:v>11.2019</c:v>
                </c:pt>
                <c:pt idx="611">
                  <c:v>11.188499999999999</c:v>
                </c:pt>
                <c:pt idx="612">
                  <c:v>11.176299999999999</c:v>
                </c:pt>
                <c:pt idx="613">
                  <c:v>11.2188</c:v>
                </c:pt>
                <c:pt idx="614">
                  <c:v>11.278499999999999</c:v>
                </c:pt>
                <c:pt idx="615">
                  <c:v>11.2692</c:v>
                </c:pt>
                <c:pt idx="616">
                  <c:v>11.2601</c:v>
                </c:pt>
                <c:pt idx="617">
                  <c:v>11.305999999999999</c:v>
                </c:pt>
                <c:pt idx="618">
                  <c:v>11.3302</c:v>
                </c:pt>
                <c:pt idx="619">
                  <c:v>11.394500000000001</c:v>
                </c:pt>
                <c:pt idx="620">
                  <c:v>11.3813</c:v>
                </c:pt>
                <c:pt idx="621">
                  <c:v>11.4129</c:v>
                </c:pt>
                <c:pt idx="622">
                  <c:v>11.448700000000001</c:v>
                </c:pt>
                <c:pt idx="623">
                  <c:v>11.536799999999999</c:v>
                </c:pt>
                <c:pt idx="624">
                  <c:v>11.6065</c:v>
                </c:pt>
                <c:pt idx="625">
                  <c:v>11.562799999999999</c:v>
                </c:pt>
                <c:pt idx="626">
                  <c:v>11.6031</c:v>
                </c:pt>
                <c:pt idx="627">
                  <c:v>11.659700000000001</c:v>
                </c:pt>
                <c:pt idx="628">
                  <c:v>11.6014</c:v>
                </c:pt>
                <c:pt idx="629">
                  <c:v>11.653600000000001</c:v>
                </c:pt>
                <c:pt idx="630">
                  <c:v>11.555099999999999</c:v>
                </c:pt>
                <c:pt idx="631">
                  <c:v>11.6526</c:v>
                </c:pt>
                <c:pt idx="632">
                  <c:v>11.6624</c:v>
                </c:pt>
                <c:pt idx="633">
                  <c:v>11.637499999999999</c:v>
                </c:pt>
                <c:pt idx="634">
                  <c:v>11.6471</c:v>
                </c:pt>
                <c:pt idx="635">
                  <c:v>11.652200000000001</c:v>
                </c:pt>
                <c:pt idx="636">
                  <c:v>11.621</c:v>
                </c:pt>
                <c:pt idx="637">
                  <c:v>11.5663</c:v>
                </c:pt>
                <c:pt idx="638">
                  <c:v>11.582000000000001</c:v>
                </c:pt>
                <c:pt idx="639">
                  <c:v>11.5891</c:v>
                </c:pt>
                <c:pt idx="640">
                  <c:v>11.6196</c:v>
                </c:pt>
                <c:pt idx="641">
                  <c:v>11.7338</c:v>
                </c:pt>
                <c:pt idx="642">
                  <c:v>11.8086</c:v>
                </c:pt>
                <c:pt idx="643">
                  <c:v>11.721500000000001</c:v>
                </c:pt>
                <c:pt idx="644">
                  <c:v>11.723800000000001</c:v>
                </c:pt>
                <c:pt idx="645">
                  <c:v>11.6959</c:v>
                </c:pt>
                <c:pt idx="646">
                  <c:v>11.6732</c:v>
                </c:pt>
                <c:pt idx="647">
                  <c:v>11.7523</c:v>
                </c:pt>
                <c:pt idx="648">
                  <c:v>11.7865</c:v>
                </c:pt>
                <c:pt idx="649">
                  <c:v>11.8162</c:v>
                </c:pt>
                <c:pt idx="650">
                  <c:v>11.785500000000001</c:v>
                </c:pt>
                <c:pt idx="651">
                  <c:v>11.835100000000001</c:v>
                </c:pt>
                <c:pt idx="652">
                  <c:v>11.779199999999999</c:v>
                </c:pt>
                <c:pt idx="653">
                  <c:v>11.839700000000001</c:v>
                </c:pt>
                <c:pt idx="654">
                  <c:v>11.9252</c:v>
                </c:pt>
                <c:pt idx="655">
                  <c:v>11.8704</c:v>
                </c:pt>
                <c:pt idx="656">
                  <c:v>11.8767</c:v>
                </c:pt>
                <c:pt idx="657">
                  <c:v>11.7324</c:v>
                </c:pt>
                <c:pt idx="658">
                  <c:v>11.551500000000001</c:v>
                </c:pt>
                <c:pt idx="659">
                  <c:v>11.4064</c:v>
                </c:pt>
                <c:pt idx="660">
                  <c:v>11.501200000000001</c:v>
                </c:pt>
                <c:pt idx="661">
                  <c:v>11.533300000000001</c:v>
                </c:pt>
                <c:pt idx="662">
                  <c:v>11.470800000000001</c:v>
                </c:pt>
                <c:pt idx="663">
                  <c:v>11.495200000000001</c:v>
                </c:pt>
                <c:pt idx="664">
                  <c:v>11.510400000000001</c:v>
                </c:pt>
                <c:pt idx="665">
                  <c:v>11.574999999999999</c:v>
                </c:pt>
                <c:pt idx="666">
                  <c:v>11.5245</c:v>
                </c:pt>
                <c:pt idx="667">
                  <c:v>11.467000000000001</c:v>
                </c:pt>
                <c:pt idx="668">
                  <c:v>11.565</c:v>
                </c:pt>
                <c:pt idx="669">
                  <c:v>11.524800000000001</c:v>
                </c:pt>
                <c:pt idx="670">
                  <c:v>11.595700000000001</c:v>
                </c:pt>
                <c:pt idx="671">
                  <c:v>11.5886</c:v>
                </c:pt>
                <c:pt idx="672">
                  <c:v>11.633699999999999</c:v>
                </c:pt>
                <c:pt idx="673">
                  <c:v>11.7378</c:v>
                </c:pt>
                <c:pt idx="674">
                  <c:v>11.7241</c:v>
                </c:pt>
                <c:pt idx="675">
                  <c:v>11.6724</c:v>
                </c:pt>
                <c:pt idx="676">
                  <c:v>11.67</c:v>
                </c:pt>
                <c:pt idx="677">
                  <c:v>11.7562</c:v>
                </c:pt>
                <c:pt idx="678">
                  <c:v>11.737</c:v>
                </c:pt>
                <c:pt idx="679">
                  <c:v>11.7034</c:v>
                </c:pt>
                <c:pt idx="680">
                  <c:v>11.8507</c:v>
                </c:pt>
                <c:pt idx="681">
                  <c:v>11.802899999999999</c:v>
                </c:pt>
                <c:pt idx="682">
                  <c:v>11.831</c:v>
                </c:pt>
                <c:pt idx="683">
                  <c:v>11.8551</c:v>
                </c:pt>
                <c:pt idx="684">
                  <c:v>11.87</c:v>
                </c:pt>
                <c:pt idx="685">
                  <c:v>11.938800000000001</c:v>
                </c:pt>
                <c:pt idx="686">
                  <c:v>11.9399</c:v>
                </c:pt>
                <c:pt idx="687">
                  <c:v>11.878399999999999</c:v>
                </c:pt>
                <c:pt idx="688">
                  <c:v>11.863799999999999</c:v>
                </c:pt>
                <c:pt idx="689">
                  <c:v>11.9041</c:v>
                </c:pt>
                <c:pt idx="690">
                  <c:v>11.9308</c:v>
                </c:pt>
                <c:pt idx="691">
                  <c:v>11.891</c:v>
                </c:pt>
                <c:pt idx="692">
                  <c:v>11.859400000000001</c:v>
                </c:pt>
                <c:pt idx="693">
                  <c:v>11.821999999999999</c:v>
                </c:pt>
                <c:pt idx="694">
                  <c:v>11.878</c:v>
                </c:pt>
                <c:pt idx="695">
                  <c:v>11.9163</c:v>
                </c:pt>
                <c:pt idx="696">
                  <c:v>11.888199999999999</c:v>
                </c:pt>
                <c:pt idx="697">
                  <c:v>11.9094</c:v>
                </c:pt>
                <c:pt idx="698">
                  <c:v>11.918900000000001</c:v>
                </c:pt>
                <c:pt idx="699">
                  <c:v>11.924799999999999</c:v>
                </c:pt>
                <c:pt idx="700">
                  <c:v>11.9186</c:v>
                </c:pt>
                <c:pt idx="701">
                  <c:v>11.893700000000001</c:v>
                </c:pt>
                <c:pt idx="702">
                  <c:v>11.9107</c:v>
                </c:pt>
                <c:pt idx="703">
                  <c:v>11.9413</c:v>
                </c:pt>
                <c:pt idx="704">
                  <c:v>11.906599999999999</c:v>
                </c:pt>
                <c:pt idx="705">
                  <c:v>11.9533</c:v>
                </c:pt>
                <c:pt idx="706">
                  <c:v>11.9419</c:v>
                </c:pt>
                <c:pt idx="707">
                  <c:v>11.903600000000001</c:v>
                </c:pt>
                <c:pt idx="708">
                  <c:v>11.8528</c:v>
                </c:pt>
                <c:pt idx="709">
                  <c:v>11.9232</c:v>
                </c:pt>
                <c:pt idx="710">
                  <c:v>11.884399999999999</c:v>
                </c:pt>
                <c:pt idx="711">
                  <c:v>11.6991</c:v>
                </c:pt>
                <c:pt idx="712">
                  <c:v>11.658799999999999</c:v>
                </c:pt>
                <c:pt idx="713">
                  <c:v>11.5814</c:v>
                </c:pt>
                <c:pt idx="714">
                  <c:v>11.5677</c:v>
                </c:pt>
                <c:pt idx="715">
                  <c:v>11.5602</c:v>
                </c:pt>
                <c:pt idx="716">
                  <c:v>11.5779</c:v>
                </c:pt>
                <c:pt idx="717">
                  <c:v>11.6275</c:v>
                </c:pt>
                <c:pt idx="718">
                  <c:v>11.65</c:v>
                </c:pt>
                <c:pt idx="719">
                  <c:v>11.6112</c:v>
                </c:pt>
                <c:pt idx="720">
                  <c:v>11.6172</c:v>
                </c:pt>
                <c:pt idx="721">
                  <c:v>11.595599999999999</c:v>
                </c:pt>
                <c:pt idx="722">
                  <c:v>11.542999999999999</c:v>
                </c:pt>
                <c:pt idx="723">
                  <c:v>11.566000000000001</c:v>
                </c:pt>
                <c:pt idx="724">
                  <c:v>11.570399999999999</c:v>
                </c:pt>
                <c:pt idx="725">
                  <c:v>11.5151</c:v>
                </c:pt>
                <c:pt idx="726">
                  <c:v>11.520300000000001</c:v>
                </c:pt>
                <c:pt idx="727">
                  <c:v>11.5382</c:v>
                </c:pt>
                <c:pt idx="728">
                  <c:v>11.6159</c:v>
                </c:pt>
                <c:pt idx="729">
                  <c:v>11.606</c:v>
                </c:pt>
                <c:pt idx="730">
                  <c:v>11.6236</c:v>
                </c:pt>
                <c:pt idx="731">
                  <c:v>11.7121</c:v>
                </c:pt>
                <c:pt idx="732">
                  <c:v>11.7608</c:v>
                </c:pt>
                <c:pt idx="733">
                  <c:v>11.7623</c:v>
                </c:pt>
                <c:pt idx="734">
                  <c:v>11.784800000000001</c:v>
                </c:pt>
                <c:pt idx="735">
                  <c:v>11.8774</c:v>
                </c:pt>
                <c:pt idx="736">
                  <c:v>11.8292</c:v>
                </c:pt>
                <c:pt idx="737">
                  <c:v>11.817299999999999</c:v>
                </c:pt>
                <c:pt idx="738">
                  <c:v>11.825799999999999</c:v>
                </c:pt>
                <c:pt idx="739">
                  <c:v>11.8285</c:v>
                </c:pt>
                <c:pt idx="740">
                  <c:v>11.683199999999999</c:v>
                </c:pt>
                <c:pt idx="741">
                  <c:v>11.693899999999999</c:v>
                </c:pt>
                <c:pt idx="742">
                  <c:v>11.685</c:v>
                </c:pt>
                <c:pt idx="743">
                  <c:v>11.6572</c:v>
                </c:pt>
                <c:pt idx="744">
                  <c:v>11.622199999999999</c:v>
                </c:pt>
                <c:pt idx="745">
                  <c:v>11.6562</c:v>
                </c:pt>
                <c:pt idx="746">
                  <c:v>11.6027</c:v>
                </c:pt>
                <c:pt idx="747">
                  <c:v>11.5307</c:v>
                </c:pt>
                <c:pt idx="748">
                  <c:v>11.436400000000001</c:v>
                </c:pt>
                <c:pt idx="749">
                  <c:v>11.4932</c:v>
                </c:pt>
                <c:pt idx="750">
                  <c:v>11.477</c:v>
                </c:pt>
                <c:pt idx="751">
                  <c:v>11.446899999999999</c:v>
                </c:pt>
                <c:pt idx="752">
                  <c:v>11.3911</c:v>
                </c:pt>
                <c:pt idx="753">
                  <c:v>11.4366</c:v>
                </c:pt>
                <c:pt idx="754">
                  <c:v>11.4438</c:v>
                </c:pt>
                <c:pt idx="755">
                  <c:v>11.430999999999999</c:v>
                </c:pt>
                <c:pt idx="756">
                  <c:v>11.437900000000001</c:v>
                </c:pt>
                <c:pt idx="757">
                  <c:v>11.3881</c:v>
                </c:pt>
                <c:pt idx="758">
                  <c:v>11.3635</c:v>
                </c:pt>
                <c:pt idx="759">
                  <c:v>11.426399999999999</c:v>
                </c:pt>
                <c:pt idx="760">
                  <c:v>11.3124</c:v>
                </c:pt>
                <c:pt idx="761">
                  <c:v>11.319699999999999</c:v>
                </c:pt>
                <c:pt idx="762">
                  <c:v>11.320499999999999</c:v>
                </c:pt>
                <c:pt idx="763">
                  <c:v>11.270899999999999</c:v>
                </c:pt>
                <c:pt idx="764">
                  <c:v>11.226900000000001</c:v>
                </c:pt>
                <c:pt idx="765">
                  <c:v>11.2697</c:v>
                </c:pt>
                <c:pt idx="766">
                  <c:v>11.289199999999999</c:v>
                </c:pt>
                <c:pt idx="767">
                  <c:v>11.2818</c:v>
                </c:pt>
                <c:pt idx="768">
                  <c:v>11.2776</c:v>
                </c:pt>
                <c:pt idx="769">
                  <c:v>11.2117</c:v>
                </c:pt>
                <c:pt idx="770">
                  <c:v>11.2033</c:v>
                </c:pt>
                <c:pt idx="771">
                  <c:v>11.147399999999999</c:v>
                </c:pt>
                <c:pt idx="772">
                  <c:v>11.1595</c:v>
                </c:pt>
                <c:pt idx="773">
                  <c:v>11.132</c:v>
                </c:pt>
                <c:pt idx="774">
                  <c:v>11.108700000000001</c:v>
                </c:pt>
                <c:pt idx="775">
                  <c:v>11.042</c:v>
                </c:pt>
                <c:pt idx="776">
                  <c:v>11.1053</c:v>
                </c:pt>
                <c:pt idx="777">
                  <c:v>11.0641</c:v>
                </c:pt>
                <c:pt idx="778">
                  <c:v>11.028</c:v>
                </c:pt>
                <c:pt idx="779">
                  <c:v>11.0504</c:v>
                </c:pt>
                <c:pt idx="780">
                  <c:v>11.0992</c:v>
                </c:pt>
                <c:pt idx="781">
                  <c:v>11.1486</c:v>
                </c:pt>
                <c:pt idx="782">
                  <c:v>11.1556</c:v>
                </c:pt>
                <c:pt idx="783">
                  <c:v>11.225199999999999</c:v>
                </c:pt>
                <c:pt idx="784">
                  <c:v>11.1907</c:v>
                </c:pt>
                <c:pt idx="785">
                  <c:v>11.2005</c:v>
                </c:pt>
                <c:pt idx="786">
                  <c:v>11.2187</c:v>
                </c:pt>
                <c:pt idx="787">
                  <c:v>11.2189</c:v>
                </c:pt>
                <c:pt idx="788">
                  <c:v>11.2121</c:v>
                </c:pt>
                <c:pt idx="789">
                  <c:v>11.266400000000001</c:v>
                </c:pt>
                <c:pt idx="790">
                  <c:v>11.249599999999999</c:v>
                </c:pt>
                <c:pt idx="791">
                  <c:v>11.290800000000001</c:v>
                </c:pt>
                <c:pt idx="792">
                  <c:v>11.339499999999999</c:v>
                </c:pt>
                <c:pt idx="793">
                  <c:v>11.3787</c:v>
                </c:pt>
                <c:pt idx="794">
                  <c:v>11.386200000000001</c:v>
                </c:pt>
                <c:pt idx="795">
                  <c:v>11.407999999999999</c:v>
                </c:pt>
                <c:pt idx="796">
                  <c:v>11.371</c:v>
                </c:pt>
                <c:pt idx="797">
                  <c:v>11.3741</c:v>
                </c:pt>
                <c:pt idx="798">
                  <c:v>11.349299999999999</c:v>
                </c:pt>
                <c:pt idx="799">
                  <c:v>11.3142</c:v>
                </c:pt>
                <c:pt idx="800">
                  <c:v>11.3263</c:v>
                </c:pt>
                <c:pt idx="801">
                  <c:v>11.323499999999999</c:v>
                </c:pt>
                <c:pt idx="802">
                  <c:v>11.314</c:v>
                </c:pt>
                <c:pt idx="803">
                  <c:v>11.228400000000001</c:v>
                </c:pt>
                <c:pt idx="804">
                  <c:v>11.298500000000001</c:v>
                </c:pt>
                <c:pt idx="805">
                  <c:v>11.333500000000001</c:v>
                </c:pt>
                <c:pt idx="806">
                  <c:v>11.3956</c:v>
                </c:pt>
                <c:pt idx="807">
                  <c:v>11.347099999999999</c:v>
                </c:pt>
                <c:pt idx="808">
                  <c:v>11.270799999999999</c:v>
                </c:pt>
                <c:pt idx="809">
                  <c:v>11.2995</c:v>
                </c:pt>
                <c:pt idx="810">
                  <c:v>11.2818</c:v>
                </c:pt>
                <c:pt idx="811">
                  <c:v>11.2226</c:v>
                </c:pt>
                <c:pt idx="812">
                  <c:v>11.3317</c:v>
                </c:pt>
                <c:pt idx="813">
                  <c:v>11.2944</c:v>
                </c:pt>
                <c:pt idx="814">
                  <c:v>11.254899999999999</c:v>
                </c:pt>
                <c:pt idx="815">
                  <c:v>11.260199999999999</c:v>
                </c:pt>
                <c:pt idx="816">
                  <c:v>11.2178</c:v>
                </c:pt>
                <c:pt idx="817">
                  <c:v>11.2018</c:v>
                </c:pt>
                <c:pt idx="818">
                  <c:v>11.2179</c:v>
                </c:pt>
                <c:pt idx="819">
                  <c:v>11.177099999999999</c:v>
                </c:pt>
                <c:pt idx="820">
                  <c:v>11.168900000000001</c:v>
                </c:pt>
                <c:pt idx="821">
                  <c:v>11.167999999999999</c:v>
                </c:pt>
                <c:pt idx="822">
                  <c:v>11.1723</c:v>
                </c:pt>
                <c:pt idx="823">
                  <c:v>11.205399999999999</c:v>
                </c:pt>
                <c:pt idx="824">
                  <c:v>11.198399999999999</c:v>
                </c:pt>
                <c:pt idx="825">
                  <c:v>11.177300000000001</c:v>
                </c:pt>
                <c:pt idx="826">
                  <c:v>11.2446</c:v>
                </c:pt>
                <c:pt idx="827">
                  <c:v>11.259600000000001</c:v>
                </c:pt>
                <c:pt idx="828">
                  <c:v>11.227600000000001</c:v>
                </c:pt>
                <c:pt idx="829">
                  <c:v>11.195499999999999</c:v>
                </c:pt>
                <c:pt idx="830">
                  <c:v>11.164400000000001</c:v>
                </c:pt>
                <c:pt idx="831">
                  <c:v>11.196099999999999</c:v>
                </c:pt>
                <c:pt idx="832">
                  <c:v>11.186199999999999</c:v>
                </c:pt>
                <c:pt idx="833">
                  <c:v>11.2014</c:v>
                </c:pt>
                <c:pt idx="834">
                  <c:v>11.2516</c:v>
                </c:pt>
                <c:pt idx="835">
                  <c:v>11.282500000000001</c:v>
                </c:pt>
                <c:pt idx="836">
                  <c:v>11.347799999999999</c:v>
                </c:pt>
                <c:pt idx="837">
                  <c:v>11.3352</c:v>
                </c:pt>
                <c:pt idx="838">
                  <c:v>11.372400000000001</c:v>
                </c:pt>
                <c:pt idx="839">
                  <c:v>11.3583</c:v>
                </c:pt>
                <c:pt idx="840">
                  <c:v>11.410299999999999</c:v>
                </c:pt>
                <c:pt idx="841">
                  <c:v>11.4527</c:v>
                </c:pt>
                <c:pt idx="842">
                  <c:v>11.4574</c:v>
                </c:pt>
                <c:pt idx="843">
                  <c:v>11.485200000000001</c:v>
                </c:pt>
                <c:pt idx="844">
                  <c:v>11.5449</c:v>
                </c:pt>
                <c:pt idx="845">
                  <c:v>11.5336</c:v>
                </c:pt>
                <c:pt idx="846">
                  <c:v>11.6014</c:v>
                </c:pt>
                <c:pt idx="847">
                  <c:v>11.533899999999999</c:v>
                </c:pt>
                <c:pt idx="848">
                  <c:v>11.5311</c:v>
                </c:pt>
                <c:pt idx="849">
                  <c:v>11.4901</c:v>
                </c:pt>
                <c:pt idx="850">
                  <c:v>11.523300000000001</c:v>
                </c:pt>
                <c:pt idx="851">
                  <c:v>11.4567</c:v>
                </c:pt>
                <c:pt idx="852">
                  <c:v>11.470499999999999</c:v>
                </c:pt>
                <c:pt idx="853">
                  <c:v>11.5166</c:v>
                </c:pt>
                <c:pt idx="854">
                  <c:v>11.5396</c:v>
                </c:pt>
                <c:pt idx="855">
                  <c:v>11.5861</c:v>
                </c:pt>
                <c:pt idx="856">
                  <c:v>11.574199999999999</c:v>
                </c:pt>
                <c:pt idx="857">
                  <c:v>11.6266</c:v>
                </c:pt>
                <c:pt idx="858">
                  <c:v>11.6866</c:v>
                </c:pt>
                <c:pt idx="859">
                  <c:v>11.6577</c:v>
                </c:pt>
                <c:pt idx="860">
                  <c:v>11.633800000000001</c:v>
                </c:pt>
                <c:pt idx="861">
                  <c:v>11.6187</c:v>
                </c:pt>
                <c:pt idx="862">
                  <c:v>11.5968</c:v>
                </c:pt>
                <c:pt idx="863">
                  <c:v>11.6381</c:v>
                </c:pt>
                <c:pt idx="864">
                  <c:v>11.6929</c:v>
                </c:pt>
                <c:pt idx="865">
                  <c:v>11.6958</c:v>
                </c:pt>
                <c:pt idx="866">
                  <c:v>11.707000000000001</c:v>
                </c:pt>
                <c:pt idx="867">
                  <c:v>11.750500000000001</c:v>
                </c:pt>
                <c:pt idx="868">
                  <c:v>11.726599999999999</c:v>
                </c:pt>
                <c:pt idx="869">
                  <c:v>11.665699999999999</c:v>
                </c:pt>
                <c:pt idx="870">
                  <c:v>11.6441</c:v>
                </c:pt>
                <c:pt idx="871">
                  <c:v>11.638</c:v>
                </c:pt>
                <c:pt idx="872">
                  <c:v>11.661099999999999</c:v>
                </c:pt>
                <c:pt idx="873">
                  <c:v>11.713200000000001</c:v>
                </c:pt>
                <c:pt idx="874">
                  <c:v>11.702500000000001</c:v>
                </c:pt>
                <c:pt idx="875">
                  <c:v>11.6853</c:v>
                </c:pt>
                <c:pt idx="876">
                  <c:v>11.706</c:v>
                </c:pt>
                <c:pt idx="877">
                  <c:v>11.7117</c:v>
                </c:pt>
                <c:pt idx="878">
                  <c:v>11.6393</c:v>
                </c:pt>
                <c:pt idx="879">
                  <c:v>11.6372</c:v>
                </c:pt>
                <c:pt idx="880">
                  <c:v>11.641</c:v>
                </c:pt>
                <c:pt idx="881">
                  <c:v>11.6206</c:v>
                </c:pt>
                <c:pt idx="882">
                  <c:v>11.607100000000001</c:v>
                </c:pt>
                <c:pt idx="883">
                  <c:v>11.6252</c:v>
                </c:pt>
                <c:pt idx="884">
                  <c:v>11.615500000000001</c:v>
                </c:pt>
                <c:pt idx="885">
                  <c:v>11.554399999999999</c:v>
                </c:pt>
                <c:pt idx="886">
                  <c:v>11.522500000000001</c:v>
                </c:pt>
                <c:pt idx="887">
                  <c:v>11.468500000000001</c:v>
                </c:pt>
                <c:pt idx="888">
                  <c:v>11.513299999999999</c:v>
                </c:pt>
                <c:pt idx="889">
                  <c:v>11.488</c:v>
                </c:pt>
                <c:pt idx="890">
                  <c:v>11.4269</c:v>
                </c:pt>
                <c:pt idx="891">
                  <c:v>11.3438</c:v>
                </c:pt>
                <c:pt idx="892">
                  <c:v>11.3695</c:v>
                </c:pt>
                <c:pt idx="893">
                  <c:v>11.3271</c:v>
                </c:pt>
                <c:pt idx="894">
                  <c:v>11.331799999999999</c:v>
                </c:pt>
                <c:pt idx="895">
                  <c:v>11.3909</c:v>
                </c:pt>
                <c:pt idx="896">
                  <c:v>11.295999999999999</c:v>
                </c:pt>
                <c:pt idx="897">
                  <c:v>11.2775</c:v>
                </c:pt>
                <c:pt idx="898">
                  <c:v>11.1791</c:v>
                </c:pt>
                <c:pt idx="899">
                  <c:v>11.2713</c:v>
                </c:pt>
                <c:pt idx="900">
                  <c:v>11.2742</c:v>
                </c:pt>
                <c:pt idx="901">
                  <c:v>11.2913</c:v>
                </c:pt>
                <c:pt idx="902">
                  <c:v>11.221399999999999</c:v>
                </c:pt>
                <c:pt idx="903">
                  <c:v>11.2028</c:v>
                </c:pt>
                <c:pt idx="904">
                  <c:v>11.202500000000001</c:v>
                </c:pt>
                <c:pt idx="905">
                  <c:v>11.251200000000001</c:v>
                </c:pt>
                <c:pt idx="906">
                  <c:v>11.2265</c:v>
                </c:pt>
                <c:pt idx="907">
                  <c:v>11.251200000000001</c:v>
                </c:pt>
                <c:pt idx="908">
                  <c:v>11.2903</c:v>
                </c:pt>
                <c:pt idx="909">
                  <c:v>11.3634</c:v>
                </c:pt>
                <c:pt idx="910">
                  <c:v>11.353899999999999</c:v>
                </c:pt>
                <c:pt idx="911">
                  <c:v>11.411</c:v>
                </c:pt>
                <c:pt idx="912">
                  <c:v>11.407500000000001</c:v>
                </c:pt>
                <c:pt idx="913">
                  <c:v>11.3207</c:v>
                </c:pt>
                <c:pt idx="914">
                  <c:v>11.355700000000001</c:v>
                </c:pt>
                <c:pt idx="915">
                  <c:v>11.365600000000001</c:v>
                </c:pt>
                <c:pt idx="916">
                  <c:v>11.4206</c:v>
                </c:pt>
                <c:pt idx="917">
                  <c:v>11.426</c:v>
                </c:pt>
                <c:pt idx="918">
                  <c:v>11.414999999999999</c:v>
                </c:pt>
                <c:pt idx="919">
                  <c:v>11.385400000000001</c:v>
                </c:pt>
                <c:pt idx="920">
                  <c:v>11.481299999999999</c:v>
                </c:pt>
                <c:pt idx="921">
                  <c:v>11.5503</c:v>
                </c:pt>
                <c:pt idx="922">
                  <c:v>11.5533</c:v>
                </c:pt>
                <c:pt idx="923">
                  <c:v>11.5352</c:v>
                </c:pt>
                <c:pt idx="924">
                  <c:v>11.5253</c:v>
                </c:pt>
                <c:pt idx="925">
                  <c:v>11.618</c:v>
                </c:pt>
                <c:pt idx="926">
                  <c:v>11.6694</c:v>
                </c:pt>
                <c:pt idx="927">
                  <c:v>11.6874</c:v>
                </c:pt>
                <c:pt idx="928">
                  <c:v>11.6797</c:v>
                </c:pt>
                <c:pt idx="929">
                  <c:v>11.7239</c:v>
                </c:pt>
                <c:pt idx="930">
                  <c:v>11.728899999999999</c:v>
                </c:pt>
                <c:pt idx="931">
                  <c:v>11.7173</c:v>
                </c:pt>
                <c:pt idx="932">
                  <c:v>11.6638</c:v>
                </c:pt>
                <c:pt idx="933">
                  <c:v>11.605700000000001</c:v>
                </c:pt>
                <c:pt idx="934">
                  <c:v>11.5448</c:v>
                </c:pt>
                <c:pt idx="935">
                  <c:v>11.546799999999999</c:v>
                </c:pt>
                <c:pt idx="936">
                  <c:v>11.5465</c:v>
                </c:pt>
                <c:pt idx="937">
                  <c:v>11.5115</c:v>
                </c:pt>
                <c:pt idx="938">
                  <c:v>11.4192</c:v>
                </c:pt>
                <c:pt idx="939">
                  <c:v>11.492599999999999</c:v>
                </c:pt>
                <c:pt idx="940">
                  <c:v>11.475300000000001</c:v>
                </c:pt>
                <c:pt idx="941">
                  <c:v>11.5054</c:v>
                </c:pt>
                <c:pt idx="942">
                  <c:v>11.509</c:v>
                </c:pt>
                <c:pt idx="943">
                  <c:v>11.5036</c:v>
                </c:pt>
                <c:pt idx="944">
                  <c:v>11.5281</c:v>
                </c:pt>
                <c:pt idx="945">
                  <c:v>11.547599999999999</c:v>
                </c:pt>
                <c:pt idx="946">
                  <c:v>11.435499999999999</c:v>
                </c:pt>
                <c:pt idx="947">
                  <c:v>11.381399999999999</c:v>
                </c:pt>
                <c:pt idx="948">
                  <c:v>11.3688</c:v>
                </c:pt>
                <c:pt idx="949">
                  <c:v>11.3795</c:v>
                </c:pt>
                <c:pt idx="950">
                  <c:v>11.395799999999999</c:v>
                </c:pt>
                <c:pt idx="951">
                  <c:v>11.392799999999999</c:v>
                </c:pt>
                <c:pt idx="952">
                  <c:v>11.3626</c:v>
                </c:pt>
                <c:pt idx="953">
                  <c:v>11.3317</c:v>
                </c:pt>
                <c:pt idx="954">
                  <c:v>11.3483</c:v>
                </c:pt>
                <c:pt idx="955">
                  <c:v>11.3413</c:v>
                </c:pt>
                <c:pt idx="956">
                  <c:v>11.35</c:v>
                </c:pt>
                <c:pt idx="957">
                  <c:v>11.3916</c:v>
                </c:pt>
                <c:pt idx="958">
                  <c:v>11.385</c:v>
                </c:pt>
                <c:pt idx="959">
                  <c:v>11.402200000000001</c:v>
                </c:pt>
                <c:pt idx="960">
                  <c:v>11.395200000000001</c:v>
                </c:pt>
                <c:pt idx="961">
                  <c:v>11.4579</c:v>
                </c:pt>
                <c:pt idx="962">
                  <c:v>11.458500000000001</c:v>
                </c:pt>
                <c:pt idx="963">
                  <c:v>11.446</c:v>
                </c:pt>
                <c:pt idx="964">
                  <c:v>11.387700000000001</c:v>
                </c:pt>
                <c:pt idx="965">
                  <c:v>11.314399999999999</c:v>
                </c:pt>
                <c:pt idx="966">
                  <c:v>11.340199999999999</c:v>
                </c:pt>
                <c:pt idx="967">
                  <c:v>11.3338</c:v>
                </c:pt>
                <c:pt idx="968">
                  <c:v>11.34</c:v>
                </c:pt>
                <c:pt idx="969">
                  <c:v>11.3287</c:v>
                </c:pt>
                <c:pt idx="970">
                  <c:v>11.3794</c:v>
                </c:pt>
                <c:pt idx="971">
                  <c:v>11.342599999999999</c:v>
                </c:pt>
                <c:pt idx="972">
                  <c:v>11.290900000000001</c:v>
                </c:pt>
                <c:pt idx="973">
                  <c:v>11.3241</c:v>
                </c:pt>
                <c:pt idx="974">
                  <c:v>11.295299999999999</c:v>
                </c:pt>
                <c:pt idx="975">
                  <c:v>11.2729</c:v>
                </c:pt>
                <c:pt idx="976">
                  <c:v>11.303699999999999</c:v>
                </c:pt>
                <c:pt idx="977">
                  <c:v>11.3688</c:v>
                </c:pt>
                <c:pt idx="978">
                  <c:v>11.3413</c:v>
                </c:pt>
                <c:pt idx="979">
                  <c:v>11.367000000000001</c:v>
                </c:pt>
                <c:pt idx="980">
                  <c:v>11.373100000000001</c:v>
                </c:pt>
                <c:pt idx="981">
                  <c:v>11.372</c:v>
                </c:pt>
                <c:pt idx="982">
                  <c:v>11.370699999999999</c:v>
                </c:pt>
                <c:pt idx="983">
                  <c:v>11.375</c:v>
                </c:pt>
                <c:pt idx="984">
                  <c:v>11.366300000000001</c:v>
                </c:pt>
                <c:pt idx="985">
                  <c:v>11.354900000000001</c:v>
                </c:pt>
                <c:pt idx="986">
                  <c:v>11.3751</c:v>
                </c:pt>
                <c:pt idx="987">
                  <c:v>11.3133</c:v>
                </c:pt>
                <c:pt idx="988">
                  <c:v>11.398300000000001</c:v>
                </c:pt>
                <c:pt idx="989">
                  <c:v>11.4</c:v>
                </c:pt>
                <c:pt idx="990">
                  <c:v>11.4405</c:v>
                </c:pt>
                <c:pt idx="991">
                  <c:v>11.4352</c:v>
                </c:pt>
                <c:pt idx="992">
                  <c:v>11.394500000000001</c:v>
                </c:pt>
                <c:pt idx="993">
                  <c:v>11.4276</c:v>
                </c:pt>
                <c:pt idx="994">
                  <c:v>11.4305</c:v>
                </c:pt>
                <c:pt idx="995">
                  <c:v>11.4496</c:v>
                </c:pt>
                <c:pt idx="996">
                  <c:v>11.5077</c:v>
                </c:pt>
                <c:pt idx="997">
                  <c:v>11.5085</c:v>
                </c:pt>
                <c:pt idx="998">
                  <c:v>11.5885</c:v>
                </c:pt>
                <c:pt idx="999">
                  <c:v>11.6113</c:v>
                </c:pt>
                <c:pt idx="1000">
                  <c:v>11.636900000000001</c:v>
                </c:pt>
                <c:pt idx="1001">
                  <c:v>11.646000000000001</c:v>
                </c:pt>
                <c:pt idx="1002">
                  <c:v>11.683199999999999</c:v>
                </c:pt>
                <c:pt idx="1003">
                  <c:v>11.6607</c:v>
                </c:pt>
                <c:pt idx="1004">
                  <c:v>11.551600000000001</c:v>
                </c:pt>
                <c:pt idx="1005">
                  <c:v>11.623100000000001</c:v>
                </c:pt>
                <c:pt idx="1006">
                  <c:v>11.563599999999999</c:v>
                </c:pt>
                <c:pt idx="1007">
                  <c:v>11.5868</c:v>
                </c:pt>
                <c:pt idx="1008">
                  <c:v>11.610900000000001</c:v>
                </c:pt>
                <c:pt idx="1009">
                  <c:v>11.578099999999999</c:v>
                </c:pt>
                <c:pt idx="1010">
                  <c:v>11.582800000000001</c:v>
                </c:pt>
                <c:pt idx="1011">
                  <c:v>11.5861</c:v>
                </c:pt>
                <c:pt idx="1012">
                  <c:v>11.584199999999999</c:v>
                </c:pt>
                <c:pt idx="1013">
                  <c:v>11.6206</c:v>
                </c:pt>
                <c:pt idx="1014">
                  <c:v>11.6015</c:v>
                </c:pt>
                <c:pt idx="1015">
                  <c:v>11.5097</c:v>
                </c:pt>
                <c:pt idx="1016">
                  <c:v>11.530200000000001</c:v>
                </c:pt>
                <c:pt idx="1017">
                  <c:v>11.536</c:v>
                </c:pt>
                <c:pt idx="1018">
                  <c:v>11.5328</c:v>
                </c:pt>
                <c:pt idx="1019">
                  <c:v>11.528499999999999</c:v>
                </c:pt>
                <c:pt idx="1020">
                  <c:v>11.520200000000001</c:v>
                </c:pt>
                <c:pt idx="1021">
                  <c:v>11.547800000000001</c:v>
                </c:pt>
                <c:pt idx="1022">
                  <c:v>11.5794</c:v>
                </c:pt>
                <c:pt idx="1023">
                  <c:v>11.529500000000001</c:v>
                </c:pt>
                <c:pt idx="1024">
                  <c:v>11.494300000000001</c:v>
                </c:pt>
                <c:pt idx="1025">
                  <c:v>11.539099999999999</c:v>
                </c:pt>
                <c:pt idx="1026">
                  <c:v>11.528600000000001</c:v>
                </c:pt>
                <c:pt idx="1027">
                  <c:v>11.5402</c:v>
                </c:pt>
                <c:pt idx="1028">
                  <c:v>11.521699999999999</c:v>
                </c:pt>
                <c:pt idx="1029">
                  <c:v>11.525600000000001</c:v>
                </c:pt>
                <c:pt idx="1030">
                  <c:v>11.5222</c:v>
                </c:pt>
                <c:pt idx="1031">
                  <c:v>11.450900000000001</c:v>
                </c:pt>
                <c:pt idx="1032">
                  <c:v>11.4857</c:v>
                </c:pt>
                <c:pt idx="1033">
                  <c:v>11.4886</c:v>
                </c:pt>
                <c:pt idx="1034">
                  <c:v>11.436400000000001</c:v>
                </c:pt>
                <c:pt idx="1035">
                  <c:v>11.470700000000001</c:v>
                </c:pt>
                <c:pt idx="1036">
                  <c:v>11.4937</c:v>
                </c:pt>
                <c:pt idx="1037">
                  <c:v>11.550800000000001</c:v>
                </c:pt>
                <c:pt idx="1038">
                  <c:v>11.330399999999999</c:v>
                </c:pt>
                <c:pt idx="1039">
                  <c:v>11.522</c:v>
                </c:pt>
                <c:pt idx="1040">
                  <c:v>11.478300000000001</c:v>
                </c:pt>
                <c:pt idx="1041">
                  <c:v>11.4648</c:v>
                </c:pt>
                <c:pt idx="1042">
                  <c:v>11.476699999999999</c:v>
                </c:pt>
                <c:pt idx="1043">
                  <c:v>11.476699999999999</c:v>
                </c:pt>
                <c:pt idx="1044">
                  <c:v>11.4399</c:v>
                </c:pt>
                <c:pt idx="1045">
                  <c:v>11.4434</c:v>
                </c:pt>
                <c:pt idx="1046">
                  <c:v>11.476699999999999</c:v>
                </c:pt>
                <c:pt idx="1047">
                  <c:v>11.503399999999999</c:v>
                </c:pt>
                <c:pt idx="1048">
                  <c:v>11.5139</c:v>
                </c:pt>
                <c:pt idx="1049">
                  <c:v>11.489699999999999</c:v>
                </c:pt>
                <c:pt idx="1050">
                  <c:v>11.4991</c:v>
                </c:pt>
                <c:pt idx="1051">
                  <c:v>11.5215</c:v>
                </c:pt>
                <c:pt idx="1052">
                  <c:v>11.5137</c:v>
                </c:pt>
                <c:pt idx="1053">
                  <c:v>11.4757</c:v>
                </c:pt>
                <c:pt idx="1054">
                  <c:v>11.480600000000001</c:v>
                </c:pt>
                <c:pt idx="1055">
                  <c:v>11.4824</c:v>
                </c:pt>
                <c:pt idx="1056">
                  <c:v>11.4838</c:v>
                </c:pt>
                <c:pt idx="1057">
                  <c:v>11.4604</c:v>
                </c:pt>
                <c:pt idx="1058">
                  <c:v>11.4748</c:v>
                </c:pt>
                <c:pt idx="1059">
                  <c:v>11.464399999999999</c:v>
                </c:pt>
                <c:pt idx="1060">
                  <c:v>11.4701</c:v>
                </c:pt>
                <c:pt idx="1061">
                  <c:v>11.482799999999999</c:v>
                </c:pt>
                <c:pt idx="1062">
                  <c:v>11.4808</c:v>
                </c:pt>
                <c:pt idx="1063">
                  <c:v>11.4611</c:v>
                </c:pt>
                <c:pt idx="1064">
                  <c:v>11.4758</c:v>
                </c:pt>
                <c:pt idx="1065">
                  <c:v>11.491099999999999</c:v>
                </c:pt>
                <c:pt idx="1066">
                  <c:v>11.4634</c:v>
                </c:pt>
                <c:pt idx="1067">
                  <c:v>11.3813</c:v>
                </c:pt>
                <c:pt idx="1068">
                  <c:v>11.3385</c:v>
                </c:pt>
                <c:pt idx="1069">
                  <c:v>11.3116</c:v>
                </c:pt>
                <c:pt idx="1070">
                  <c:v>11.304500000000001</c:v>
                </c:pt>
                <c:pt idx="1071">
                  <c:v>11.2531</c:v>
                </c:pt>
                <c:pt idx="1072">
                  <c:v>11.241300000000001</c:v>
                </c:pt>
                <c:pt idx="1073">
                  <c:v>11.3012</c:v>
                </c:pt>
                <c:pt idx="1074">
                  <c:v>11.250500000000001</c:v>
                </c:pt>
                <c:pt idx="1075">
                  <c:v>11.237500000000001</c:v>
                </c:pt>
                <c:pt idx="1076">
                  <c:v>11.2164</c:v>
                </c:pt>
                <c:pt idx="1077">
                  <c:v>11.1991</c:v>
                </c:pt>
                <c:pt idx="1078">
                  <c:v>11.1919</c:v>
                </c:pt>
                <c:pt idx="1079">
                  <c:v>11.1668</c:v>
                </c:pt>
                <c:pt idx="1080">
                  <c:v>11.124599999999999</c:v>
                </c:pt>
                <c:pt idx="1081">
                  <c:v>11.1584</c:v>
                </c:pt>
                <c:pt idx="1082">
                  <c:v>11.138299999999999</c:v>
                </c:pt>
                <c:pt idx="1083">
                  <c:v>11.1592</c:v>
                </c:pt>
                <c:pt idx="1084">
                  <c:v>11.1793</c:v>
                </c:pt>
                <c:pt idx="1085">
                  <c:v>11.163500000000001</c:v>
                </c:pt>
                <c:pt idx="1086">
                  <c:v>11.0753</c:v>
                </c:pt>
                <c:pt idx="1087">
                  <c:v>11.0915</c:v>
                </c:pt>
                <c:pt idx="1088">
                  <c:v>11.0343</c:v>
                </c:pt>
                <c:pt idx="1089">
                  <c:v>10.988099999999999</c:v>
                </c:pt>
                <c:pt idx="1090">
                  <c:v>10.9321</c:v>
                </c:pt>
                <c:pt idx="1091">
                  <c:v>10.967700000000001</c:v>
                </c:pt>
                <c:pt idx="1092">
                  <c:v>10.9483</c:v>
                </c:pt>
                <c:pt idx="1093">
                  <c:v>10.9831</c:v>
                </c:pt>
                <c:pt idx="1094">
                  <c:v>11.0656</c:v>
                </c:pt>
                <c:pt idx="1095">
                  <c:v>11.0284</c:v>
                </c:pt>
                <c:pt idx="1096">
                  <c:v>11.0162</c:v>
                </c:pt>
                <c:pt idx="1097">
                  <c:v>10.9857</c:v>
                </c:pt>
                <c:pt idx="1098">
                  <c:v>11.020799999999999</c:v>
                </c:pt>
                <c:pt idx="1099">
                  <c:v>11.012</c:v>
                </c:pt>
                <c:pt idx="1100">
                  <c:v>10.9602</c:v>
                </c:pt>
                <c:pt idx="1101">
                  <c:v>10.9252</c:v>
                </c:pt>
                <c:pt idx="1102">
                  <c:v>10.834899999999999</c:v>
                </c:pt>
                <c:pt idx="1103">
                  <c:v>10.825100000000001</c:v>
                </c:pt>
                <c:pt idx="1104">
                  <c:v>10.8119</c:v>
                </c:pt>
                <c:pt idx="1105">
                  <c:v>10.8184</c:v>
                </c:pt>
                <c:pt idx="1106">
                  <c:v>10.8483</c:v>
                </c:pt>
                <c:pt idx="1107">
                  <c:v>10.7979</c:v>
                </c:pt>
                <c:pt idx="1108">
                  <c:v>10.7544</c:v>
                </c:pt>
                <c:pt idx="1109">
                  <c:v>10.7677</c:v>
                </c:pt>
                <c:pt idx="1110">
                  <c:v>11.024699999999999</c:v>
                </c:pt>
                <c:pt idx="1111">
                  <c:v>10.9682</c:v>
                </c:pt>
                <c:pt idx="1112">
                  <c:v>10.9284</c:v>
                </c:pt>
                <c:pt idx="1113">
                  <c:v>11.0663</c:v>
                </c:pt>
                <c:pt idx="1114">
                  <c:v>10.999599999999999</c:v>
                </c:pt>
                <c:pt idx="1115">
                  <c:v>11.161799999999999</c:v>
                </c:pt>
                <c:pt idx="1116">
                  <c:v>11.014699999999999</c:v>
                </c:pt>
                <c:pt idx="1117">
                  <c:v>11.123100000000001</c:v>
                </c:pt>
                <c:pt idx="1118">
                  <c:v>11.1309</c:v>
                </c:pt>
                <c:pt idx="1119">
                  <c:v>10.940899999999999</c:v>
                </c:pt>
                <c:pt idx="1120">
                  <c:v>10.940899999999999</c:v>
                </c:pt>
                <c:pt idx="1121">
                  <c:v>10.940899999999999</c:v>
                </c:pt>
                <c:pt idx="1122">
                  <c:v>10.9033</c:v>
                </c:pt>
                <c:pt idx="1123">
                  <c:v>10.919</c:v>
                </c:pt>
                <c:pt idx="1124">
                  <c:v>10.916</c:v>
                </c:pt>
                <c:pt idx="1125">
                  <c:v>11.0124</c:v>
                </c:pt>
                <c:pt idx="1126">
                  <c:v>10.944000000000001</c:v>
                </c:pt>
                <c:pt idx="1127">
                  <c:v>10.9697</c:v>
                </c:pt>
                <c:pt idx="1128">
                  <c:v>10.967000000000001</c:v>
                </c:pt>
                <c:pt idx="1129">
                  <c:v>11.0009</c:v>
                </c:pt>
                <c:pt idx="1130">
                  <c:v>10.9071</c:v>
                </c:pt>
                <c:pt idx="1131">
                  <c:v>10.928800000000001</c:v>
                </c:pt>
                <c:pt idx="1132">
                  <c:v>10.8599</c:v>
                </c:pt>
                <c:pt idx="1133">
                  <c:v>10.918200000000001</c:v>
                </c:pt>
                <c:pt idx="1134">
                  <c:v>10.9245</c:v>
                </c:pt>
                <c:pt idx="1135">
                  <c:v>10.928100000000001</c:v>
                </c:pt>
                <c:pt idx="1136">
                  <c:v>10.8965</c:v>
                </c:pt>
                <c:pt idx="1137">
                  <c:v>10.8592</c:v>
                </c:pt>
                <c:pt idx="1138">
                  <c:v>10.8848</c:v>
                </c:pt>
                <c:pt idx="1139">
                  <c:v>10.8969</c:v>
                </c:pt>
                <c:pt idx="1140">
                  <c:v>10.9194</c:v>
                </c:pt>
                <c:pt idx="1141">
                  <c:v>10.8973</c:v>
                </c:pt>
                <c:pt idx="1142">
                  <c:v>10.8787</c:v>
                </c:pt>
                <c:pt idx="1143">
                  <c:v>10.8415</c:v>
                </c:pt>
                <c:pt idx="1144">
                  <c:v>10.866400000000001</c:v>
                </c:pt>
                <c:pt idx="1145">
                  <c:v>10.8056</c:v>
                </c:pt>
                <c:pt idx="1146">
                  <c:v>10.8393</c:v>
                </c:pt>
                <c:pt idx="1147">
                  <c:v>10.912800000000001</c:v>
                </c:pt>
                <c:pt idx="1148">
                  <c:v>10.8872</c:v>
                </c:pt>
                <c:pt idx="1149">
                  <c:v>10.8613</c:v>
                </c:pt>
                <c:pt idx="1150">
                  <c:v>10.896699999999999</c:v>
                </c:pt>
                <c:pt idx="1151">
                  <c:v>10.9026</c:v>
                </c:pt>
                <c:pt idx="1152">
                  <c:v>10.946999999999999</c:v>
                </c:pt>
                <c:pt idx="1153">
                  <c:v>10.947699999999999</c:v>
                </c:pt>
                <c:pt idx="1154">
                  <c:v>10.9467</c:v>
                </c:pt>
                <c:pt idx="1155">
                  <c:v>10.9847</c:v>
                </c:pt>
                <c:pt idx="1156">
                  <c:v>10.958</c:v>
                </c:pt>
                <c:pt idx="1157">
                  <c:v>10.9602</c:v>
                </c:pt>
                <c:pt idx="1158">
                  <c:v>10.972</c:v>
                </c:pt>
                <c:pt idx="1159">
                  <c:v>10.9392</c:v>
                </c:pt>
                <c:pt idx="1160">
                  <c:v>10.9693</c:v>
                </c:pt>
                <c:pt idx="1161">
                  <c:v>10.9598</c:v>
                </c:pt>
                <c:pt idx="1162">
                  <c:v>10.9533</c:v>
                </c:pt>
                <c:pt idx="1163">
                  <c:v>11.054</c:v>
                </c:pt>
                <c:pt idx="1164">
                  <c:v>11.073499999999999</c:v>
                </c:pt>
                <c:pt idx="1165">
                  <c:v>11.145799999999999</c:v>
                </c:pt>
                <c:pt idx="1166">
                  <c:v>11.1251</c:v>
                </c:pt>
                <c:pt idx="1167">
                  <c:v>11.0672</c:v>
                </c:pt>
                <c:pt idx="1168">
                  <c:v>11.048500000000001</c:v>
                </c:pt>
                <c:pt idx="1169">
                  <c:v>11.102600000000001</c:v>
                </c:pt>
                <c:pt idx="1170">
                  <c:v>11.118</c:v>
                </c:pt>
                <c:pt idx="1171">
                  <c:v>11.1751</c:v>
                </c:pt>
                <c:pt idx="1172">
                  <c:v>11.181900000000001</c:v>
                </c:pt>
                <c:pt idx="1173">
                  <c:v>11.241</c:v>
                </c:pt>
                <c:pt idx="1174">
                  <c:v>11.256399999999999</c:v>
                </c:pt>
                <c:pt idx="1175">
                  <c:v>11.259499999999999</c:v>
                </c:pt>
                <c:pt idx="1176">
                  <c:v>11.157400000000001</c:v>
                </c:pt>
                <c:pt idx="1177">
                  <c:v>11.174899999999999</c:v>
                </c:pt>
                <c:pt idx="1178">
                  <c:v>11.1572</c:v>
                </c:pt>
                <c:pt idx="1179">
                  <c:v>11.1439</c:v>
                </c:pt>
                <c:pt idx="1180">
                  <c:v>11.1587</c:v>
                </c:pt>
                <c:pt idx="1181">
                  <c:v>11.229100000000001</c:v>
                </c:pt>
                <c:pt idx="1182">
                  <c:v>11.2699</c:v>
                </c:pt>
                <c:pt idx="1183">
                  <c:v>11.3141</c:v>
                </c:pt>
                <c:pt idx="1184">
                  <c:v>11.3133</c:v>
                </c:pt>
                <c:pt idx="1185">
                  <c:v>11.2537</c:v>
                </c:pt>
                <c:pt idx="1186">
                  <c:v>11.204499999999999</c:v>
                </c:pt>
                <c:pt idx="1187">
                  <c:v>11.183199999999999</c:v>
                </c:pt>
                <c:pt idx="1188">
                  <c:v>11.1754</c:v>
                </c:pt>
                <c:pt idx="1189">
                  <c:v>11.193199999999999</c:v>
                </c:pt>
                <c:pt idx="1190">
                  <c:v>11.177</c:v>
                </c:pt>
                <c:pt idx="1191">
                  <c:v>11.145799999999999</c:v>
                </c:pt>
                <c:pt idx="1192">
                  <c:v>11.1418</c:v>
                </c:pt>
                <c:pt idx="1193">
                  <c:v>11.1684</c:v>
                </c:pt>
                <c:pt idx="1194">
                  <c:v>11.169600000000001</c:v>
                </c:pt>
                <c:pt idx="1195">
                  <c:v>11.1823</c:v>
                </c:pt>
                <c:pt idx="1196">
                  <c:v>11.1859</c:v>
                </c:pt>
                <c:pt idx="1197">
                  <c:v>11.186299999999999</c:v>
                </c:pt>
                <c:pt idx="1198">
                  <c:v>11.202400000000001</c:v>
                </c:pt>
                <c:pt idx="1199">
                  <c:v>11.161099999999999</c:v>
                </c:pt>
                <c:pt idx="1200">
                  <c:v>11.162000000000001</c:v>
                </c:pt>
                <c:pt idx="1201">
                  <c:v>11.1936</c:v>
                </c:pt>
                <c:pt idx="1202">
                  <c:v>11.1554</c:v>
                </c:pt>
                <c:pt idx="1203">
                  <c:v>11.178599999999999</c:v>
                </c:pt>
                <c:pt idx="1204">
                  <c:v>11.174300000000001</c:v>
                </c:pt>
                <c:pt idx="1205">
                  <c:v>11.180899999999999</c:v>
                </c:pt>
                <c:pt idx="1206">
                  <c:v>11.1647</c:v>
                </c:pt>
                <c:pt idx="1207">
                  <c:v>11.177300000000001</c:v>
                </c:pt>
                <c:pt idx="1208">
                  <c:v>11.1816</c:v>
                </c:pt>
                <c:pt idx="1209">
                  <c:v>11.1755</c:v>
                </c:pt>
                <c:pt idx="1210">
                  <c:v>11.137700000000001</c:v>
                </c:pt>
                <c:pt idx="1211">
                  <c:v>11.140599999999999</c:v>
                </c:pt>
                <c:pt idx="1212">
                  <c:v>11.1393</c:v>
                </c:pt>
                <c:pt idx="1213">
                  <c:v>11.1006</c:v>
                </c:pt>
                <c:pt idx="1214">
                  <c:v>11.074999999999999</c:v>
                </c:pt>
                <c:pt idx="1215">
                  <c:v>11.0801</c:v>
                </c:pt>
                <c:pt idx="1216">
                  <c:v>10.9854</c:v>
                </c:pt>
                <c:pt idx="1217">
                  <c:v>11.0037</c:v>
                </c:pt>
                <c:pt idx="1218">
                  <c:v>10.9978</c:v>
                </c:pt>
                <c:pt idx="1219">
                  <c:v>11.0367</c:v>
                </c:pt>
                <c:pt idx="1220">
                  <c:v>10.9938</c:v>
                </c:pt>
                <c:pt idx="1221">
                  <c:v>11.0021</c:v>
                </c:pt>
                <c:pt idx="1222">
                  <c:v>11.0007</c:v>
                </c:pt>
                <c:pt idx="1223">
                  <c:v>10.921099999999999</c:v>
                </c:pt>
                <c:pt idx="1224">
                  <c:v>10.9367</c:v>
                </c:pt>
                <c:pt idx="1225">
                  <c:v>10.9458</c:v>
                </c:pt>
                <c:pt idx="1226">
                  <c:v>10.9147</c:v>
                </c:pt>
                <c:pt idx="1227">
                  <c:v>10.945399999999999</c:v>
                </c:pt>
                <c:pt idx="1228">
                  <c:v>10.9802</c:v>
                </c:pt>
                <c:pt idx="1229">
                  <c:v>11.0166</c:v>
                </c:pt>
                <c:pt idx="1230">
                  <c:v>11.0581</c:v>
                </c:pt>
                <c:pt idx="1231">
                  <c:v>11.036099999999999</c:v>
                </c:pt>
                <c:pt idx="1232">
                  <c:v>11.018000000000001</c:v>
                </c:pt>
                <c:pt idx="1233">
                  <c:v>11.041</c:v>
                </c:pt>
                <c:pt idx="1234">
                  <c:v>11.064399999999999</c:v>
                </c:pt>
                <c:pt idx="1235">
                  <c:v>11.019399999999999</c:v>
                </c:pt>
                <c:pt idx="1236">
                  <c:v>11.0467</c:v>
                </c:pt>
                <c:pt idx="1237">
                  <c:v>11.051399999999999</c:v>
                </c:pt>
                <c:pt idx="1238">
                  <c:v>11.0059</c:v>
                </c:pt>
                <c:pt idx="1239">
                  <c:v>11.0335</c:v>
                </c:pt>
                <c:pt idx="1240">
                  <c:v>10.996</c:v>
                </c:pt>
                <c:pt idx="1241">
                  <c:v>10.9861</c:v>
                </c:pt>
                <c:pt idx="1242">
                  <c:v>10.962300000000001</c:v>
                </c:pt>
                <c:pt idx="1243">
                  <c:v>10.9556</c:v>
                </c:pt>
                <c:pt idx="1244">
                  <c:v>11.029400000000001</c:v>
                </c:pt>
                <c:pt idx="1245">
                  <c:v>11.0215</c:v>
                </c:pt>
                <c:pt idx="1246">
                  <c:v>11.0016</c:v>
                </c:pt>
                <c:pt idx="1247">
                  <c:v>11.075200000000001</c:v>
                </c:pt>
                <c:pt idx="1248">
                  <c:v>11.0237</c:v>
                </c:pt>
                <c:pt idx="1249">
                  <c:v>10.998100000000001</c:v>
                </c:pt>
                <c:pt idx="1250">
                  <c:v>11.0212</c:v>
                </c:pt>
                <c:pt idx="1251">
                  <c:v>10.9688</c:v>
                </c:pt>
                <c:pt idx="1252">
                  <c:v>10.9358</c:v>
                </c:pt>
                <c:pt idx="1253">
                  <c:v>10.908899999999999</c:v>
                </c:pt>
                <c:pt idx="1254">
                  <c:v>10.902200000000001</c:v>
                </c:pt>
                <c:pt idx="1255">
                  <c:v>10.932</c:v>
                </c:pt>
                <c:pt idx="1256">
                  <c:v>10.930099999999999</c:v>
                </c:pt>
                <c:pt idx="1257">
                  <c:v>10.91</c:v>
                </c:pt>
                <c:pt idx="1258">
                  <c:v>10.908799999999999</c:v>
                </c:pt>
                <c:pt idx="1259">
                  <c:v>10.908300000000001</c:v>
                </c:pt>
                <c:pt idx="1260">
                  <c:v>10.9503</c:v>
                </c:pt>
                <c:pt idx="1261">
                  <c:v>10.9252</c:v>
                </c:pt>
                <c:pt idx="1262">
                  <c:v>10.9847</c:v>
                </c:pt>
                <c:pt idx="1263">
                  <c:v>10.991899999999999</c:v>
                </c:pt>
                <c:pt idx="1264">
                  <c:v>11.062799999999999</c:v>
                </c:pt>
                <c:pt idx="1265">
                  <c:v>11.045</c:v>
                </c:pt>
                <c:pt idx="1266">
                  <c:v>11.0054</c:v>
                </c:pt>
                <c:pt idx="1267">
                  <c:v>10.963200000000001</c:v>
                </c:pt>
                <c:pt idx="1268">
                  <c:v>10.952299999999999</c:v>
                </c:pt>
                <c:pt idx="1269">
                  <c:v>10.936999999999999</c:v>
                </c:pt>
                <c:pt idx="1270">
                  <c:v>10.971500000000001</c:v>
                </c:pt>
                <c:pt idx="1271">
                  <c:v>10.9755</c:v>
                </c:pt>
                <c:pt idx="1272">
                  <c:v>10.9985</c:v>
                </c:pt>
                <c:pt idx="1273">
                  <c:v>11.0106</c:v>
                </c:pt>
                <c:pt idx="1274">
                  <c:v>10.988899999999999</c:v>
                </c:pt>
                <c:pt idx="1275">
                  <c:v>11.0267</c:v>
                </c:pt>
                <c:pt idx="1276">
                  <c:v>11.0114</c:v>
                </c:pt>
                <c:pt idx="1277">
                  <c:v>11.0472</c:v>
                </c:pt>
                <c:pt idx="1278">
                  <c:v>11.0139</c:v>
                </c:pt>
                <c:pt idx="1279">
                  <c:v>10.9946</c:v>
                </c:pt>
                <c:pt idx="1280">
                  <c:v>10.951599999999999</c:v>
                </c:pt>
                <c:pt idx="1281">
                  <c:v>10.9621</c:v>
                </c:pt>
                <c:pt idx="1282">
                  <c:v>10.956</c:v>
                </c:pt>
                <c:pt idx="1283">
                  <c:v>10.9361</c:v>
                </c:pt>
                <c:pt idx="1284">
                  <c:v>10.9643</c:v>
                </c:pt>
                <c:pt idx="1285">
                  <c:v>10.956200000000001</c:v>
                </c:pt>
                <c:pt idx="1286">
                  <c:v>10.952500000000001</c:v>
                </c:pt>
                <c:pt idx="1287">
                  <c:v>10.8795</c:v>
                </c:pt>
                <c:pt idx="1288">
                  <c:v>10.8512</c:v>
                </c:pt>
                <c:pt idx="1289">
                  <c:v>10.8673</c:v>
                </c:pt>
                <c:pt idx="1290">
                  <c:v>10.9018</c:v>
                </c:pt>
                <c:pt idx="1291">
                  <c:v>10.914099999999999</c:v>
                </c:pt>
                <c:pt idx="1292">
                  <c:v>10.9298</c:v>
                </c:pt>
                <c:pt idx="1293">
                  <c:v>10.922700000000001</c:v>
                </c:pt>
                <c:pt idx="1294">
                  <c:v>10.892799999999999</c:v>
                </c:pt>
                <c:pt idx="1295">
                  <c:v>10.869199999999999</c:v>
                </c:pt>
                <c:pt idx="1296">
                  <c:v>10.846399999999999</c:v>
                </c:pt>
                <c:pt idx="1297">
                  <c:v>10.813700000000001</c:v>
                </c:pt>
                <c:pt idx="1298">
                  <c:v>10.7987</c:v>
                </c:pt>
                <c:pt idx="1299">
                  <c:v>10.7987</c:v>
                </c:pt>
                <c:pt idx="1300">
                  <c:v>10.7852</c:v>
                </c:pt>
                <c:pt idx="1301">
                  <c:v>10.815300000000001</c:v>
                </c:pt>
                <c:pt idx="1302">
                  <c:v>10.810700000000001</c:v>
                </c:pt>
                <c:pt idx="1303">
                  <c:v>10.826000000000001</c:v>
                </c:pt>
              </c:numCache>
            </c:numRef>
          </c:val>
          <c:smooth val="0"/>
          <c:extLst>
            <c:ext xmlns:c16="http://schemas.microsoft.com/office/drawing/2014/chart" uri="{C3380CC4-5D6E-409C-BE32-E72D297353CC}">
              <c16:uniqueId val="{0000000C-6353-45A4-A2C9-46AD4CA61480}"/>
            </c:ext>
          </c:extLst>
        </c:ser>
        <c:ser>
          <c:idx val="2"/>
          <c:order val="2"/>
          <c:tx>
            <c:strRef>
              <c:f>Statsformat!$D$8</c:f>
              <c:strCache>
                <c:ptCount val="1"/>
                <c:pt idx="0">
                  <c:v>SEK per CHF</c:v>
                </c:pt>
              </c:strCache>
            </c:strRef>
          </c:tx>
          <c:spPr>
            <a:ln w="12700">
              <a:solidFill>
                <a:srgbClr val="000000"/>
              </a:solidFill>
              <a:prstDash val="sysDash"/>
            </a:ln>
          </c:spPr>
          <c:marker>
            <c:symbol val="none"/>
          </c:marker>
          <c:cat>
            <c:numRef>
              <c:f>Statsformat!$A$9:$A$1312</c:f>
              <c:numCache>
                <c:formatCode>m/d/yyyy</c:formatCode>
                <c:ptCount val="1304"/>
                <c:pt idx="0">
                  <c:v>44197</c:v>
                </c:pt>
                <c:pt idx="1">
                  <c:v>44200</c:v>
                </c:pt>
                <c:pt idx="2">
                  <c:v>44201</c:v>
                </c:pt>
                <c:pt idx="3">
                  <c:v>44202</c:v>
                </c:pt>
                <c:pt idx="4">
                  <c:v>44203</c:v>
                </c:pt>
                <c:pt idx="5">
                  <c:v>44204</c:v>
                </c:pt>
                <c:pt idx="6">
                  <c:v>44207</c:v>
                </c:pt>
                <c:pt idx="7">
                  <c:v>44208</c:v>
                </c:pt>
                <c:pt idx="8">
                  <c:v>44209</c:v>
                </c:pt>
                <c:pt idx="9">
                  <c:v>44210</c:v>
                </c:pt>
                <c:pt idx="10">
                  <c:v>44211</c:v>
                </c:pt>
                <c:pt idx="11">
                  <c:v>44214</c:v>
                </c:pt>
                <c:pt idx="12">
                  <c:v>44215</c:v>
                </c:pt>
                <c:pt idx="13">
                  <c:v>44216</c:v>
                </c:pt>
                <c:pt idx="14">
                  <c:v>44217</c:v>
                </c:pt>
                <c:pt idx="15">
                  <c:v>44218</c:v>
                </c:pt>
                <c:pt idx="16">
                  <c:v>44221</c:v>
                </c:pt>
                <c:pt idx="17">
                  <c:v>44222</c:v>
                </c:pt>
                <c:pt idx="18">
                  <c:v>44223</c:v>
                </c:pt>
                <c:pt idx="19">
                  <c:v>44224</c:v>
                </c:pt>
                <c:pt idx="20">
                  <c:v>44225</c:v>
                </c:pt>
                <c:pt idx="21">
                  <c:v>44228</c:v>
                </c:pt>
                <c:pt idx="22">
                  <c:v>44229</c:v>
                </c:pt>
                <c:pt idx="23">
                  <c:v>44230</c:v>
                </c:pt>
                <c:pt idx="24">
                  <c:v>44231</c:v>
                </c:pt>
                <c:pt idx="25">
                  <c:v>44232</c:v>
                </c:pt>
                <c:pt idx="26">
                  <c:v>44235</c:v>
                </c:pt>
                <c:pt idx="27">
                  <c:v>44236</c:v>
                </c:pt>
                <c:pt idx="28">
                  <c:v>44237</c:v>
                </c:pt>
                <c:pt idx="29">
                  <c:v>44238</c:v>
                </c:pt>
                <c:pt idx="30">
                  <c:v>44239</c:v>
                </c:pt>
                <c:pt idx="31">
                  <c:v>44242</c:v>
                </c:pt>
                <c:pt idx="32">
                  <c:v>44243</c:v>
                </c:pt>
                <c:pt idx="33">
                  <c:v>44244</c:v>
                </c:pt>
                <c:pt idx="34">
                  <c:v>44245</c:v>
                </c:pt>
                <c:pt idx="35">
                  <c:v>44246</c:v>
                </c:pt>
                <c:pt idx="36">
                  <c:v>44249</c:v>
                </c:pt>
                <c:pt idx="37">
                  <c:v>44250</c:v>
                </c:pt>
                <c:pt idx="38">
                  <c:v>44251</c:v>
                </c:pt>
                <c:pt idx="39">
                  <c:v>44252</c:v>
                </c:pt>
                <c:pt idx="40">
                  <c:v>44253</c:v>
                </c:pt>
                <c:pt idx="41">
                  <c:v>44256</c:v>
                </c:pt>
                <c:pt idx="42">
                  <c:v>44257</c:v>
                </c:pt>
                <c:pt idx="43">
                  <c:v>44258</c:v>
                </c:pt>
                <c:pt idx="44">
                  <c:v>44259</c:v>
                </c:pt>
                <c:pt idx="45">
                  <c:v>44260</c:v>
                </c:pt>
                <c:pt idx="46">
                  <c:v>44263</c:v>
                </c:pt>
                <c:pt idx="47">
                  <c:v>44264</c:v>
                </c:pt>
                <c:pt idx="48">
                  <c:v>44265</c:v>
                </c:pt>
                <c:pt idx="49">
                  <c:v>44266</c:v>
                </c:pt>
                <c:pt idx="50">
                  <c:v>44267</c:v>
                </c:pt>
                <c:pt idx="51">
                  <c:v>44270</c:v>
                </c:pt>
                <c:pt idx="52">
                  <c:v>44271</c:v>
                </c:pt>
                <c:pt idx="53">
                  <c:v>44272</c:v>
                </c:pt>
                <c:pt idx="54">
                  <c:v>44273</c:v>
                </c:pt>
                <c:pt idx="55">
                  <c:v>44274</c:v>
                </c:pt>
                <c:pt idx="56">
                  <c:v>44277</c:v>
                </c:pt>
                <c:pt idx="57">
                  <c:v>44278</c:v>
                </c:pt>
                <c:pt idx="58">
                  <c:v>44279</c:v>
                </c:pt>
                <c:pt idx="59">
                  <c:v>44280</c:v>
                </c:pt>
                <c:pt idx="60">
                  <c:v>44281</c:v>
                </c:pt>
                <c:pt idx="61">
                  <c:v>44284</c:v>
                </c:pt>
                <c:pt idx="62">
                  <c:v>44285</c:v>
                </c:pt>
                <c:pt idx="63">
                  <c:v>44286</c:v>
                </c:pt>
                <c:pt idx="64">
                  <c:v>44287</c:v>
                </c:pt>
                <c:pt idx="65">
                  <c:v>44288</c:v>
                </c:pt>
                <c:pt idx="66">
                  <c:v>44291</c:v>
                </c:pt>
                <c:pt idx="67">
                  <c:v>44292</c:v>
                </c:pt>
                <c:pt idx="68">
                  <c:v>44293</c:v>
                </c:pt>
                <c:pt idx="69">
                  <c:v>44294</c:v>
                </c:pt>
                <c:pt idx="70">
                  <c:v>44295</c:v>
                </c:pt>
                <c:pt idx="71">
                  <c:v>44298</c:v>
                </c:pt>
                <c:pt idx="72">
                  <c:v>44299</c:v>
                </c:pt>
                <c:pt idx="73">
                  <c:v>44300</c:v>
                </c:pt>
                <c:pt idx="74">
                  <c:v>44301</c:v>
                </c:pt>
                <c:pt idx="75">
                  <c:v>44302</c:v>
                </c:pt>
                <c:pt idx="76">
                  <c:v>44305</c:v>
                </c:pt>
                <c:pt idx="77">
                  <c:v>44306</c:v>
                </c:pt>
                <c:pt idx="78">
                  <c:v>44307</c:v>
                </c:pt>
                <c:pt idx="79">
                  <c:v>44308</c:v>
                </c:pt>
                <c:pt idx="80">
                  <c:v>44309</c:v>
                </c:pt>
                <c:pt idx="81">
                  <c:v>44312</c:v>
                </c:pt>
                <c:pt idx="82">
                  <c:v>44313</c:v>
                </c:pt>
                <c:pt idx="83">
                  <c:v>44314</c:v>
                </c:pt>
                <c:pt idx="84">
                  <c:v>44315</c:v>
                </c:pt>
                <c:pt idx="85">
                  <c:v>44316</c:v>
                </c:pt>
                <c:pt idx="86">
                  <c:v>44319</c:v>
                </c:pt>
                <c:pt idx="87">
                  <c:v>44320</c:v>
                </c:pt>
                <c:pt idx="88">
                  <c:v>44321</c:v>
                </c:pt>
                <c:pt idx="89">
                  <c:v>44322</c:v>
                </c:pt>
                <c:pt idx="90">
                  <c:v>44323</c:v>
                </c:pt>
                <c:pt idx="91">
                  <c:v>44326</c:v>
                </c:pt>
                <c:pt idx="92">
                  <c:v>44327</c:v>
                </c:pt>
                <c:pt idx="93">
                  <c:v>44328</c:v>
                </c:pt>
                <c:pt idx="94">
                  <c:v>44329</c:v>
                </c:pt>
                <c:pt idx="95">
                  <c:v>44330</c:v>
                </c:pt>
                <c:pt idx="96">
                  <c:v>44333</c:v>
                </c:pt>
                <c:pt idx="97">
                  <c:v>44334</c:v>
                </c:pt>
                <c:pt idx="98">
                  <c:v>44335</c:v>
                </c:pt>
                <c:pt idx="99">
                  <c:v>44336</c:v>
                </c:pt>
                <c:pt idx="100">
                  <c:v>44337</c:v>
                </c:pt>
                <c:pt idx="101">
                  <c:v>44340</c:v>
                </c:pt>
                <c:pt idx="102">
                  <c:v>44341</c:v>
                </c:pt>
                <c:pt idx="103">
                  <c:v>44342</c:v>
                </c:pt>
                <c:pt idx="104">
                  <c:v>44343</c:v>
                </c:pt>
                <c:pt idx="105">
                  <c:v>44344</c:v>
                </c:pt>
                <c:pt idx="106">
                  <c:v>44347</c:v>
                </c:pt>
                <c:pt idx="107">
                  <c:v>44348</c:v>
                </c:pt>
                <c:pt idx="108">
                  <c:v>44349</c:v>
                </c:pt>
                <c:pt idx="109">
                  <c:v>44350</c:v>
                </c:pt>
                <c:pt idx="110">
                  <c:v>44351</c:v>
                </c:pt>
                <c:pt idx="111">
                  <c:v>44354</c:v>
                </c:pt>
                <c:pt idx="112">
                  <c:v>44355</c:v>
                </c:pt>
                <c:pt idx="113">
                  <c:v>44356</c:v>
                </c:pt>
                <c:pt idx="114">
                  <c:v>44357</c:v>
                </c:pt>
                <c:pt idx="115">
                  <c:v>44358</c:v>
                </c:pt>
                <c:pt idx="116">
                  <c:v>44361</c:v>
                </c:pt>
                <c:pt idx="117">
                  <c:v>44362</c:v>
                </c:pt>
                <c:pt idx="118">
                  <c:v>44363</c:v>
                </c:pt>
                <c:pt idx="119">
                  <c:v>44364</c:v>
                </c:pt>
                <c:pt idx="120">
                  <c:v>44365</c:v>
                </c:pt>
                <c:pt idx="121">
                  <c:v>44368</c:v>
                </c:pt>
                <c:pt idx="122">
                  <c:v>44369</c:v>
                </c:pt>
                <c:pt idx="123">
                  <c:v>44370</c:v>
                </c:pt>
                <c:pt idx="124">
                  <c:v>44371</c:v>
                </c:pt>
                <c:pt idx="125">
                  <c:v>44372</c:v>
                </c:pt>
                <c:pt idx="126">
                  <c:v>44375</c:v>
                </c:pt>
                <c:pt idx="127">
                  <c:v>44376</c:v>
                </c:pt>
                <c:pt idx="128">
                  <c:v>44377</c:v>
                </c:pt>
                <c:pt idx="129">
                  <c:v>44378</c:v>
                </c:pt>
                <c:pt idx="130">
                  <c:v>44379</c:v>
                </c:pt>
                <c:pt idx="131">
                  <c:v>44382</c:v>
                </c:pt>
                <c:pt idx="132">
                  <c:v>44383</c:v>
                </c:pt>
                <c:pt idx="133">
                  <c:v>44384</c:v>
                </c:pt>
                <c:pt idx="134">
                  <c:v>44385</c:v>
                </c:pt>
                <c:pt idx="135">
                  <c:v>44386</c:v>
                </c:pt>
                <c:pt idx="136">
                  <c:v>44389</c:v>
                </c:pt>
                <c:pt idx="137">
                  <c:v>44390</c:v>
                </c:pt>
                <c:pt idx="138">
                  <c:v>44391</c:v>
                </c:pt>
                <c:pt idx="139">
                  <c:v>44392</c:v>
                </c:pt>
                <c:pt idx="140">
                  <c:v>44393</c:v>
                </c:pt>
                <c:pt idx="141">
                  <c:v>44396</c:v>
                </c:pt>
                <c:pt idx="142">
                  <c:v>44397</c:v>
                </c:pt>
                <c:pt idx="143">
                  <c:v>44398</c:v>
                </c:pt>
                <c:pt idx="144">
                  <c:v>44399</c:v>
                </c:pt>
                <c:pt idx="145">
                  <c:v>44400</c:v>
                </c:pt>
                <c:pt idx="146">
                  <c:v>44403</c:v>
                </c:pt>
                <c:pt idx="147">
                  <c:v>44404</c:v>
                </c:pt>
                <c:pt idx="148">
                  <c:v>44405</c:v>
                </c:pt>
                <c:pt idx="149">
                  <c:v>44406</c:v>
                </c:pt>
                <c:pt idx="150">
                  <c:v>44407</c:v>
                </c:pt>
                <c:pt idx="151">
                  <c:v>44410</c:v>
                </c:pt>
                <c:pt idx="152">
                  <c:v>44411</c:v>
                </c:pt>
                <c:pt idx="153">
                  <c:v>44412</c:v>
                </c:pt>
                <c:pt idx="154">
                  <c:v>44413</c:v>
                </c:pt>
                <c:pt idx="155">
                  <c:v>44414</c:v>
                </c:pt>
                <c:pt idx="156">
                  <c:v>44417</c:v>
                </c:pt>
                <c:pt idx="157">
                  <c:v>44418</c:v>
                </c:pt>
                <c:pt idx="158">
                  <c:v>44419</c:v>
                </c:pt>
                <c:pt idx="159">
                  <c:v>44420</c:v>
                </c:pt>
                <c:pt idx="160">
                  <c:v>44421</c:v>
                </c:pt>
                <c:pt idx="161">
                  <c:v>44424</c:v>
                </c:pt>
                <c:pt idx="162">
                  <c:v>44425</c:v>
                </c:pt>
                <c:pt idx="163">
                  <c:v>44426</c:v>
                </c:pt>
                <c:pt idx="164">
                  <c:v>44427</c:v>
                </c:pt>
                <c:pt idx="165">
                  <c:v>44428</c:v>
                </c:pt>
                <c:pt idx="166">
                  <c:v>44431</c:v>
                </c:pt>
                <c:pt idx="167">
                  <c:v>44432</c:v>
                </c:pt>
                <c:pt idx="168">
                  <c:v>44433</c:v>
                </c:pt>
                <c:pt idx="169">
                  <c:v>44434</c:v>
                </c:pt>
                <c:pt idx="170">
                  <c:v>44435</c:v>
                </c:pt>
                <c:pt idx="171">
                  <c:v>44438</c:v>
                </c:pt>
                <c:pt idx="172">
                  <c:v>44439</c:v>
                </c:pt>
                <c:pt idx="173">
                  <c:v>44440</c:v>
                </c:pt>
                <c:pt idx="174">
                  <c:v>44441</c:v>
                </c:pt>
                <c:pt idx="175">
                  <c:v>44442</c:v>
                </c:pt>
                <c:pt idx="176">
                  <c:v>44445</c:v>
                </c:pt>
                <c:pt idx="177">
                  <c:v>44446</c:v>
                </c:pt>
                <c:pt idx="178">
                  <c:v>44447</c:v>
                </c:pt>
                <c:pt idx="179">
                  <c:v>44448</c:v>
                </c:pt>
                <c:pt idx="180">
                  <c:v>44449</c:v>
                </c:pt>
                <c:pt idx="181">
                  <c:v>44452</c:v>
                </c:pt>
                <c:pt idx="182">
                  <c:v>44453</c:v>
                </c:pt>
                <c:pt idx="183">
                  <c:v>44454</c:v>
                </c:pt>
                <c:pt idx="184">
                  <c:v>44455</c:v>
                </c:pt>
                <c:pt idx="185">
                  <c:v>44456</c:v>
                </c:pt>
                <c:pt idx="186">
                  <c:v>44459</c:v>
                </c:pt>
                <c:pt idx="187">
                  <c:v>44460</c:v>
                </c:pt>
                <c:pt idx="188">
                  <c:v>44461</c:v>
                </c:pt>
                <c:pt idx="189">
                  <c:v>44462</c:v>
                </c:pt>
                <c:pt idx="190">
                  <c:v>44463</c:v>
                </c:pt>
                <c:pt idx="191">
                  <c:v>44466</c:v>
                </c:pt>
                <c:pt idx="192">
                  <c:v>44467</c:v>
                </c:pt>
                <c:pt idx="193">
                  <c:v>44468</c:v>
                </c:pt>
                <c:pt idx="194">
                  <c:v>44469</c:v>
                </c:pt>
                <c:pt idx="195">
                  <c:v>44470</c:v>
                </c:pt>
                <c:pt idx="196">
                  <c:v>44473</c:v>
                </c:pt>
                <c:pt idx="197">
                  <c:v>44474</c:v>
                </c:pt>
                <c:pt idx="198">
                  <c:v>44475</c:v>
                </c:pt>
                <c:pt idx="199">
                  <c:v>44476</c:v>
                </c:pt>
                <c:pt idx="200">
                  <c:v>44477</c:v>
                </c:pt>
                <c:pt idx="201">
                  <c:v>44480</c:v>
                </c:pt>
                <c:pt idx="202">
                  <c:v>44481</c:v>
                </c:pt>
                <c:pt idx="203">
                  <c:v>44482</c:v>
                </c:pt>
                <c:pt idx="204">
                  <c:v>44483</c:v>
                </c:pt>
                <c:pt idx="205">
                  <c:v>44484</c:v>
                </c:pt>
                <c:pt idx="206">
                  <c:v>44487</c:v>
                </c:pt>
                <c:pt idx="207">
                  <c:v>44488</c:v>
                </c:pt>
                <c:pt idx="208">
                  <c:v>44489</c:v>
                </c:pt>
                <c:pt idx="209">
                  <c:v>44490</c:v>
                </c:pt>
                <c:pt idx="210">
                  <c:v>44491</c:v>
                </c:pt>
                <c:pt idx="211">
                  <c:v>44494</c:v>
                </c:pt>
                <c:pt idx="212">
                  <c:v>44495</c:v>
                </c:pt>
                <c:pt idx="213">
                  <c:v>44496</c:v>
                </c:pt>
                <c:pt idx="214">
                  <c:v>44497</c:v>
                </c:pt>
                <c:pt idx="215">
                  <c:v>44498</c:v>
                </c:pt>
                <c:pt idx="216">
                  <c:v>44501</c:v>
                </c:pt>
                <c:pt idx="217">
                  <c:v>44502</c:v>
                </c:pt>
                <c:pt idx="218">
                  <c:v>44503</c:v>
                </c:pt>
                <c:pt idx="219">
                  <c:v>44504</c:v>
                </c:pt>
                <c:pt idx="220">
                  <c:v>44505</c:v>
                </c:pt>
                <c:pt idx="221">
                  <c:v>44508</c:v>
                </c:pt>
                <c:pt idx="222">
                  <c:v>44509</c:v>
                </c:pt>
                <c:pt idx="223">
                  <c:v>44510</c:v>
                </c:pt>
                <c:pt idx="224">
                  <c:v>44511</c:v>
                </c:pt>
                <c:pt idx="225">
                  <c:v>44512</c:v>
                </c:pt>
                <c:pt idx="226">
                  <c:v>44515</c:v>
                </c:pt>
                <c:pt idx="227">
                  <c:v>44516</c:v>
                </c:pt>
                <c:pt idx="228">
                  <c:v>44517</c:v>
                </c:pt>
                <c:pt idx="229">
                  <c:v>44518</c:v>
                </c:pt>
                <c:pt idx="230">
                  <c:v>44519</c:v>
                </c:pt>
                <c:pt idx="231">
                  <c:v>44522</c:v>
                </c:pt>
                <c:pt idx="232">
                  <c:v>44523</c:v>
                </c:pt>
                <c:pt idx="233">
                  <c:v>44524</c:v>
                </c:pt>
                <c:pt idx="234">
                  <c:v>44525</c:v>
                </c:pt>
                <c:pt idx="235">
                  <c:v>44526</c:v>
                </c:pt>
                <c:pt idx="236">
                  <c:v>44529</c:v>
                </c:pt>
                <c:pt idx="237">
                  <c:v>44530</c:v>
                </c:pt>
                <c:pt idx="238">
                  <c:v>44531</c:v>
                </c:pt>
                <c:pt idx="239">
                  <c:v>44532</c:v>
                </c:pt>
                <c:pt idx="240">
                  <c:v>44533</c:v>
                </c:pt>
                <c:pt idx="241">
                  <c:v>44536</c:v>
                </c:pt>
                <c:pt idx="242">
                  <c:v>44537</c:v>
                </c:pt>
                <c:pt idx="243">
                  <c:v>44538</c:v>
                </c:pt>
                <c:pt idx="244">
                  <c:v>44539</c:v>
                </c:pt>
                <c:pt idx="245">
                  <c:v>44540</c:v>
                </c:pt>
                <c:pt idx="246">
                  <c:v>44543</c:v>
                </c:pt>
                <c:pt idx="247">
                  <c:v>44544</c:v>
                </c:pt>
                <c:pt idx="248">
                  <c:v>44545</c:v>
                </c:pt>
                <c:pt idx="249">
                  <c:v>44546</c:v>
                </c:pt>
                <c:pt idx="250">
                  <c:v>44547</c:v>
                </c:pt>
                <c:pt idx="251">
                  <c:v>44550</c:v>
                </c:pt>
                <c:pt idx="252">
                  <c:v>44551</c:v>
                </c:pt>
                <c:pt idx="253">
                  <c:v>44552</c:v>
                </c:pt>
                <c:pt idx="254">
                  <c:v>44553</c:v>
                </c:pt>
                <c:pt idx="255">
                  <c:v>44554</c:v>
                </c:pt>
                <c:pt idx="256">
                  <c:v>44557</c:v>
                </c:pt>
                <c:pt idx="257">
                  <c:v>44558</c:v>
                </c:pt>
                <c:pt idx="258">
                  <c:v>44559</c:v>
                </c:pt>
                <c:pt idx="259">
                  <c:v>44560</c:v>
                </c:pt>
                <c:pt idx="260">
                  <c:v>44561</c:v>
                </c:pt>
                <c:pt idx="261">
                  <c:v>44564</c:v>
                </c:pt>
                <c:pt idx="262">
                  <c:v>44565</c:v>
                </c:pt>
                <c:pt idx="263">
                  <c:v>44566</c:v>
                </c:pt>
                <c:pt idx="264">
                  <c:v>44567</c:v>
                </c:pt>
                <c:pt idx="265">
                  <c:v>44568</c:v>
                </c:pt>
                <c:pt idx="266">
                  <c:v>44571</c:v>
                </c:pt>
                <c:pt idx="267">
                  <c:v>44572</c:v>
                </c:pt>
                <c:pt idx="268">
                  <c:v>44573</c:v>
                </c:pt>
                <c:pt idx="269">
                  <c:v>44574</c:v>
                </c:pt>
                <c:pt idx="270">
                  <c:v>44575</c:v>
                </c:pt>
                <c:pt idx="271">
                  <c:v>44578</c:v>
                </c:pt>
                <c:pt idx="272">
                  <c:v>44579</c:v>
                </c:pt>
                <c:pt idx="273">
                  <c:v>44580</c:v>
                </c:pt>
                <c:pt idx="274">
                  <c:v>44581</c:v>
                </c:pt>
                <c:pt idx="275">
                  <c:v>44582</c:v>
                </c:pt>
                <c:pt idx="276">
                  <c:v>44585</c:v>
                </c:pt>
                <c:pt idx="277">
                  <c:v>44586</c:v>
                </c:pt>
                <c:pt idx="278">
                  <c:v>44587</c:v>
                </c:pt>
                <c:pt idx="279">
                  <c:v>44588</c:v>
                </c:pt>
                <c:pt idx="280">
                  <c:v>44589</c:v>
                </c:pt>
                <c:pt idx="281">
                  <c:v>44592</c:v>
                </c:pt>
                <c:pt idx="282">
                  <c:v>44593</c:v>
                </c:pt>
                <c:pt idx="283">
                  <c:v>44594</c:v>
                </c:pt>
                <c:pt idx="284">
                  <c:v>44595</c:v>
                </c:pt>
                <c:pt idx="285">
                  <c:v>44596</c:v>
                </c:pt>
                <c:pt idx="286">
                  <c:v>44599</c:v>
                </c:pt>
                <c:pt idx="287">
                  <c:v>44600</c:v>
                </c:pt>
                <c:pt idx="288">
                  <c:v>44601</c:v>
                </c:pt>
                <c:pt idx="289">
                  <c:v>44602</c:v>
                </c:pt>
                <c:pt idx="290">
                  <c:v>44603</c:v>
                </c:pt>
                <c:pt idx="291">
                  <c:v>44606</c:v>
                </c:pt>
                <c:pt idx="292">
                  <c:v>44607</c:v>
                </c:pt>
                <c:pt idx="293">
                  <c:v>44608</c:v>
                </c:pt>
                <c:pt idx="294">
                  <c:v>44609</c:v>
                </c:pt>
                <c:pt idx="295">
                  <c:v>44610</c:v>
                </c:pt>
                <c:pt idx="296">
                  <c:v>44613</c:v>
                </c:pt>
                <c:pt idx="297">
                  <c:v>44614</c:v>
                </c:pt>
                <c:pt idx="298">
                  <c:v>44615</c:v>
                </c:pt>
                <c:pt idx="299">
                  <c:v>44616</c:v>
                </c:pt>
                <c:pt idx="300">
                  <c:v>44617</c:v>
                </c:pt>
                <c:pt idx="301">
                  <c:v>44620</c:v>
                </c:pt>
                <c:pt idx="302">
                  <c:v>44621</c:v>
                </c:pt>
                <c:pt idx="303">
                  <c:v>44622</c:v>
                </c:pt>
                <c:pt idx="304">
                  <c:v>44623</c:v>
                </c:pt>
                <c:pt idx="305">
                  <c:v>44624</c:v>
                </c:pt>
                <c:pt idx="306">
                  <c:v>44627</c:v>
                </c:pt>
                <c:pt idx="307">
                  <c:v>44628</c:v>
                </c:pt>
                <c:pt idx="308">
                  <c:v>44629</c:v>
                </c:pt>
                <c:pt idx="309">
                  <c:v>44630</c:v>
                </c:pt>
                <c:pt idx="310">
                  <c:v>44631</c:v>
                </c:pt>
                <c:pt idx="311">
                  <c:v>44634</c:v>
                </c:pt>
                <c:pt idx="312">
                  <c:v>44635</c:v>
                </c:pt>
                <c:pt idx="313">
                  <c:v>44636</c:v>
                </c:pt>
                <c:pt idx="314">
                  <c:v>44637</c:v>
                </c:pt>
                <c:pt idx="315">
                  <c:v>44638</c:v>
                </c:pt>
                <c:pt idx="316">
                  <c:v>44641</c:v>
                </c:pt>
                <c:pt idx="317">
                  <c:v>44642</c:v>
                </c:pt>
                <c:pt idx="318">
                  <c:v>44643</c:v>
                </c:pt>
                <c:pt idx="319">
                  <c:v>44644</c:v>
                </c:pt>
                <c:pt idx="320">
                  <c:v>44645</c:v>
                </c:pt>
                <c:pt idx="321">
                  <c:v>44648</c:v>
                </c:pt>
                <c:pt idx="322">
                  <c:v>44649</c:v>
                </c:pt>
                <c:pt idx="323">
                  <c:v>44650</c:v>
                </c:pt>
                <c:pt idx="324">
                  <c:v>44651</c:v>
                </c:pt>
                <c:pt idx="325">
                  <c:v>44652</c:v>
                </c:pt>
                <c:pt idx="326">
                  <c:v>44655</c:v>
                </c:pt>
                <c:pt idx="327">
                  <c:v>44656</c:v>
                </c:pt>
                <c:pt idx="328">
                  <c:v>44657</c:v>
                </c:pt>
                <c:pt idx="329">
                  <c:v>44658</c:v>
                </c:pt>
                <c:pt idx="330">
                  <c:v>44659</c:v>
                </c:pt>
                <c:pt idx="331">
                  <c:v>44662</c:v>
                </c:pt>
                <c:pt idx="332">
                  <c:v>44663</c:v>
                </c:pt>
                <c:pt idx="333">
                  <c:v>44664</c:v>
                </c:pt>
                <c:pt idx="334">
                  <c:v>44665</c:v>
                </c:pt>
                <c:pt idx="335">
                  <c:v>44666</c:v>
                </c:pt>
                <c:pt idx="336">
                  <c:v>44669</c:v>
                </c:pt>
                <c:pt idx="337">
                  <c:v>44670</c:v>
                </c:pt>
                <c:pt idx="338">
                  <c:v>44671</c:v>
                </c:pt>
                <c:pt idx="339">
                  <c:v>44672</c:v>
                </c:pt>
                <c:pt idx="340">
                  <c:v>44673</c:v>
                </c:pt>
                <c:pt idx="341">
                  <c:v>44676</c:v>
                </c:pt>
                <c:pt idx="342">
                  <c:v>44677</c:v>
                </c:pt>
                <c:pt idx="343">
                  <c:v>44678</c:v>
                </c:pt>
                <c:pt idx="344">
                  <c:v>44679</c:v>
                </c:pt>
                <c:pt idx="345">
                  <c:v>44680</c:v>
                </c:pt>
                <c:pt idx="346">
                  <c:v>44683</c:v>
                </c:pt>
                <c:pt idx="347">
                  <c:v>44684</c:v>
                </c:pt>
                <c:pt idx="348">
                  <c:v>44685</c:v>
                </c:pt>
                <c:pt idx="349">
                  <c:v>44686</c:v>
                </c:pt>
                <c:pt idx="350">
                  <c:v>44687</c:v>
                </c:pt>
                <c:pt idx="351">
                  <c:v>44690</c:v>
                </c:pt>
                <c:pt idx="352">
                  <c:v>44691</c:v>
                </c:pt>
                <c:pt idx="353">
                  <c:v>44692</c:v>
                </c:pt>
                <c:pt idx="354">
                  <c:v>44693</c:v>
                </c:pt>
                <c:pt idx="355">
                  <c:v>44694</c:v>
                </c:pt>
                <c:pt idx="356">
                  <c:v>44697</c:v>
                </c:pt>
                <c:pt idx="357">
                  <c:v>44698</c:v>
                </c:pt>
                <c:pt idx="358">
                  <c:v>44699</c:v>
                </c:pt>
                <c:pt idx="359">
                  <c:v>44700</c:v>
                </c:pt>
                <c:pt idx="360">
                  <c:v>44701</c:v>
                </c:pt>
                <c:pt idx="361">
                  <c:v>44704</c:v>
                </c:pt>
                <c:pt idx="362">
                  <c:v>44705</c:v>
                </c:pt>
                <c:pt idx="363">
                  <c:v>44706</c:v>
                </c:pt>
                <c:pt idx="364">
                  <c:v>44707</c:v>
                </c:pt>
                <c:pt idx="365">
                  <c:v>44708</c:v>
                </c:pt>
                <c:pt idx="366">
                  <c:v>44711</c:v>
                </c:pt>
                <c:pt idx="367">
                  <c:v>44712</c:v>
                </c:pt>
                <c:pt idx="368">
                  <c:v>44713</c:v>
                </c:pt>
                <c:pt idx="369">
                  <c:v>44714</c:v>
                </c:pt>
                <c:pt idx="370">
                  <c:v>44715</c:v>
                </c:pt>
                <c:pt idx="371">
                  <c:v>44718</c:v>
                </c:pt>
                <c:pt idx="372">
                  <c:v>44719</c:v>
                </c:pt>
                <c:pt idx="373">
                  <c:v>44720</c:v>
                </c:pt>
                <c:pt idx="374">
                  <c:v>44721</c:v>
                </c:pt>
                <c:pt idx="375">
                  <c:v>44722</c:v>
                </c:pt>
                <c:pt idx="376">
                  <c:v>44725</c:v>
                </c:pt>
                <c:pt idx="377">
                  <c:v>44726</c:v>
                </c:pt>
                <c:pt idx="378">
                  <c:v>44727</c:v>
                </c:pt>
                <c:pt idx="379">
                  <c:v>44728</c:v>
                </c:pt>
                <c:pt idx="380">
                  <c:v>44729</c:v>
                </c:pt>
                <c:pt idx="381">
                  <c:v>44732</c:v>
                </c:pt>
                <c:pt idx="382">
                  <c:v>44733</c:v>
                </c:pt>
                <c:pt idx="383">
                  <c:v>44734</c:v>
                </c:pt>
                <c:pt idx="384">
                  <c:v>44735</c:v>
                </c:pt>
                <c:pt idx="385">
                  <c:v>44736</c:v>
                </c:pt>
                <c:pt idx="386">
                  <c:v>44739</c:v>
                </c:pt>
                <c:pt idx="387">
                  <c:v>44740</c:v>
                </c:pt>
                <c:pt idx="388">
                  <c:v>44741</c:v>
                </c:pt>
                <c:pt idx="389">
                  <c:v>44742</c:v>
                </c:pt>
                <c:pt idx="390">
                  <c:v>44743</c:v>
                </c:pt>
                <c:pt idx="391">
                  <c:v>44746</c:v>
                </c:pt>
                <c:pt idx="392">
                  <c:v>44747</c:v>
                </c:pt>
                <c:pt idx="393">
                  <c:v>44748</c:v>
                </c:pt>
                <c:pt idx="394">
                  <c:v>44749</c:v>
                </c:pt>
                <c:pt idx="395">
                  <c:v>44750</c:v>
                </c:pt>
                <c:pt idx="396">
                  <c:v>44753</c:v>
                </c:pt>
                <c:pt idx="397">
                  <c:v>44754</c:v>
                </c:pt>
                <c:pt idx="398">
                  <c:v>44755</c:v>
                </c:pt>
                <c:pt idx="399">
                  <c:v>44756</c:v>
                </c:pt>
                <c:pt idx="400">
                  <c:v>44757</c:v>
                </c:pt>
                <c:pt idx="401">
                  <c:v>44760</c:v>
                </c:pt>
                <c:pt idx="402">
                  <c:v>44761</c:v>
                </c:pt>
                <c:pt idx="403">
                  <c:v>44762</c:v>
                </c:pt>
                <c:pt idx="404">
                  <c:v>44763</c:v>
                </c:pt>
                <c:pt idx="405">
                  <c:v>44764</c:v>
                </c:pt>
                <c:pt idx="406">
                  <c:v>44767</c:v>
                </c:pt>
                <c:pt idx="407">
                  <c:v>44768</c:v>
                </c:pt>
                <c:pt idx="408">
                  <c:v>44769</c:v>
                </c:pt>
                <c:pt idx="409">
                  <c:v>44770</c:v>
                </c:pt>
                <c:pt idx="410">
                  <c:v>44771</c:v>
                </c:pt>
                <c:pt idx="411">
                  <c:v>44774</c:v>
                </c:pt>
                <c:pt idx="412">
                  <c:v>44775</c:v>
                </c:pt>
                <c:pt idx="413">
                  <c:v>44776</c:v>
                </c:pt>
                <c:pt idx="414">
                  <c:v>44777</c:v>
                </c:pt>
                <c:pt idx="415">
                  <c:v>44778</c:v>
                </c:pt>
                <c:pt idx="416">
                  <c:v>44781</c:v>
                </c:pt>
                <c:pt idx="417">
                  <c:v>44782</c:v>
                </c:pt>
                <c:pt idx="418">
                  <c:v>44783</c:v>
                </c:pt>
                <c:pt idx="419">
                  <c:v>44784</c:v>
                </c:pt>
                <c:pt idx="420">
                  <c:v>44785</c:v>
                </c:pt>
                <c:pt idx="421">
                  <c:v>44788</c:v>
                </c:pt>
                <c:pt idx="422">
                  <c:v>44789</c:v>
                </c:pt>
                <c:pt idx="423">
                  <c:v>44790</c:v>
                </c:pt>
                <c:pt idx="424">
                  <c:v>44791</c:v>
                </c:pt>
                <c:pt idx="425">
                  <c:v>44792</c:v>
                </c:pt>
                <c:pt idx="426">
                  <c:v>44795</c:v>
                </c:pt>
                <c:pt idx="427">
                  <c:v>44796</c:v>
                </c:pt>
                <c:pt idx="428">
                  <c:v>44797</c:v>
                </c:pt>
                <c:pt idx="429">
                  <c:v>44798</c:v>
                </c:pt>
                <c:pt idx="430">
                  <c:v>44799</c:v>
                </c:pt>
                <c:pt idx="431">
                  <c:v>44802</c:v>
                </c:pt>
                <c:pt idx="432">
                  <c:v>44803</c:v>
                </c:pt>
                <c:pt idx="433">
                  <c:v>44804</c:v>
                </c:pt>
                <c:pt idx="434">
                  <c:v>44805</c:v>
                </c:pt>
                <c:pt idx="435">
                  <c:v>44806</c:v>
                </c:pt>
                <c:pt idx="436">
                  <c:v>44809</c:v>
                </c:pt>
                <c:pt idx="437">
                  <c:v>44810</c:v>
                </c:pt>
                <c:pt idx="438">
                  <c:v>44811</c:v>
                </c:pt>
                <c:pt idx="439">
                  <c:v>44812</c:v>
                </c:pt>
                <c:pt idx="440">
                  <c:v>44813</c:v>
                </c:pt>
                <c:pt idx="441">
                  <c:v>44816</c:v>
                </c:pt>
                <c:pt idx="442">
                  <c:v>44817</c:v>
                </c:pt>
                <c:pt idx="443">
                  <c:v>44818</c:v>
                </c:pt>
                <c:pt idx="444">
                  <c:v>44819</c:v>
                </c:pt>
                <c:pt idx="445">
                  <c:v>44820</c:v>
                </c:pt>
                <c:pt idx="446">
                  <c:v>44823</c:v>
                </c:pt>
                <c:pt idx="447">
                  <c:v>44824</c:v>
                </c:pt>
                <c:pt idx="448">
                  <c:v>44825</c:v>
                </c:pt>
                <c:pt idx="449">
                  <c:v>44826</c:v>
                </c:pt>
                <c:pt idx="450">
                  <c:v>44827</c:v>
                </c:pt>
                <c:pt idx="451">
                  <c:v>44830</c:v>
                </c:pt>
                <c:pt idx="452">
                  <c:v>44831</c:v>
                </c:pt>
                <c:pt idx="453">
                  <c:v>44832</c:v>
                </c:pt>
                <c:pt idx="454">
                  <c:v>44833</c:v>
                </c:pt>
                <c:pt idx="455">
                  <c:v>44834</c:v>
                </c:pt>
                <c:pt idx="456">
                  <c:v>44837</c:v>
                </c:pt>
                <c:pt idx="457">
                  <c:v>44838</c:v>
                </c:pt>
                <c:pt idx="458">
                  <c:v>44839</c:v>
                </c:pt>
                <c:pt idx="459">
                  <c:v>44840</c:v>
                </c:pt>
                <c:pt idx="460">
                  <c:v>44841</c:v>
                </c:pt>
                <c:pt idx="461">
                  <c:v>44844</c:v>
                </c:pt>
                <c:pt idx="462">
                  <c:v>44845</c:v>
                </c:pt>
                <c:pt idx="463">
                  <c:v>44846</c:v>
                </c:pt>
                <c:pt idx="464">
                  <c:v>44847</c:v>
                </c:pt>
                <c:pt idx="465">
                  <c:v>44848</c:v>
                </c:pt>
                <c:pt idx="466">
                  <c:v>44851</c:v>
                </c:pt>
                <c:pt idx="467">
                  <c:v>44852</c:v>
                </c:pt>
                <c:pt idx="468">
                  <c:v>44853</c:v>
                </c:pt>
                <c:pt idx="469">
                  <c:v>44854</c:v>
                </c:pt>
                <c:pt idx="470">
                  <c:v>44855</c:v>
                </c:pt>
                <c:pt idx="471">
                  <c:v>44858</c:v>
                </c:pt>
                <c:pt idx="472">
                  <c:v>44859</c:v>
                </c:pt>
                <c:pt idx="473">
                  <c:v>44860</c:v>
                </c:pt>
                <c:pt idx="474">
                  <c:v>44861</c:v>
                </c:pt>
                <c:pt idx="475">
                  <c:v>44862</c:v>
                </c:pt>
                <c:pt idx="476">
                  <c:v>44865</c:v>
                </c:pt>
                <c:pt idx="477">
                  <c:v>44866</c:v>
                </c:pt>
                <c:pt idx="478">
                  <c:v>44867</c:v>
                </c:pt>
                <c:pt idx="479">
                  <c:v>44868</c:v>
                </c:pt>
                <c:pt idx="480">
                  <c:v>44869</c:v>
                </c:pt>
                <c:pt idx="481">
                  <c:v>44872</c:v>
                </c:pt>
                <c:pt idx="482">
                  <c:v>44873</c:v>
                </c:pt>
                <c:pt idx="483">
                  <c:v>44874</c:v>
                </c:pt>
                <c:pt idx="484">
                  <c:v>44875</c:v>
                </c:pt>
                <c:pt idx="485">
                  <c:v>44876</c:v>
                </c:pt>
                <c:pt idx="486">
                  <c:v>44879</c:v>
                </c:pt>
                <c:pt idx="487">
                  <c:v>44880</c:v>
                </c:pt>
                <c:pt idx="488">
                  <c:v>44881</c:v>
                </c:pt>
                <c:pt idx="489">
                  <c:v>44882</c:v>
                </c:pt>
                <c:pt idx="490">
                  <c:v>44883</c:v>
                </c:pt>
                <c:pt idx="491">
                  <c:v>44886</c:v>
                </c:pt>
                <c:pt idx="492">
                  <c:v>44887</c:v>
                </c:pt>
                <c:pt idx="493">
                  <c:v>44888</c:v>
                </c:pt>
                <c:pt idx="494">
                  <c:v>44889</c:v>
                </c:pt>
                <c:pt idx="495">
                  <c:v>44890</c:v>
                </c:pt>
                <c:pt idx="496">
                  <c:v>44893</c:v>
                </c:pt>
                <c:pt idx="497">
                  <c:v>44894</c:v>
                </c:pt>
                <c:pt idx="498">
                  <c:v>44895</c:v>
                </c:pt>
                <c:pt idx="499">
                  <c:v>44896</c:v>
                </c:pt>
                <c:pt idx="500">
                  <c:v>44897</c:v>
                </c:pt>
                <c:pt idx="501">
                  <c:v>44900</c:v>
                </c:pt>
                <c:pt idx="502">
                  <c:v>44901</c:v>
                </c:pt>
                <c:pt idx="503">
                  <c:v>44902</c:v>
                </c:pt>
                <c:pt idx="504">
                  <c:v>44903</c:v>
                </c:pt>
                <c:pt idx="505">
                  <c:v>44904</c:v>
                </c:pt>
                <c:pt idx="506">
                  <c:v>44907</c:v>
                </c:pt>
                <c:pt idx="507">
                  <c:v>44908</c:v>
                </c:pt>
                <c:pt idx="508">
                  <c:v>44909</c:v>
                </c:pt>
                <c:pt idx="509">
                  <c:v>44910</c:v>
                </c:pt>
                <c:pt idx="510">
                  <c:v>44911</c:v>
                </c:pt>
                <c:pt idx="511">
                  <c:v>44914</c:v>
                </c:pt>
                <c:pt idx="512">
                  <c:v>44915</c:v>
                </c:pt>
                <c:pt idx="513">
                  <c:v>44916</c:v>
                </c:pt>
                <c:pt idx="514">
                  <c:v>44917</c:v>
                </c:pt>
                <c:pt idx="515">
                  <c:v>44918</c:v>
                </c:pt>
                <c:pt idx="516">
                  <c:v>44921</c:v>
                </c:pt>
                <c:pt idx="517">
                  <c:v>44922</c:v>
                </c:pt>
                <c:pt idx="518">
                  <c:v>44923</c:v>
                </c:pt>
                <c:pt idx="519">
                  <c:v>44924</c:v>
                </c:pt>
                <c:pt idx="520">
                  <c:v>44925</c:v>
                </c:pt>
                <c:pt idx="521">
                  <c:v>44928</c:v>
                </c:pt>
                <c:pt idx="522">
                  <c:v>44929</c:v>
                </c:pt>
                <c:pt idx="523">
                  <c:v>44930</c:v>
                </c:pt>
                <c:pt idx="524">
                  <c:v>44931</c:v>
                </c:pt>
                <c:pt idx="525">
                  <c:v>44932</c:v>
                </c:pt>
                <c:pt idx="526">
                  <c:v>44935</c:v>
                </c:pt>
                <c:pt idx="527">
                  <c:v>44936</c:v>
                </c:pt>
                <c:pt idx="528">
                  <c:v>44937</c:v>
                </c:pt>
                <c:pt idx="529">
                  <c:v>44938</c:v>
                </c:pt>
                <c:pt idx="530">
                  <c:v>44939</c:v>
                </c:pt>
                <c:pt idx="531">
                  <c:v>44942</c:v>
                </c:pt>
                <c:pt idx="532">
                  <c:v>44943</c:v>
                </c:pt>
                <c:pt idx="533">
                  <c:v>44944</c:v>
                </c:pt>
                <c:pt idx="534">
                  <c:v>44945</c:v>
                </c:pt>
                <c:pt idx="535">
                  <c:v>44946</c:v>
                </c:pt>
                <c:pt idx="536">
                  <c:v>44949</c:v>
                </c:pt>
                <c:pt idx="537">
                  <c:v>44950</c:v>
                </c:pt>
                <c:pt idx="538">
                  <c:v>44951</c:v>
                </c:pt>
                <c:pt idx="539">
                  <c:v>44952</c:v>
                </c:pt>
                <c:pt idx="540">
                  <c:v>44953</c:v>
                </c:pt>
                <c:pt idx="541">
                  <c:v>44956</c:v>
                </c:pt>
                <c:pt idx="542">
                  <c:v>44957</c:v>
                </c:pt>
                <c:pt idx="543">
                  <c:v>44958</c:v>
                </c:pt>
                <c:pt idx="544">
                  <c:v>44959</c:v>
                </c:pt>
                <c:pt idx="545">
                  <c:v>44960</c:v>
                </c:pt>
                <c:pt idx="546">
                  <c:v>44963</c:v>
                </c:pt>
                <c:pt idx="547">
                  <c:v>44964</c:v>
                </c:pt>
                <c:pt idx="548">
                  <c:v>44965</c:v>
                </c:pt>
                <c:pt idx="549">
                  <c:v>44966</c:v>
                </c:pt>
                <c:pt idx="550">
                  <c:v>44967</c:v>
                </c:pt>
                <c:pt idx="551">
                  <c:v>44970</c:v>
                </c:pt>
                <c:pt idx="552">
                  <c:v>44971</c:v>
                </c:pt>
                <c:pt idx="553">
                  <c:v>44972</c:v>
                </c:pt>
                <c:pt idx="554">
                  <c:v>44973</c:v>
                </c:pt>
                <c:pt idx="555">
                  <c:v>44974</c:v>
                </c:pt>
                <c:pt idx="556">
                  <c:v>44977</c:v>
                </c:pt>
                <c:pt idx="557">
                  <c:v>44978</c:v>
                </c:pt>
                <c:pt idx="558">
                  <c:v>44979</c:v>
                </c:pt>
                <c:pt idx="559">
                  <c:v>44980</c:v>
                </c:pt>
                <c:pt idx="560">
                  <c:v>44981</c:v>
                </c:pt>
                <c:pt idx="561">
                  <c:v>44984</c:v>
                </c:pt>
                <c:pt idx="562">
                  <c:v>44985</c:v>
                </c:pt>
                <c:pt idx="563">
                  <c:v>44986</c:v>
                </c:pt>
                <c:pt idx="564">
                  <c:v>44987</c:v>
                </c:pt>
                <c:pt idx="565">
                  <c:v>44988</c:v>
                </c:pt>
                <c:pt idx="566">
                  <c:v>44991</c:v>
                </c:pt>
                <c:pt idx="567">
                  <c:v>44992</c:v>
                </c:pt>
                <c:pt idx="568">
                  <c:v>44993</c:v>
                </c:pt>
                <c:pt idx="569">
                  <c:v>44994</c:v>
                </c:pt>
                <c:pt idx="570">
                  <c:v>44995</c:v>
                </c:pt>
                <c:pt idx="571">
                  <c:v>44998</c:v>
                </c:pt>
                <c:pt idx="572">
                  <c:v>44999</c:v>
                </c:pt>
                <c:pt idx="573">
                  <c:v>45000</c:v>
                </c:pt>
                <c:pt idx="574">
                  <c:v>45001</c:v>
                </c:pt>
                <c:pt idx="575">
                  <c:v>45002</c:v>
                </c:pt>
                <c:pt idx="576">
                  <c:v>45005</c:v>
                </c:pt>
                <c:pt idx="577">
                  <c:v>45006</c:v>
                </c:pt>
                <c:pt idx="578">
                  <c:v>45007</c:v>
                </c:pt>
                <c:pt idx="579">
                  <c:v>45008</c:v>
                </c:pt>
                <c:pt idx="580">
                  <c:v>45009</c:v>
                </c:pt>
                <c:pt idx="581">
                  <c:v>45012</c:v>
                </c:pt>
                <c:pt idx="582">
                  <c:v>45013</c:v>
                </c:pt>
                <c:pt idx="583">
                  <c:v>45014</c:v>
                </c:pt>
                <c:pt idx="584">
                  <c:v>45015</c:v>
                </c:pt>
                <c:pt idx="585">
                  <c:v>45016</c:v>
                </c:pt>
                <c:pt idx="586">
                  <c:v>45019</c:v>
                </c:pt>
                <c:pt idx="587">
                  <c:v>45020</c:v>
                </c:pt>
                <c:pt idx="588">
                  <c:v>45021</c:v>
                </c:pt>
                <c:pt idx="589">
                  <c:v>45022</c:v>
                </c:pt>
                <c:pt idx="590">
                  <c:v>45023</c:v>
                </c:pt>
                <c:pt idx="591">
                  <c:v>45026</c:v>
                </c:pt>
                <c:pt idx="592">
                  <c:v>45027</c:v>
                </c:pt>
                <c:pt idx="593">
                  <c:v>45028</c:v>
                </c:pt>
                <c:pt idx="594">
                  <c:v>45029</c:v>
                </c:pt>
                <c:pt idx="595">
                  <c:v>45030</c:v>
                </c:pt>
                <c:pt idx="596">
                  <c:v>45033</c:v>
                </c:pt>
                <c:pt idx="597">
                  <c:v>45034</c:v>
                </c:pt>
                <c:pt idx="598">
                  <c:v>45035</c:v>
                </c:pt>
                <c:pt idx="599">
                  <c:v>45036</c:v>
                </c:pt>
                <c:pt idx="600">
                  <c:v>45037</c:v>
                </c:pt>
                <c:pt idx="601">
                  <c:v>45040</c:v>
                </c:pt>
                <c:pt idx="602">
                  <c:v>45041</c:v>
                </c:pt>
                <c:pt idx="603">
                  <c:v>45042</c:v>
                </c:pt>
                <c:pt idx="604">
                  <c:v>45043</c:v>
                </c:pt>
                <c:pt idx="605">
                  <c:v>45044</c:v>
                </c:pt>
                <c:pt idx="606">
                  <c:v>45047</c:v>
                </c:pt>
                <c:pt idx="607">
                  <c:v>45048</c:v>
                </c:pt>
                <c:pt idx="608">
                  <c:v>45049</c:v>
                </c:pt>
                <c:pt idx="609">
                  <c:v>45050</c:v>
                </c:pt>
                <c:pt idx="610">
                  <c:v>45051</c:v>
                </c:pt>
                <c:pt idx="611">
                  <c:v>45054</c:v>
                </c:pt>
                <c:pt idx="612">
                  <c:v>45055</c:v>
                </c:pt>
                <c:pt idx="613">
                  <c:v>45056</c:v>
                </c:pt>
                <c:pt idx="614">
                  <c:v>45057</c:v>
                </c:pt>
                <c:pt idx="615">
                  <c:v>45058</c:v>
                </c:pt>
                <c:pt idx="616">
                  <c:v>45061</c:v>
                </c:pt>
                <c:pt idx="617">
                  <c:v>45062</c:v>
                </c:pt>
                <c:pt idx="618">
                  <c:v>45063</c:v>
                </c:pt>
                <c:pt idx="619">
                  <c:v>45064</c:v>
                </c:pt>
                <c:pt idx="620">
                  <c:v>45065</c:v>
                </c:pt>
                <c:pt idx="621">
                  <c:v>45068</c:v>
                </c:pt>
                <c:pt idx="622">
                  <c:v>45069</c:v>
                </c:pt>
                <c:pt idx="623">
                  <c:v>45070</c:v>
                </c:pt>
                <c:pt idx="624">
                  <c:v>45071</c:v>
                </c:pt>
                <c:pt idx="625">
                  <c:v>45072</c:v>
                </c:pt>
                <c:pt idx="626">
                  <c:v>45075</c:v>
                </c:pt>
                <c:pt idx="627">
                  <c:v>45076</c:v>
                </c:pt>
                <c:pt idx="628">
                  <c:v>45077</c:v>
                </c:pt>
                <c:pt idx="629">
                  <c:v>45078</c:v>
                </c:pt>
                <c:pt idx="630">
                  <c:v>45079</c:v>
                </c:pt>
                <c:pt idx="631">
                  <c:v>45082</c:v>
                </c:pt>
                <c:pt idx="632">
                  <c:v>45083</c:v>
                </c:pt>
                <c:pt idx="633">
                  <c:v>45084</c:v>
                </c:pt>
                <c:pt idx="634">
                  <c:v>45085</c:v>
                </c:pt>
                <c:pt idx="635">
                  <c:v>45086</c:v>
                </c:pt>
                <c:pt idx="636">
                  <c:v>45089</c:v>
                </c:pt>
                <c:pt idx="637">
                  <c:v>45090</c:v>
                </c:pt>
                <c:pt idx="638">
                  <c:v>45091</c:v>
                </c:pt>
                <c:pt idx="639">
                  <c:v>45092</c:v>
                </c:pt>
                <c:pt idx="640">
                  <c:v>45093</c:v>
                </c:pt>
                <c:pt idx="641">
                  <c:v>45096</c:v>
                </c:pt>
                <c:pt idx="642">
                  <c:v>45097</c:v>
                </c:pt>
                <c:pt idx="643">
                  <c:v>45098</c:v>
                </c:pt>
                <c:pt idx="644">
                  <c:v>45099</c:v>
                </c:pt>
                <c:pt idx="645">
                  <c:v>45100</c:v>
                </c:pt>
                <c:pt idx="646">
                  <c:v>45103</c:v>
                </c:pt>
                <c:pt idx="647">
                  <c:v>45104</c:v>
                </c:pt>
                <c:pt idx="648">
                  <c:v>45105</c:v>
                </c:pt>
                <c:pt idx="649">
                  <c:v>45106</c:v>
                </c:pt>
                <c:pt idx="650">
                  <c:v>45107</c:v>
                </c:pt>
                <c:pt idx="651">
                  <c:v>45110</c:v>
                </c:pt>
                <c:pt idx="652">
                  <c:v>45111</c:v>
                </c:pt>
                <c:pt idx="653">
                  <c:v>45112</c:v>
                </c:pt>
                <c:pt idx="654">
                  <c:v>45113</c:v>
                </c:pt>
                <c:pt idx="655">
                  <c:v>45114</c:v>
                </c:pt>
                <c:pt idx="656">
                  <c:v>45117</c:v>
                </c:pt>
                <c:pt idx="657">
                  <c:v>45118</c:v>
                </c:pt>
                <c:pt idx="658">
                  <c:v>45119</c:v>
                </c:pt>
                <c:pt idx="659">
                  <c:v>45120</c:v>
                </c:pt>
                <c:pt idx="660">
                  <c:v>45121</c:v>
                </c:pt>
                <c:pt idx="661">
                  <c:v>45124</c:v>
                </c:pt>
                <c:pt idx="662">
                  <c:v>45125</c:v>
                </c:pt>
                <c:pt idx="663">
                  <c:v>45126</c:v>
                </c:pt>
                <c:pt idx="664">
                  <c:v>45127</c:v>
                </c:pt>
                <c:pt idx="665">
                  <c:v>45128</c:v>
                </c:pt>
                <c:pt idx="666">
                  <c:v>45131</c:v>
                </c:pt>
                <c:pt idx="667">
                  <c:v>45132</c:v>
                </c:pt>
                <c:pt idx="668">
                  <c:v>45133</c:v>
                </c:pt>
                <c:pt idx="669">
                  <c:v>45134</c:v>
                </c:pt>
                <c:pt idx="670">
                  <c:v>45135</c:v>
                </c:pt>
                <c:pt idx="671">
                  <c:v>45138</c:v>
                </c:pt>
                <c:pt idx="672">
                  <c:v>45139</c:v>
                </c:pt>
                <c:pt idx="673">
                  <c:v>45140</c:v>
                </c:pt>
                <c:pt idx="674">
                  <c:v>45141</c:v>
                </c:pt>
                <c:pt idx="675">
                  <c:v>45142</c:v>
                </c:pt>
                <c:pt idx="676">
                  <c:v>45145</c:v>
                </c:pt>
                <c:pt idx="677">
                  <c:v>45146</c:v>
                </c:pt>
                <c:pt idx="678">
                  <c:v>45147</c:v>
                </c:pt>
                <c:pt idx="679">
                  <c:v>45148</c:v>
                </c:pt>
                <c:pt idx="680">
                  <c:v>45149</c:v>
                </c:pt>
                <c:pt idx="681">
                  <c:v>45152</c:v>
                </c:pt>
                <c:pt idx="682">
                  <c:v>45153</c:v>
                </c:pt>
                <c:pt idx="683">
                  <c:v>45154</c:v>
                </c:pt>
                <c:pt idx="684">
                  <c:v>45155</c:v>
                </c:pt>
                <c:pt idx="685">
                  <c:v>45156</c:v>
                </c:pt>
                <c:pt idx="686">
                  <c:v>45159</c:v>
                </c:pt>
                <c:pt idx="687">
                  <c:v>45160</c:v>
                </c:pt>
                <c:pt idx="688">
                  <c:v>45161</c:v>
                </c:pt>
                <c:pt idx="689">
                  <c:v>45162</c:v>
                </c:pt>
                <c:pt idx="690">
                  <c:v>45163</c:v>
                </c:pt>
                <c:pt idx="691">
                  <c:v>45166</c:v>
                </c:pt>
                <c:pt idx="692">
                  <c:v>45167</c:v>
                </c:pt>
                <c:pt idx="693">
                  <c:v>45168</c:v>
                </c:pt>
                <c:pt idx="694">
                  <c:v>45169</c:v>
                </c:pt>
                <c:pt idx="695">
                  <c:v>45170</c:v>
                </c:pt>
                <c:pt idx="696">
                  <c:v>45173</c:v>
                </c:pt>
                <c:pt idx="697">
                  <c:v>45174</c:v>
                </c:pt>
                <c:pt idx="698">
                  <c:v>45175</c:v>
                </c:pt>
                <c:pt idx="699">
                  <c:v>45176</c:v>
                </c:pt>
                <c:pt idx="700">
                  <c:v>45177</c:v>
                </c:pt>
                <c:pt idx="701">
                  <c:v>45180</c:v>
                </c:pt>
                <c:pt idx="702">
                  <c:v>45181</c:v>
                </c:pt>
                <c:pt idx="703">
                  <c:v>45182</c:v>
                </c:pt>
                <c:pt idx="704">
                  <c:v>45183</c:v>
                </c:pt>
                <c:pt idx="705">
                  <c:v>45184</c:v>
                </c:pt>
                <c:pt idx="706">
                  <c:v>45187</c:v>
                </c:pt>
                <c:pt idx="707">
                  <c:v>45188</c:v>
                </c:pt>
                <c:pt idx="708">
                  <c:v>45189</c:v>
                </c:pt>
                <c:pt idx="709">
                  <c:v>45190</c:v>
                </c:pt>
                <c:pt idx="710">
                  <c:v>45191</c:v>
                </c:pt>
                <c:pt idx="711">
                  <c:v>45194</c:v>
                </c:pt>
                <c:pt idx="712">
                  <c:v>45195</c:v>
                </c:pt>
                <c:pt idx="713">
                  <c:v>45196</c:v>
                </c:pt>
                <c:pt idx="714">
                  <c:v>45197</c:v>
                </c:pt>
                <c:pt idx="715">
                  <c:v>45198</c:v>
                </c:pt>
                <c:pt idx="716">
                  <c:v>45201</c:v>
                </c:pt>
                <c:pt idx="717">
                  <c:v>45202</c:v>
                </c:pt>
                <c:pt idx="718">
                  <c:v>45203</c:v>
                </c:pt>
                <c:pt idx="719">
                  <c:v>45204</c:v>
                </c:pt>
                <c:pt idx="720">
                  <c:v>45205</c:v>
                </c:pt>
                <c:pt idx="721">
                  <c:v>45208</c:v>
                </c:pt>
                <c:pt idx="722">
                  <c:v>45209</c:v>
                </c:pt>
                <c:pt idx="723">
                  <c:v>45210</c:v>
                </c:pt>
                <c:pt idx="724">
                  <c:v>45211</c:v>
                </c:pt>
                <c:pt idx="725">
                  <c:v>45212</c:v>
                </c:pt>
                <c:pt idx="726">
                  <c:v>45215</c:v>
                </c:pt>
                <c:pt idx="727">
                  <c:v>45216</c:v>
                </c:pt>
                <c:pt idx="728">
                  <c:v>45217</c:v>
                </c:pt>
                <c:pt idx="729">
                  <c:v>45218</c:v>
                </c:pt>
                <c:pt idx="730">
                  <c:v>45219</c:v>
                </c:pt>
                <c:pt idx="731">
                  <c:v>45222</c:v>
                </c:pt>
                <c:pt idx="732">
                  <c:v>45223</c:v>
                </c:pt>
                <c:pt idx="733">
                  <c:v>45224</c:v>
                </c:pt>
                <c:pt idx="734">
                  <c:v>45225</c:v>
                </c:pt>
                <c:pt idx="735">
                  <c:v>45226</c:v>
                </c:pt>
                <c:pt idx="736">
                  <c:v>45229</c:v>
                </c:pt>
                <c:pt idx="737">
                  <c:v>45230</c:v>
                </c:pt>
                <c:pt idx="738">
                  <c:v>45231</c:v>
                </c:pt>
                <c:pt idx="739">
                  <c:v>45232</c:v>
                </c:pt>
                <c:pt idx="740">
                  <c:v>45233</c:v>
                </c:pt>
                <c:pt idx="741">
                  <c:v>45236</c:v>
                </c:pt>
                <c:pt idx="742">
                  <c:v>45237</c:v>
                </c:pt>
                <c:pt idx="743">
                  <c:v>45238</c:v>
                </c:pt>
                <c:pt idx="744">
                  <c:v>45239</c:v>
                </c:pt>
                <c:pt idx="745">
                  <c:v>45240</c:v>
                </c:pt>
                <c:pt idx="746">
                  <c:v>45243</c:v>
                </c:pt>
                <c:pt idx="747">
                  <c:v>45244</c:v>
                </c:pt>
                <c:pt idx="748">
                  <c:v>45245</c:v>
                </c:pt>
                <c:pt idx="749">
                  <c:v>45246</c:v>
                </c:pt>
                <c:pt idx="750">
                  <c:v>45247</c:v>
                </c:pt>
                <c:pt idx="751">
                  <c:v>45250</c:v>
                </c:pt>
                <c:pt idx="752">
                  <c:v>45251</c:v>
                </c:pt>
                <c:pt idx="753">
                  <c:v>45252</c:v>
                </c:pt>
                <c:pt idx="754">
                  <c:v>45253</c:v>
                </c:pt>
                <c:pt idx="755">
                  <c:v>45254</c:v>
                </c:pt>
                <c:pt idx="756">
                  <c:v>45257</c:v>
                </c:pt>
                <c:pt idx="757">
                  <c:v>45258</c:v>
                </c:pt>
                <c:pt idx="758">
                  <c:v>45259</c:v>
                </c:pt>
                <c:pt idx="759">
                  <c:v>45260</c:v>
                </c:pt>
                <c:pt idx="760">
                  <c:v>45261</c:v>
                </c:pt>
                <c:pt idx="761">
                  <c:v>45264</c:v>
                </c:pt>
                <c:pt idx="762">
                  <c:v>45265</c:v>
                </c:pt>
                <c:pt idx="763">
                  <c:v>45266</c:v>
                </c:pt>
                <c:pt idx="764">
                  <c:v>45267</c:v>
                </c:pt>
                <c:pt idx="765">
                  <c:v>45268</c:v>
                </c:pt>
                <c:pt idx="766">
                  <c:v>45271</c:v>
                </c:pt>
                <c:pt idx="767">
                  <c:v>45272</c:v>
                </c:pt>
                <c:pt idx="768">
                  <c:v>45273</c:v>
                </c:pt>
                <c:pt idx="769">
                  <c:v>45274</c:v>
                </c:pt>
                <c:pt idx="770">
                  <c:v>45275</c:v>
                </c:pt>
                <c:pt idx="771">
                  <c:v>45278</c:v>
                </c:pt>
                <c:pt idx="772">
                  <c:v>45279</c:v>
                </c:pt>
                <c:pt idx="773">
                  <c:v>45280</c:v>
                </c:pt>
                <c:pt idx="774">
                  <c:v>45281</c:v>
                </c:pt>
                <c:pt idx="775">
                  <c:v>45282</c:v>
                </c:pt>
                <c:pt idx="776">
                  <c:v>45285</c:v>
                </c:pt>
                <c:pt idx="777">
                  <c:v>45286</c:v>
                </c:pt>
                <c:pt idx="778">
                  <c:v>45287</c:v>
                </c:pt>
                <c:pt idx="779">
                  <c:v>45288</c:v>
                </c:pt>
                <c:pt idx="780">
                  <c:v>45289</c:v>
                </c:pt>
                <c:pt idx="781">
                  <c:v>45292</c:v>
                </c:pt>
                <c:pt idx="782">
                  <c:v>45293</c:v>
                </c:pt>
                <c:pt idx="783">
                  <c:v>45294</c:v>
                </c:pt>
                <c:pt idx="784">
                  <c:v>45295</c:v>
                </c:pt>
                <c:pt idx="785">
                  <c:v>45296</c:v>
                </c:pt>
                <c:pt idx="786">
                  <c:v>45299</c:v>
                </c:pt>
                <c:pt idx="787">
                  <c:v>45300</c:v>
                </c:pt>
                <c:pt idx="788">
                  <c:v>45301</c:v>
                </c:pt>
                <c:pt idx="789">
                  <c:v>45302</c:v>
                </c:pt>
                <c:pt idx="790">
                  <c:v>45303</c:v>
                </c:pt>
                <c:pt idx="791">
                  <c:v>45306</c:v>
                </c:pt>
                <c:pt idx="792">
                  <c:v>45307</c:v>
                </c:pt>
                <c:pt idx="793">
                  <c:v>45308</c:v>
                </c:pt>
                <c:pt idx="794">
                  <c:v>45309</c:v>
                </c:pt>
                <c:pt idx="795">
                  <c:v>45310</c:v>
                </c:pt>
                <c:pt idx="796">
                  <c:v>45313</c:v>
                </c:pt>
                <c:pt idx="797">
                  <c:v>45314</c:v>
                </c:pt>
                <c:pt idx="798">
                  <c:v>45315</c:v>
                </c:pt>
                <c:pt idx="799">
                  <c:v>45316</c:v>
                </c:pt>
                <c:pt idx="800">
                  <c:v>45317</c:v>
                </c:pt>
                <c:pt idx="801">
                  <c:v>45320</c:v>
                </c:pt>
                <c:pt idx="802">
                  <c:v>45321</c:v>
                </c:pt>
                <c:pt idx="803">
                  <c:v>45322</c:v>
                </c:pt>
                <c:pt idx="804">
                  <c:v>45323</c:v>
                </c:pt>
                <c:pt idx="805">
                  <c:v>45324</c:v>
                </c:pt>
                <c:pt idx="806">
                  <c:v>45327</c:v>
                </c:pt>
                <c:pt idx="807">
                  <c:v>45328</c:v>
                </c:pt>
                <c:pt idx="808">
                  <c:v>45329</c:v>
                </c:pt>
                <c:pt idx="809">
                  <c:v>45330</c:v>
                </c:pt>
                <c:pt idx="810">
                  <c:v>45331</c:v>
                </c:pt>
                <c:pt idx="811">
                  <c:v>45334</c:v>
                </c:pt>
                <c:pt idx="812">
                  <c:v>45335</c:v>
                </c:pt>
                <c:pt idx="813">
                  <c:v>45336</c:v>
                </c:pt>
                <c:pt idx="814">
                  <c:v>45337</c:v>
                </c:pt>
                <c:pt idx="815">
                  <c:v>45338</c:v>
                </c:pt>
                <c:pt idx="816">
                  <c:v>45341</c:v>
                </c:pt>
                <c:pt idx="817">
                  <c:v>45342</c:v>
                </c:pt>
                <c:pt idx="818">
                  <c:v>45343</c:v>
                </c:pt>
                <c:pt idx="819">
                  <c:v>45344</c:v>
                </c:pt>
                <c:pt idx="820">
                  <c:v>45345</c:v>
                </c:pt>
                <c:pt idx="821">
                  <c:v>45348</c:v>
                </c:pt>
                <c:pt idx="822">
                  <c:v>45349</c:v>
                </c:pt>
                <c:pt idx="823">
                  <c:v>45350</c:v>
                </c:pt>
                <c:pt idx="824">
                  <c:v>45351</c:v>
                </c:pt>
                <c:pt idx="825">
                  <c:v>45352</c:v>
                </c:pt>
                <c:pt idx="826">
                  <c:v>45355</c:v>
                </c:pt>
                <c:pt idx="827">
                  <c:v>45356</c:v>
                </c:pt>
                <c:pt idx="828">
                  <c:v>45357</c:v>
                </c:pt>
                <c:pt idx="829">
                  <c:v>45358</c:v>
                </c:pt>
                <c:pt idx="830">
                  <c:v>45359</c:v>
                </c:pt>
                <c:pt idx="831">
                  <c:v>45362</c:v>
                </c:pt>
                <c:pt idx="832">
                  <c:v>45363</c:v>
                </c:pt>
                <c:pt idx="833">
                  <c:v>45364</c:v>
                </c:pt>
                <c:pt idx="834">
                  <c:v>45365</c:v>
                </c:pt>
                <c:pt idx="835">
                  <c:v>45366</c:v>
                </c:pt>
                <c:pt idx="836">
                  <c:v>45369</c:v>
                </c:pt>
                <c:pt idx="837">
                  <c:v>45370</c:v>
                </c:pt>
                <c:pt idx="838">
                  <c:v>45371</c:v>
                </c:pt>
                <c:pt idx="839">
                  <c:v>45372</c:v>
                </c:pt>
                <c:pt idx="840">
                  <c:v>45373</c:v>
                </c:pt>
                <c:pt idx="841">
                  <c:v>45376</c:v>
                </c:pt>
                <c:pt idx="842">
                  <c:v>45377</c:v>
                </c:pt>
                <c:pt idx="843">
                  <c:v>45378</c:v>
                </c:pt>
                <c:pt idx="844">
                  <c:v>45379</c:v>
                </c:pt>
                <c:pt idx="845">
                  <c:v>45380</c:v>
                </c:pt>
                <c:pt idx="846">
                  <c:v>45383</c:v>
                </c:pt>
                <c:pt idx="847">
                  <c:v>45384</c:v>
                </c:pt>
                <c:pt idx="848">
                  <c:v>45385</c:v>
                </c:pt>
                <c:pt idx="849">
                  <c:v>45386</c:v>
                </c:pt>
                <c:pt idx="850">
                  <c:v>45387</c:v>
                </c:pt>
                <c:pt idx="851">
                  <c:v>45390</c:v>
                </c:pt>
                <c:pt idx="852">
                  <c:v>45391</c:v>
                </c:pt>
                <c:pt idx="853">
                  <c:v>45392</c:v>
                </c:pt>
                <c:pt idx="854">
                  <c:v>45393</c:v>
                </c:pt>
                <c:pt idx="855">
                  <c:v>45394</c:v>
                </c:pt>
                <c:pt idx="856">
                  <c:v>45397</c:v>
                </c:pt>
                <c:pt idx="857">
                  <c:v>45398</c:v>
                </c:pt>
                <c:pt idx="858">
                  <c:v>45399</c:v>
                </c:pt>
                <c:pt idx="859">
                  <c:v>45400</c:v>
                </c:pt>
                <c:pt idx="860">
                  <c:v>45401</c:v>
                </c:pt>
                <c:pt idx="861">
                  <c:v>45404</c:v>
                </c:pt>
                <c:pt idx="862">
                  <c:v>45405</c:v>
                </c:pt>
                <c:pt idx="863">
                  <c:v>45406</c:v>
                </c:pt>
                <c:pt idx="864">
                  <c:v>45407</c:v>
                </c:pt>
                <c:pt idx="865">
                  <c:v>45408</c:v>
                </c:pt>
                <c:pt idx="866">
                  <c:v>45411</c:v>
                </c:pt>
                <c:pt idx="867">
                  <c:v>45412</c:v>
                </c:pt>
                <c:pt idx="868">
                  <c:v>45413</c:v>
                </c:pt>
                <c:pt idx="869">
                  <c:v>45414</c:v>
                </c:pt>
                <c:pt idx="870">
                  <c:v>45415</c:v>
                </c:pt>
                <c:pt idx="871">
                  <c:v>45418</c:v>
                </c:pt>
                <c:pt idx="872">
                  <c:v>45419</c:v>
                </c:pt>
                <c:pt idx="873">
                  <c:v>45420</c:v>
                </c:pt>
                <c:pt idx="874">
                  <c:v>45421</c:v>
                </c:pt>
                <c:pt idx="875">
                  <c:v>45422</c:v>
                </c:pt>
                <c:pt idx="876">
                  <c:v>45425</c:v>
                </c:pt>
                <c:pt idx="877">
                  <c:v>45426</c:v>
                </c:pt>
                <c:pt idx="878">
                  <c:v>45427</c:v>
                </c:pt>
                <c:pt idx="879">
                  <c:v>45428</c:v>
                </c:pt>
                <c:pt idx="880">
                  <c:v>45429</c:v>
                </c:pt>
                <c:pt idx="881">
                  <c:v>45432</c:v>
                </c:pt>
                <c:pt idx="882">
                  <c:v>45433</c:v>
                </c:pt>
                <c:pt idx="883">
                  <c:v>45434</c:v>
                </c:pt>
                <c:pt idx="884">
                  <c:v>45435</c:v>
                </c:pt>
                <c:pt idx="885">
                  <c:v>45436</c:v>
                </c:pt>
                <c:pt idx="886">
                  <c:v>45439</c:v>
                </c:pt>
                <c:pt idx="887">
                  <c:v>45440</c:v>
                </c:pt>
                <c:pt idx="888">
                  <c:v>45441</c:v>
                </c:pt>
                <c:pt idx="889">
                  <c:v>45442</c:v>
                </c:pt>
                <c:pt idx="890">
                  <c:v>45443</c:v>
                </c:pt>
                <c:pt idx="891">
                  <c:v>45446</c:v>
                </c:pt>
                <c:pt idx="892">
                  <c:v>45447</c:v>
                </c:pt>
                <c:pt idx="893">
                  <c:v>45448</c:v>
                </c:pt>
                <c:pt idx="894">
                  <c:v>45449</c:v>
                </c:pt>
                <c:pt idx="895">
                  <c:v>45450</c:v>
                </c:pt>
                <c:pt idx="896">
                  <c:v>45453</c:v>
                </c:pt>
                <c:pt idx="897">
                  <c:v>45454</c:v>
                </c:pt>
                <c:pt idx="898">
                  <c:v>45455</c:v>
                </c:pt>
                <c:pt idx="899">
                  <c:v>45456</c:v>
                </c:pt>
                <c:pt idx="900">
                  <c:v>45457</c:v>
                </c:pt>
                <c:pt idx="901">
                  <c:v>45460</c:v>
                </c:pt>
                <c:pt idx="902">
                  <c:v>45461</c:v>
                </c:pt>
                <c:pt idx="903">
                  <c:v>45462</c:v>
                </c:pt>
                <c:pt idx="904">
                  <c:v>45463</c:v>
                </c:pt>
                <c:pt idx="905">
                  <c:v>45464</c:v>
                </c:pt>
                <c:pt idx="906">
                  <c:v>45467</c:v>
                </c:pt>
                <c:pt idx="907">
                  <c:v>45468</c:v>
                </c:pt>
                <c:pt idx="908">
                  <c:v>45469</c:v>
                </c:pt>
                <c:pt idx="909">
                  <c:v>45470</c:v>
                </c:pt>
                <c:pt idx="910">
                  <c:v>45471</c:v>
                </c:pt>
                <c:pt idx="911">
                  <c:v>45474</c:v>
                </c:pt>
                <c:pt idx="912">
                  <c:v>45475</c:v>
                </c:pt>
                <c:pt idx="913">
                  <c:v>45476</c:v>
                </c:pt>
                <c:pt idx="914">
                  <c:v>45477</c:v>
                </c:pt>
                <c:pt idx="915">
                  <c:v>45478</c:v>
                </c:pt>
                <c:pt idx="916">
                  <c:v>45481</c:v>
                </c:pt>
                <c:pt idx="917">
                  <c:v>45482</c:v>
                </c:pt>
                <c:pt idx="918">
                  <c:v>45483</c:v>
                </c:pt>
                <c:pt idx="919">
                  <c:v>45484</c:v>
                </c:pt>
                <c:pt idx="920">
                  <c:v>45485</c:v>
                </c:pt>
                <c:pt idx="921">
                  <c:v>45488</c:v>
                </c:pt>
                <c:pt idx="922">
                  <c:v>45489</c:v>
                </c:pt>
                <c:pt idx="923">
                  <c:v>45490</c:v>
                </c:pt>
                <c:pt idx="924">
                  <c:v>45491</c:v>
                </c:pt>
                <c:pt idx="925">
                  <c:v>45492</c:v>
                </c:pt>
                <c:pt idx="926">
                  <c:v>45495</c:v>
                </c:pt>
                <c:pt idx="927">
                  <c:v>45496</c:v>
                </c:pt>
                <c:pt idx="928">
                  <c:v>45497</c:v>
                </c:pt>
                <c:pt idx="929">
                  <c:v>45498</c:v>
                </c:pt>
                <c:pt idx="930">
                  <c:v>45499</c:v>
                </c:pt>
                <c:pt idx="931">
                  <c:v>45502</c:v>
                </c:pt>
                <c:pt idx="932">
                  <c:v>45503</c:v>
                </c:pt>
                <c:pt idx="933">
                  <c:v>45504</c:v>
                </c:pt>
                <c:pt idx="934">
                  <c:v>45505</c:v>
                </c:pt>
                <c:pt idx="935">
                  <c:v>45506</c:v>
                </c:pt>
                <c:pt idx="936">
                  <c:v>45509</c:v>
                </c:pt>
                <c:pt idx="937">
                  <c:v>45510</c:v>
                </c:pt>
                <c:pt idx="938">
                  <c:v>45511</c:v>
                </c:pt>
                <c:pt idx="939">
                  <c:v>45512</c:v>
                </c:pt>
                <c:pt idx="940">
                  <c:v>45513</c:v>
                </c:pt>
                <c:pt idx="941">
                  <c:v>45516</c:v>
                </c:pt>
                <c:pt idx="942">
                  <c:v>45517</c:v>
                </c:pt>
                <c:pt idx="943">
                  <c:v>45518</c:v>
                </c:pt>
                <c:pt idx="944">
                  <c:v>45519</c:v>
                </c:pt>
                <c:pt idx="945">
                  <c:v>45520</c:v>
                </c:pt>
                <c:pt idx="946">
                  <c:v>45523</c:v>
                </c:pt>
                <c:pt idx="947">
                  <c:v>45524</c:v>
                </c:pt>
                <c:pt idx="948">
                  <c:v>45525</c:v>
                </c:pt>
                <c:pt idx="949">
                  <c:v>45526</c:v>
                </c:pt>
                <c:pt idx="950">
                  <c:v>45527</c:v>
                </c:pt>
                <c:pt idx="951">
                  <c:v>45530</c:v>
                </c:pt>
                <c:pt idx="952">
                  <c:v>45531</c:v>
                </c:pt>
                <c:pt idx="953">
                  <c:v>45532</c:v>
                </c:pt>
                <c:pt idx="954">
                  <c:v>45533</c:v>
                </c:pt>
                <c:pt idx="955">
                  <c:v>45534</c:v>
                </c:pt>
                <c:pt idx="956">
                  <c:v>45537</c:v>
                </c:pt>
                <c:pt idx="957">
                  <c:v>45538</c:v>
                </c:pt>
                <c:pt idx="958">
                  <c:v>45539</c:v>
                </c:pt>
                <c:pt idx="959">
                  <c:v>45540</c:v>
                </c:pt>
                <c:pt idx="960">
                  <c:v>45541</c:v>
                </c:pt>
                <c:pt idx="961">
                  <c:v>45544</c:v>
                </c:pt>
                <c:pt idx="962">
                  <c:v>45545</c:v>
                </c:pt>
                <c:pt idx="963">
                  <c:v>45546</c:v>
                </c:pt>
                <c:pt idx="964">
                  <c:v>45547</c:v>
                </c:pt>
                <c:pt idx="965">
                  <c:v>45548</c:v>
                </c:pt>
                <c:pt idx="966">
                  <c:v>45551</c:v>
                </c:pt>
                <c:pt idx="967">
                  <c:v>45552</c:v>
                </c:pt>
                <c:pt idx="968">
                  <c:v>45553</c:v>
                </c:pt>
                <c:pt idx="969">
                  <c:v>45554</c:v>
                </c:pt>
                <c:pt idx="970">
                  <c:v>45555</c:v>
                </c:pt>
                <c:pt idx="971">
                  <c:v>45558</c:v>
                </c:pt>
                <c:pt idx="972">
                  <c:v>45559</c:v>
                </c:pt>
                <c:pt idx="973">
                  <c:v>45560</c:v>
                </c:pt>
                <c:pt idx="974">
                  <c:v>45561</c:v>
                </c:pt>
                <c:pt idx="975">
                  <c:v>45562</c:v>
                </c:pt>
                <c:pt idx="976">
                  <c:v>45565</c:v>
                </c:pt>
                <c:pt idx="977">
                  <c:v>45566</c:v>
                </c:pt>
                <c:pt idx="978">
                  <c:v>45567</c:v>
                </c:pt>
                <c:pt idx="979">
                  <c:v>45568</c:v>
                </c:pt>
                <c:pt idx="980">
                  <c:v>45569</c:v>
                </c:pt>
                <c:pt idx="981">
                  <c:v>45572</c:v>
                </c:pt>
                <c:pt idx="982">
                  <c:v>45573</c:v>
                </c:pt>
                <c:pt idx="983">
                  <c:v>45574</c:v>
                </c:pt>
                <c:pt idx="984">
                  <c:v>45575</c:v>
                </c:pt>
                <c:pt idx="985">
                  <c:v>45576</c:v>
                </c:pt>
                <c:pt idx="986">
                  <c:v>45579</c:v>
                </c:pt>
                <c:pt idx="987">
                  <c:v>45580</c:v>
                </c:pt>
                <c:pt idx="988">
                  <c:v>45581</c:v>
                </c:pt>
                <c:pt idx="989">
                  <c:v>45582</c:v>
                </c:pt>
                <c:pt idx="990">
                  <c:v>45583</c:v>
                </c:pt>
                <c:pt idx="991">
                  <c:v>45586</c:v>
                </c:pt>
                <c:pt idx="992">
                  <c:v>45587</c:v>
                </c:pt>
                <c:pt idx="993">
                  <c:v>45588</c:v>
                </c:pt>
                <c:pt idx="994">
                  <c:v>45589</c:v>
                </c:pt>
                <c:pt idx="995">
                  <c:v>45590</c:v>
                </c:pt>
                <c:pt idx="996">
                  <c:v>45593</c:v>
                </c:pt>
                <c:pt idx="997">
                  <c:v>45594</c:v>
                </c:pt>
                <c:pt idx="998">
                  <c:v>45595</c:v>
                </c:pt>
                <c:pt idx="999">
                  <c:v>45596</c:v>
                </c:pt>
                <c:pt idx="1000">
                  <c:v>45597</c:v>
                </c:pt>
                <c:pt idx="1001">
                  <c:v>45600</c:v>
                </c:pt>
                <c:pt idx="1002">
                  <c:v>45601</c:v>
                </c:pt>
                <c:pt idx="1003">
                  <c:v>45602</c:v>
                </c:pt>
                <c:pt idx="1004">
                  <c:v>45603</c:v>
                </c:pt>
                <c:pt idx="1005">
                  <c:v>45604</c:v>
                </c:pt>
                <c:pt idx="1006">
                  <c:v>45607</c:v>
                </c:pt>
                <c:pt idx="1007">
                  <c:v>45608</c:v>
                </c:pt>
                <c:pt idx="1008">
                  <c:v>45609</c:v>
                </c:pt>
                <c:pt idx="1009">
                  <c:v>45610</c:v>
                </c:pt>
                <c:pt idx="1010">
                  <c:v>45611</c:v>
                </c:pt>
                <c:pt idx="1011">
                  <c:v>45614</c:v>
                </c:pt>
                <c:pt idx="1012">
                  <c:v>45615</c:v>
                </c:pt>
                <c:pt idx="1013">
                  <c:v>45616</c:v>
                </c:pt>
                <c:pt idx="1014">
                  <c:v>45617</c:v>
                </c:pt>
                <c:pt idx="1015">
                  <c:v>45618</c:v>
                </c:pt>
                <c:pt idx="1016">
                  <c:v>45621</c:v>
                </c:pt>
                <c:pt idx="1017">
                  <c:v>45622</c:v>
                </c:pt>
                <c:pt idx="1018">
                  <c:v>45623</c:v>
                </c:pt>
                <c:pt idx="1019">
                  <c:v>45624</c:v>
                </c:pt>
                <c:pt idx="1020">
                  <c:v>45625</c:v>
                </c:pt>
                <c:pt idx="1021">
                  <c:v>45628</c:v>
                </c:pt>
                <c:pt idx="1022">
                  <c:v>45629</c:v>
                </c:pt>
                <c:pt idx="1023">
                  <c:v>45630</c:v>
                </c:pt>
                <c:pt idx="1024">
                  <c:v>45631</c:v>
                </c:pt>
                <c:pt idx="1025">
                  <c:v>45632</c:v>
                </c:pt>
                <c:pt idx="1026">
                  <c:v>45635</c:v>
                </c:pt>
                <c:pt idx="1027">
                  <c:v>45636</c:v>
                </c:pt>
                <c:pt idx="1028">
                  <c:v>45637</c:v>
                </c:pt>
                <c:pt idx="1029">
                  <c:v>45638</c:v>
                </c:pt>
                <c:pt idx="1030">
                  <c:v>45639</c:v>
                </c:pt>
                <c:pt idx="1031">
                  <c:v>45642</c:v>
                </c:pt>
                <c:pt idx="1032">
                  <c:v>45643</c:v>
                </c:pt>
                <c:pt idx="1033">
                  <c:v>45644</c:v>
                </c:pt>
                <c:pt idx="1034">
                  <c:v>45645</c:v>
                </c:pt>
                <c:pt idx="1035">
                  <c:v>45646</c:v>
                </c:pt>
                <c:pt idx="1036">
                  <c:v>45649</c:v>
                </c:pt>
                <c:pt idx="1037">
                  <c:v>45650</c:v>
                </c:pt>
                <c:pt idx="1038">
                  <c:v>45651</c:v>
                </c:pt>
                <c:pt idx="1039">
                  <c:v>45652</c:v>
                </c:pt>
                <c:pt idx="1040">
                  <c:v>45653</c:v>
                </c:pt>
                <c:pt idx="1041">
                  <c:v>45656</c:v>
                </c:pt>
                <c:pt idx="1042">
                  <c:v>45657</c:v>
                </c:pt>
                <c:pt idx="1043">
                  <c:v>45658</c:v>
                </c:pt>
                <c:pt idx="1044">
                  <c:v>45659</c:v>
                </c:pt>
                <c:pt idx="1045">
                  <c:v>45660</c:v>
                </c:pt>
                <c:pt idx="1046">
                  <c:v>45663</c:v>
                </c:pt>
                <c:pt idx="1047">
                  <c:v>45664</c:v>
                </c:pt>
                <c:pt idx="1048">
                  <c:v>45665</c:v>
                </c:pt>
                <c:pt idx="1049">
                  <c:v>45666</c:v>
                </c:pt>
                <c:pt idx="1050">
                  <c:v>45667</c:v>
                </c:pt>
                <c:pt idx="1051">
                  <c:v>45670</c:v>
                </c:pt>
                <c:pt idx="1052">
                  <c:v>45671</c:v>
                </c:pt>
                <c:pt idx="1053">
                  <c:v>45672</c:v>
                </c:pt>
                <c:pt idx="1054">
                  <c:v>45673</c:v>
                </c:pt>
                <c:pt idx="1055">
                  <c:v>45674</c:v>
                </c:pt>
                <c:pt idx="1056">
                  <c:v>45677</c:v>
                </c:pt>
                <c:pt idx="1057">
                  <c:v>45678</c:v>
                </c:pt>
                <c:pt idx="1058">
                  <c:v>45679</c:v>
                </c:pt>
                <c:pt idx="1059">
                  <c:v>45680</c:v>
                </c:pt>
                <c:pt idx="1060">
                  <c:v>45681</c:v>
                </c:pt>
                <c:pt idx="1061">
                  <c:v>45684</c:v>
                </c:pt>
                <c:pt idx="1062">
                  <c:v>45685</c:v>
                </c:pt>
                <c:pt idx="1063">
                  <c:v>45686</c:v>
                </c:pt>
                <c:pt idx="1064">
                  <c:v>45687</c:v>
                </c:pt>
                <c:pt idx="1065">
                  <c:v>45688</c:v>
                </c:pt>
                <c:pt idx="1066">
                  <c:v>45691</c:v>
                </c:pt>
                <c:pt idx="1067">
                  <c:v>45692</c:v>
                </c:pt>
                <c:pt idx="1068">
                  <c:v>45693</c:v>
                </c:pt>
                <c:pt idx="1069">
                  <c:v>45694</c:v>
                </c:pt>
                <c:pt idx="1070">
                  <c:v>45695</c:v>
                </c:pt>
                <c:pt idx="1071">
                  <c:v>45698</c:v>
                </c:pt>
                <c:pt idx="1072">
                  <c:v>45699</c:v>
                </c:pt>
                <c:pt idx="1073">
                  <c:v>45700</c:v>
                </c:pt>
                <c:pt idx="1074">
                  <c:v>45701</c:v>
                </c:pt>
                <c:pt idx="1075">
                  <c:v>45702</c:v>
                </c:pt>
                <c:pt idx="1076">
                  <c:v>45705</c:v>
                </c:pt>
                <c:pt idx="1077">
                  <c:v>45706</c:v>
                </c:pt>
                <c:pt idx="1078">
                  <c:v>45707</c:v>
                </c:pt>
                <c:pt idx="1079">
                  <c:v>45708</c:v>
                </c:pt>
                <c:pt idx="1080">
                  <c:v>45709</c:v>
                </c:pt>
                <c:pt idx="1081">
                  <c:v>45712</c:v>
                </c:pt>
                <c:pt idx="1082">
                  <c:v>45713</c:v>
                </c:pt>
                <c:pt idx="1083">
                  <c:v>45714</c:v>
                </c:pt>
                <c:pt idx="1084">
                  <c:v>45715</c:v>
                </c:pt>
                <c:pt idx="1085">
                  <c:v>45716</c:v>
                </c:pt>
                <c:pt idx="1086">
                  <c:v>45719</c:v>
                </c:pt>
                <c:pt idx="1087">
                  <c:v>45720</c:v>
                </c:pt>
                <c:pt idx="1088">
                  <c:v>45721</c:v>
                </c:pt>
                <c:pt idx="1089">
                  <c:v>45722</c:v>
                </c:pt>
                <c:pt idx="1090">
                  <c:v>45723</c:v>
                </c:pt>
                <c:pt idx="1091">
                  <c:v>45726</c:v>
                </c:pt>
                <c:pt idx="1092">
                  <c:v>45727</c:v>
                </c:pt>
                <c:pt idx="1093">
                  <c:v>45728</c:v>
                </c:pt>
                <c:pt idx="1094">
                  <c:v>45729</c:v>
                </c:pt>
                <c:pt idx="1095">
                  <c:v>45730</c:v>
                </c:pt>
                <c:pt idx="1096">
                  <c:v>45733</c:v>
                </c:pt>
                <c:pt idx="1097">
                  <c:v>45734</c:v>
                </c:pt>
                <c:pt idx="1098">
                  <c:v>45735</c:v>
                </c:pt>
                <c:pt idx="1099">
                  <c:v>45736</c:v>
                </c:pt>
                <c:pt idx="1100">
                  <c:v>45737</c:v>
                </c:pt>
                <c:pt idx="1101">
                  <c:v>45740</c:v>
                </c:pt>
                <c:pt idx="1102">
                  <c:v>45741</c:v>
                </c:pt>
                <c:pt idx="1103">
                  <c:v>45742</c:v>
                </c:pt>
                <c:pt idx="1104">
                  <c:v>45743</c:v>
                </c:pt>
                <c:pt idx="1105">
                  <c:v>45744</c:v>
                </c:pt>
                <c:pt idx="1106">
                  <c:v>45747</c:v>
                </c:pt>
                <c:pt idx="1107">
                  <c:v>45748</c:v>
                </c:pt>
                <c:pt idx="1108">
                  <c:v>45749</c:v>
                </c:pt>
                <c:pt idx="1109">
                  <c:v>45750</c:v>
                </c:pt>
                <c:pt idx="1110">
                  <c:v>45751</c:v>
                </c:pt>
                <c:pt idx="1111">
                  <c:v>45754</c:v>
                </c:pt>
                <c:pt idx="1112">
                  <c:v>45755</c:v>
                </c:pt>
                <c:pt idx="1113">
                  <c:v>45756</c:v>
                </c:pt>
                <c:pt idx="1114">
                  <c:v>45757</c:v>
                </c:pt>
                <c:pt idx="1115">
                  <c:v>45758</c:v>
                </c:pt>
                <c:pt idx="1116">
                  <c:v>45761</c:v>
                </c:pt>
                <c:pt idx="1117">
                  <c:v>45762</c:v>
                </c:pt>
                <c:pt idx="1118">
                  <c:v>45763</c:v>
                </c:pt>
                <c:pt idx="1119">
                  <c:v>45764</c:v>
                </c:pt>
                <c:pt idx="1120">
                  <c:v>45765</c:v>
                </c:pt>
                <c:pt idx="1121">
                  <c:v>45768</c:v>
                </c:pt>
                <c:pt idx="1122">
                  <c:v>45769</c:v>
                </c:pt>
                <c:pt idx="1123">
                  <c:v>45770</c:v>
                </c:pt>
                <c:pt idx="1124">
                  <c:v>45771</c:v>
                </c:pt>
                <c:pt idx="1125">
                  <c:v>45772</c:v>
                </c:pt>
                <c:pt idx="1126">
                  <c:v>45775</c:v>
                </c:pt>
                <c:pt idx="1127">
                  <c:v>45776</c:v>
                </c:pt>
                <c:pt idx="1128">
                  <c:v>45777</c:v>
                </c:pt>
                <c:pt idx="1129">
                  <c:v>45778</c:v>
                </c:pt>
                <c:pt idx="1130">
                  <c:v>45779</c:v>
                </c:pt>
                <c:pt idx="1131">
                  <c:v>45782</c:v>
                </c:pt>
                <c:pt idx="1132">
                  <c:v>45783</c:v>
                </c:pt>
                <c:pt idx="1133">
                  <c:v>45784</c:v>
                </c:pt>
                <c:pt idx="1134">
                  <c:v>45785</c:v>
                </c:pt>
                <c:pt idx="1135">
                  <c:v>45786</c:v>
                </c:pt>
                <c:pt idx="1136">
                  <c:v>45789</c:v>
                </c:pt>
                <c:pt idx="1137">
                  <c:v>45790</c:v>
                </c:pt>
                <c:pt idx="1138">
                  <c:v>45791</c:v>
                </c:pt>
                <c:pt idx="1139">
                  <c:v>45792</c:v>
                </c:pt>
                <c:pt idx="1140">
                  <c:v>45793</c:v>
                </c:pt>
                <c:pt idx="1141">
                  <c:v>45796</c:v>
                </c:pt>
                <c:pt idx="1142">
                  <c:v>45797</c:v>
                </c:pt>
                <c:pt idx="1143">
                  <c:v>45798</c:v>
                </c:pt>
                <c:pt idx="1144">
                  <c:v>45799</c:v>
                </c:pt>
                <c:pt idx="1145">
                  <c:v>45800</c:v>
                </c:pt>
                <c:pt idx="1146">
                  <c:v>45803</c:v>
                </c:pt>
                <c:pt idx="1147">
                  <c:v>45804</c:v>
                </c:pt>
                <c:pt idx="1148">
                  <c:v>45805</c:v>
                </c:pt>
                <c:pt idx="1149">
                  <c:v>45806</c:v>
                </c:pt>
                <c:pt idx="1150">
                  <c:v>45807</c:v>
                </c:pt>
                <c:pt idx="1151">
                  <c:v>45810</c:v>
                </c:pt>
                <c:pt idx="1152">
                  <c:v>45811</c:v>
                </c:pt>
                <c:pt idx="1153">
                  <c:v>45812</c:v>
                </c:pt>
                <c:pt idx="1154">
                  <c:v>45813</c:v>
                </c:pt>
                <c:pt idx="1155">
                  <c:v>45814</c:v>
                </c:pt>
                <c:pt idx="1156">
                  <c:v>45817</c:v>
                </c:pt>
                <c:pt idx="1157">
                  <c:v>45818</c:v>
                </c:pt>
                <c:pt idx="1158">
                  <c:v>45819</c:v>
                </c:pt>
                <c:pt idx="1159">
                  <c:v>45820</c:v>
                </c:pt>
                <c:pt idx="1160">
                  <c:v>45821</c:v>
                </c:pt>
                <c:pt idx="1161">
                  <c:v>45824</c:v>
                </c:pt>
                <c:pt idx="1162">
                  <c:v>45825</c:v>
                </c:pt>
                <c:pt idx="1163">
                  <c:v>45826</c:v>
                </c:pt>
                <c:pt idx="1164">
                  <c:v>45827</c:v>
                </c:pt>
                <c:pt idx="1165">
                  <c:v>45828</c:v>
                </c:pt>
                <c:pt idx="1166">
                  <c:v>45831</c:v>
                </c:pt>
                <c:pt idx="1167">
                  <c:v>45832</c:v>
                </c:pt>
                <c:pt idx="1168">
                  <c:v>45833</c:v>
                </c:pt>
                <c:pt idx="1169">
                  <c:v>45834</c:v>
                </c:pt>
                <c:pt idx="1170">
                  <c:v>45835</c:v>
                </c:pt>
                <c:pt idx="1171">
                  <c:v>45838</c:v>
                </c:pt>
                <c:pt idx="1172">
                  <c:v>45839</c:v>
                </c:pt>
                <c:pt idx="1173">
                  <c:v>45840</c:v>
                </c:pt>
                <c:pt idx="1174">
                  <c:v>45841</c:v>
                </c:pt>
                <c:pt idx="1175">
                  <c:v>45842</c:v>
                </c:pt>
                <c:pt idx="1176">
                  <c:v>45845</c:v>
                </c:pt>
                <c:pt idx="1177">
                  <c:v>45846</c:v>
                </c:pt>
                <c:pt idx="1178">
                  <c:v>45847</c:v>
                </c:pt>
                <c:pt idx="1179">
                  <c:v>45848</c:v>
                </c:pt>
                <c:pt idx="1180">
                  <c:v>45849</c:v>
                </c:pt>
                <c:pt idx="1181">
                  <c:v>45852</c:v>
                </c:pt>
                <c:pt idx="1182">
                  <c:v>45853</c:v>
                </c:pt>
                <c:pt idx="1183">
                  <c:v>45854</c:v>
                </c:pt>
                <c:pt idx="1184">
                  <c:v>45855</c:v>
                </c:pt>
                <c:pt idx="1185">
                  <c:v>45856</c:v>
                </c:pt>
                <c:pt idx="1186">
                  <c:v>45859</c:v>
                </c:pt>
                <c:pt idx="1187">
                  <c:v>45860</c:v>
                </c:pt>
                <c:pt idx="1188">
                  <c:v>45861</c:v>
                </c:pt>
                <c:pt idx="1189">
                  <c:v>45862</c:v>
                </c:pt>
                <c:pt idx="1190">
                  <c:v>45863</c:v>
                </c:pt>
                <c:pt idx="1191">
                  <c:v>45866</c:v>
                </c:pt>
                <c:pt idx="1192">
                  <c:v>45867</c:v>
                </c:pt>
                <c:pt idx="1193">
                  <c:v>45868</c:v>
                </c:pt>
                <c:pt idx="1194">
                  <c:v>45869</c:v>
                </c:pt>
                <c:pt idx="1195">
                  <c:v>45870</c:v>
                </c:pt>
                <c:pt idx="1196">
                  <c:v>45873</c:v>
                </c:pt>
                <c:pt idx="1197">
                  <c:v>45874</c:v>
                </c:pt>
                <c:pt idx="1198">
                  <c:v>45875</c:v>
                </c:pt>
                <c:pt idx="1199">
                  <c:v>45876</c:v>
                </c:pt>
                <c:pt idx="1200">
                  <c:v>45877</c:v>
                </c:pt>
                <c:pt idx="1201">
                  <c:v>45880</c:v>
                </c:pt>
                <c:pt idx="1202">
                  <c:v>45881</c:v>
                </c:pt>
                <c:pt idx="1203">
                  <c:v>45882</c:v>
                </c:pt>
                <c:pt idx="1204">
                  <c:v>45883</c:v>
                </c:pt>
                <c:pt idx="1205">
                  <c:v>45884</c:v>
                </c:pt>
                <c:pt idx="1206">
                  <c:v>45887</c:v>
                </c:pt>
                <c:pt idx="1207">
                  <c:v>45888</c:v>
                </c:pt>
                <c:pt idx="1208">
                  <c:v>45889</c:v>
                </c:pt>
                <c:pt idx="1209">
                  <c:v>45890</c:v>
                </c:pt>
                <c:pt idx="1210">
                  <c:v>45891</c:v>
                </c:pt>
                <c:pt idx="1211">
                  <c:v>45894</c:v>
                </c:pt>
                <c:pt idx="1212">
                  <c:v>45895</c:v>
                </c:pt>
                <c:pt idx="1213">
                  <c:v>45896</c:v>
                </c:pt>
                <c:pt idx="1214">
                  <c:v>45897</c:v>
                </c:pt>
                <c:pt idx="1215">
                  <c:v>45898</c:v>
                </c:pt>
                <c:pt idx="1216">
                  <c:v>45901</c:v>
                </c:pt>
                <c:pt idx="1217">
                  <c:v>45902</c:v>
                </c:pt>
                <c:pt idx="1218">
                  <c:v>45903</c:v>
                </c:pt>
                <c:pt idx="1219">
                  <c:v>45904</c:v>
                </c:pt>
                <c:pt idx="1220">
                  <c:v>45905</c:v>
                </c:pt>
                <c:pt idx="1221">
                  <c:v>45908</c:v>
                </c:pt>
                <c:pt idx="1222">
                  <c:v>45909</c:v>
                </c:pt>
                <c:pt idx="1223">
                  <c:v>45910</c:v>
                </c:pt>
                <c:pt idx="1224">
                  <c:v>45911</c:v>
                </c:pt>
                <c:pt idx="1225">
                  <c:v>45912</c:v>
                </c:pt>
                <c:pt idx="1226">
                  <c:v>45915</c:v>
                </c:pt>
                <c:pt idx="1227">
                  <c:v>45916</c:v>
                </c:pt>
                <c:pt idx="1228">
                  <c:v>45917</c:v>
                </c:pt>
                <c:pt idx="1229">
                  <c:v>45918</c:v>
                </c:pt>
                <c:pt idx="1230">
                  <c:v>45919</c:v>
                </c:pt>
                <c:pt idx="1231">
                  <c:v>45922</c:v>
                </c:pt>
                <c:pt idx="1232">
                  <c:v>45923</c:v>
                </c:pt>
                <c:pt idx="1233">
                  <c:v>45924</c:v>
                </c:pt>
                <c:pt idx="1234">
                  <c:v>45925</c:v>
                </c:pt>
                <c:pt idx="1235">
                  <c:v>45926</c:v>
                </c:pt>
                <c:pt idx="1236">
                  <c:v>45929</c:v>
                </c:pt>
                <c:pt idx="1237">
                  <c:v>45930</c:v>
                </c:pt>
                <c:pt idx="1238">
                  <c:v>45931</c:v>
                </c:pt>
                <c:pt idx="1239">
                  <c:v>45932</c:v>
                </c:pt>
                <c:pt idx="1240">
                  <c:v>45933</c:v>
                </c:pt>
                <c:pt idx="1241">
                  <c:v>45936</c:v>
                </c:pt>
                <c:pt idx="1242">
                  <c:v>45937</c:v>
                </c:pt>
                <c:pt idx="1243">
                  <c:v>45938</c:v>
                </c:pt>
                <c:pt idx="1244">
                  <c:v>45939</c:v>
                </c:pt>
                <c:pt idx="1245">
                  <c:v>45940</c:v>
                </c:pt>
                <c:pt idx="1246">
                  <c:v>45943</c:v>
                </c:pt>
                <c:pt idx="1247">
                  <c:v>45944</c:v>
                </c:pt>
                <c:pt idx="1248">
                  <c:v>45945</c:v>
                </c:pt>
                <c:pt idx="1249">
                  <c:v>45946</c:v>
                </c:pt>
                <c:pt idx="1250">
                  <c:v>45947</c:v>
                </c:pt>
                <c:pt idx="1251">
                  <c:v>45950</c:v>
                </c:pt>
                <c:pt idx="1252">
                  <c:v>45951</c:v>
                </c:pt>
                <c:pt idx="1253">
                  <c:v>45952</c:v>
                </c:pt>
                <c:pt idx="1254">
                  <c:v>45953</c:v>
                </c:pt>
                <c:pt idx="1255">
                  <c:v>45954</c:v>
                </c:pt>
                <c:pt idx="1256">
                  <c:v>45957</c:v>
                </c:pt>
                <c:pt idx="1257">
                  <c:v>45958</c:v>
                </c:pt>
                <c:pt idx="1258">
                  <c:v>45959</c:v>
                </c:pt>
                <c:pt idx="1259">
                  <c:v>45960</c:v>
                </c:pt>
                <c:pt idx="1260">
                  <c:v>45961</c:v>
                </c:pt>
                <c:pt idx="1261">
                  <c:v>45964</c:v>
                </c:pt>
                <c:pt idx="1262">
                  <c:v>45965</c:v>
                </c:pt>
                <c:pt idx="1263">
                  <c:v>45966</c:v>
                </c:pt>
                <c:pt idx="1264">
                  <c:v>45967</c:v>
                </c:pt>
                <c:pt idx="1265">
                  <c:v>45968</c:v>
                </c:pt>
                <c:pt idx="1266">
                  <c:v>45971</c:v>
                </c:pt>
                <c:pt idx="1267">
                  <c:v>45972</c:v>
                </c:pt>
                <c:pt idx="1268">
                  <c:v>45973</c:v>
                </c:pt>
                <c:pt idx="1269">
                  <c:v>45974</c:v>
                </c:pt>
                <c:pt idx="1270">
                  <c:v>45975</c:v>
                </c:pt>
                <c:pt idx="1271">
                  <c:v>45978</c:v>
                </c:pt>
                <c:pt idx="1272">
                  <c:v>45979</c:v>
                </c:pt>
                <c:pt idx="1273">
                  <c:v>45980</c:v>
                </c:pt>
                <c:pt idx="1274">
                  <c:v>45981</c:v>
                </c:pt>
                <c:pt idx="1275">
                  <c:v>45982</c:v>
                </c:pt>
                <c:pt idx="1276">
                  <c:v>45985</c:v>
                </c:pt>
                <c:pt idx="1277">
                  <c:v>45986</c:v>
                </c:pt>
                <c:pt idx="1278">
                  <c:v>45987</c:v>
                </c:pt>
                <c:pt idx="1279">
                  <c:v>45988</c:v>
                </c:pt>
                <c:pt idx="1280">
                  <c:v>45989</c:v>
                </c:pt>
                <c:pt idx="1281">
                  <c:v>45992</c:v>
                </c:pt>
                <c:pt idx="1282">
                  <c:v>45993</c:v>
                </c:pt>
                <c:pt idx="1283">
                  <c:v>45994</c:v>
                </c:pt>
                <c:pt idx="1284">
                  <c:v>45995</c:v>
                </c:pt>
                <c:pt idx="1285">
                  <c:v>45996</c:v>
                </c:pt>
                <c:pt idx="1286">
                  <c:v>45999</c:v>
                </c:pt>
                <c:pt idx="1287">
                  <c:v>46000</c:v>
                </c:pt>
                <c:pt idx="1288">
                  <c:v>46001</c:v>
                </c:pt>
                <c:pt idx="1289">
                  <c:v>46002</c:v>
                </c:pt>
                <c:pt idx="1290">
                  <c:v>46003</c:v>
                </c:pt>
                <c:pt idx="1291">
                  <c:v>46006</c:v>
                </c:pt>
                <c:pt idx="1292">
                  <c:v>46007</c:v>
                </c:pt>
                <c:pt idx="1293">
                  <c:v>46008</c:v>
                </c:pt>
                <c:pt idx="1294">
                  <c:v>46009</c:v>
                </c:pt>
                <c:pt idx="1295">
                  <c:v>46010</c:v>
                </c:pt>
                <c:pt idx="1296">
                  <c:v>46013</c:v>
                </c:pt>
                <c:pt idx="1297">
                  <c:v>46014</c:v>
                </c:pt>
                <c:pt idx="1298">
                  <c:v>46015</c:v>
                </c:pt>
                <c:pt idx="1299">
                  <c:v>46016</c:v>
                </c:pt>
                <c:pt idx="1300">
                  <c:v>46017</c:v>
                </c:pt>
                <c:pt idx="1301">
                  <c:v>46020</c:v>
                </c:pt>
                <c:pt idx="1302">
                  <c:v>46021</c:v>
                </c:pt>
                <c:pt idx="1303">
                  <c:v>46022</c:v>
                </c:pt>
              </c:numCache>
            </c:numRef>
          </c:cat>
          <c:val>
            <c:numRef>
              <c:f>Statsformat!$D$9:$D$1312</c:f>
              <c:numCache>
                <c:formatCode>General</c:formatCode>
                <c:ptCount val="1304"/>
                <c:pt idx="0">
                  <c:v>9.2541410000000006</c:v>
                </c:pt>
                <c:pt idx="1">
                  <c:v>9.2966529999999992</c:v>
                </c:pt>
                <c:pt idx="2">
                  <c:v>9.3323540000000005</c:v>
                </c:pt>
                <c:pt idx="3">
                  <c:v>9.3323540000000005</c:v>
                </c:pt>
                <c:pt idx="4">
                  <c:v>9.2969810000000006</c:v>
                </c:pt>
                <c:pt idx="5">
                  <c:v>9.2600700000000007</c:v>
                </c:pt>
                <c:pt idx="6">
                  <c:v>9.3125180000000007</c:v>
                </c:pt>
                <c:pt idx="7">
                  <c:v>9.3045790000000004</c:v>
                </c:pt>
                <c:pt idx="8">
                  <c:v>9.3147800000000007</c:v>
                </c:pt>
                <c:pt idx="9">
                  <c:v>9.38706</c:v>
                </c:pt>
                <c:pt idx="10">
                  <c:v>9.3852810000000009</c:v>
                </c:pt>
                <c:pt idx="11">
                  <c:v>9.4289129999999997</c:v>
                </c:pt>
                <c:pt idx="12">
                  <c:v>9.4011060000000004</c:v>
                </c:pt>
                <c:pt idx="13">
                  <c:v>9.4066200000000002</c:v>
                </c:pt>
                <c:pt idx="14">
                  <c:v>9.3753050000000009</c:v>
                </c:pt>
                <c:pt idx="15">
                  <c:v>9.3624050000000008</c:v>
                </c:pt>
                <c:pt idx="16">
                  <c:v>9.3333560000000002</c:v>
                </c:pt>
                <c:pt idx="17">
                  <c:v>9.3447600000000008</c:v>
                </c:pt>
                <c:pt idx="18">
                  <c:v>9.3702249999999996</c:v>
                </c:pt>
                <c:pt idx="19">
                  <c:v>9.4140899999999998</c:v>
                </c:pt>
                <c:pt idx="20">
                  <c:v>9.4021299999999997</c:v>
                </c:pt>
                <c:pt idx="21">
                  <c:v>9.3769869999999997</c:v>
                </c:pt>
                <c:pt idx="22">
                  <c:v>9.380547</c:v>
                </c:pt>
                <c:pt idx="23">
                  <c:v>9.3520640000000004</c:v>
                </c:pt>
                <c:pt idx="24">
                  <c:v>9.3491379999999999</c:v>
                </c:pt>
                <c:pt idx="25">
                  <c:v>9.3581620000000001</c:v>
                </c:pt>
                <c:pt idx="26">
                  <c:v>9.3227150000000005</c:v>
                </c:pt>
                <c:pt idx="27">
                  <c:v>9.3474740000000001</c:v>
                </c:pt>
                <c:pt idx="28">
                  <c:v>9.3052550000000007</c:v>
                </c:pt>
                <c:pt idx="29">
                  <c:v>9.3472639999999991</c:v>
                </c:pt>
                <c:pt idx="30">
                  <c:v>9.3549690000000005</c:v>
                </c:pt>
                <c:pt idx="31">
                  <c:v>9.2864930000000001</c:v>
                </c:pt>
                <c:pt idx="32">
                  <c:v>9.3031729999999992</c:v>
                </c:pt>
                <c:pt idx="33">
                  <c:v>9.2905130000000007</c:v>
                </c:pt>
                <c:pt idx="34">
                  <c:v>9.2631870000000003</c:v>
                </c:pt>
                <c:pt idx="35">
                  <c:v>9.275328</c:v>
                </c:pt>
                <c:pt idx="36">
                  <c:v>9.2082610000000003</c:v>
                </c:pt>
                <c:pt idx="37">
                  <c:v>9.2253220000000002</c:v>
                </c:pt>
                <c:pt idx="38">
                  <c:v>9.1314659999999996</c:v>
                </c:pt>
                <c:pt idx="39">
                  <c:v>9.1129920000000002</c:v>
                </c:pt>
                <c:pt idx="40">
                  <c:v>9.18872</c:v>
                </c:pt>
                <c:pt idx="41">
                  <c:v>9.2642760000000006</c:v>
                </c:pt>
                <c:pt idx="42">
                  <c:v>9.2203370000000007</c:v>
                </c:pt>
                <c:pt idx="43">
                  <c:v>9.1536439999999999</c:v>
                </c:pt>
                <c:pt idx="44">
                  <c:v>9.1564979999999991</c:v>
                </c:pt>
                <c:pt idx="45">
                  <c:v>9.1745950000000001</c:v>
                </c:pt>
                <c:pt idx="46">
                  <c:v>9.1738719999999994</c:v>
                </c:pt>
                <c:pt idx="47">
                  <c:v>9.1467989999999997</c:v>
                </c:pt>
                <c:pt idx="48">
                  <c:v>9.1752059999999993</c:v>
                </c:pt>
                <c:pt idx="49">
                  <c:v>9.1163460000000001</c:v>
                </c:pt>
                <c:pt idx="50">
                  <c:v>9.1388499999999997</c:v>
                </c:pt>
                <c:pt idx="51">
                  <c:v>9.163456</c:v>
                </c:pt>
                <c:pt idx="52">
                  <c:v>9.1782210000000006</c:v>
                </c:pt>
                <c:pt idx="53">
                  <c:v>9.1841659999999994</c:v>
                </c:pt>
                <c:pt idx="54">
                  <c:v>9.1642949999999992</c:v>
                </c:pt>
                <c:pt idx="55">
                  <c:v>9.1771170000000009</c:v>
                </c:pt>
                <c:pt idx="56">
                  <c:v>9.2241680000000006</c:v>
                </c:pt>
                <c:pt idx="57">
                  <c:v>9.217689</c:v>
                </c:pt>
                <c:pt idx="58">
                  <c:v>9.2051230000000004</c:v>
                </c:pt>
                <c:pt idx="59">
                  <c:v>9.2013909999999992</c:v>
                </c:pt>
                <c:pt idx="60">
                  <c:v>9.1875269999999993</c:v>
                </c:pt>
                <c:pt idx="61">
                  <c:v>9.2328679999999999</c:v>
                </c:pt>
                <c:pt idx="62">
                  <c:v>9.25732</c:v>
                </c:pt>
                <c:pt idx="63">
                  <c:v>9.2586910000000007</c:v>
                </c:pt>
                <c:pt idx="64">
                  <c:v>9.2547560000000004</c:v>
                </c:pt>
                <c:pt idx="65">
                  <c:v>9.2547560000000004</c:v>
                </c:pt>
                <c:pt idx="66">
                  <c:v>9.2547560000000004</c:v>
                </c:pt>
                <c:pt idx="67">
                  <c:v>9.2814569999999996</c:v>
                </c:pt>
                <c:pt idx="68">
                  <c:v>9.2678969999999996</c:v>
                </c:pt>
                <c:pt idx="69">
                  <c:v>9.2593080000000008</c:v>
                </c:pt>
                <c:pt idx="70">
                  <c:v>9.2508870000000005</c:v>
                </c:pt>
                <c:pt idx="71">
                  <c:v>9.2501990000000003</c:v>
                </c:pt>
                <c:pt idx="72">
                  <c:v>9.2760639999999999</c:v>
                </c:pt>
                <c:pt idx="73">
                  <c:v>9.2257580000000008</c:v>
                </c:pt>
                <c:pt idx="74">
                  <c:v>9.1612860000000005</c:v>
                </c:pt>
                <c:pt idx="75">
                  <c:v>9.1728959999999997</c:v>
                </c:pt>
                <c:pt idx="76">
                  <c:v>9.1680759999999992</c:v>
                </c:pt>
                <c:pt idx="77">
                  <c:v>9.1577319999999993</c:v>
                </c:pt>
                <c:pt idx="78">
                  <c:v>9.2123340000000002</c:v>
                </c:pt>
                <c:pt idx="79">
                  <c:v>9.1769560000000006</c:v>
                </c:pt>
                <c:pt idx="80">
                  <c:v>9.1730499999999999</c:v>
                </c:pt>
                <c:pt idx="81">
                  <c:v>9.1604700000000001</c:v>
                </c:pt>
                <c:pt idx="82">
                  <c:v>9.1601140000000001</c:v>
                </c:pt>
                <c:pt idx="83">
                  <c:v>9.1466329999999996</c:v>
                </c:pt>
                <c:pt idx="84">
                  <c:v>9.1671329999999998</c:v>
                </c:pt>
                <c:pt idx="85">
                  <c:v>9.2274600000000007</c:v>
                </c:pt>
                <c:pt idx="86">
                  <c:v>9.2533189999999994</c:v>
                </c:pt>
                <c:pt idx="87">
                  <c:v>9.2483129999999996</c:v>
                </c:pt>
                <c:pt idx="88">
                  <c:v>9.2825290000000003</c:v>
                </c:pt>
                <c:pt idx="89">
                  <c:v>9.2895339999999997</c:v>
                </c:pt>
                <c:pt idx="90">
                  <c:v>9.2688489999999994</c:v>
                </c:pt>
                <c:pt idx="91">
                  <c:v>9.2392749999999992</c:v>
                </c:pt>
                <c:pt idx="92">
                  <c:v>9.2544199999999996</c:v>
                </c:pt>
                <c:pt idx="93">
                  <c:v>9.2032139999999991</c:v>
                </c:pt>
                <c:pt idx="94">
                  <c:v>9.2032139999999991</c:v>
                </c:pt>
                <c:pt idx="95">
                  <c:v>9.2761519999999997</c:v>
                </c:pt>
                <c:pt idx="96">
                  <c:v>9.2586030000000008</c:v>
                </c:pt>
                <c:pt idx="97">
                  <c:v>9.2406240000000004</c:v>
                </c:pt>
                <c:pt idx="98">
                  <c:v>9.226604</c:v>
                </c:pt>
                <c:pt idx="99">
                  <c:v>9.2338070000000005</c:v>
                </c:pt>
                <c:pt idx="100">
                  <c:v>9.2580760000000009</c:v>
                </c:pt>
                <c:pt idx="101">
                  <c:v>9.2595069999999993</c:v>
                </c:pt>
                <c:pt idx="102">
                  <c:v>9.244999</c:v>
                </c:pt>
                <c:pt idx="103">
                  <c:v>9.252974</c:v>
                </c:pt>
                <c:pt idx="104">
                  <c:v>9.2624329999999997</c:v>
                </c:pt>
                <c:pt idx="105">
                  <c:v>9.2339929999999999</c:v>
                </c:pt>
                <c:pt idx="106">
                  <c:v>9.2297820000000002</c:v>
                </c:pt>
                <c:pt idx="107">
                  <c:v>9.2114170000000009</c:v>
                </c:pt>
                <c:pt idx="108">
                  <c:v>9.2184889999999999</c:v>
                </c:pt>
                <c:pt idx="109">
                  <c:v>9.2100740000000005</c:v>
                </c:pt>
                <c:pt idx="110">
                  <c:v>9.2196149999999992</c:v>
                </c:pt>
                <c:pt idx="111">
                  <c:v>9.2100930000000005</c:v>
                </c:pt>
                <c:pt idx="112">
                  <c:v>9.2048020000000008</c:v>
                </c:pt>
                <c:pt idx="113">
                  <c:v>9.2254079999999998</c:v>
                </c:pt>
                <c:pt idx="114">
                  <c:v>9.2347199999999994</c:v>
                </c:pt>
                <c:pt idx="115">
                  <c:v>9.2236410000000006</c:v>
                </c:pt>
                <c:pt idx="116">
                  <c:v>9.2524739999999994</c:v>
                </c:pt>
                <c:pt idx="117">
                  <c:v>9.2556580000000004</c:v>
                </c:pt>
                <c:pt idx="118">
                  <c:v>9.2792290000000008</c:v>
                </c:pt>
                <c:pt idx="119">
                  <c:v>9.319051</c:v>
                </c:pt>
                <c:pt idx="120">
                  <c:v>9.3208319999999993</c:v>
                </c:pt>
                <c:pt idx="121">
                  <c:v>9.3465319999999998</c:v>
                </c:pt>
                <c:pt idx="122">
                  <c:v>9.2984910000000003</c:v>
                </c:pt>
                <c:pt idx="123">
                  <c:v>9.2353609999999993</c:v>
                </c:pt>
                <c:pt idx="124">
                  <c:v>9.2236759999999993</c:v>
                </c:pt>
                <c:pt idx="125">
                  <c:v>9.2236759999999993</c:v>
                </c:pt>
                <c:pt idx="126">
                  <c:v>9.2310780000000001</c:v>
                </c:pt>
                <c:pt idx="127">
                  <c:v>9.2694749999999999</c:v>
                </c:pt>
                <c:pt idx="128">
                  <c:v>9.2297019999999996</c:v>
                </c:pt>
                <c:pt idx="129">
                  <c:v>9.2499009999999995</c:v>
                </c:pt>
                <c:pt idx="130">
                  <c:v>9.2745519999999999</c:v>
                </c:pt>
                <c:pt idx="131">
                  <c:v>9.2735579999999995</c:v>
                </c:pt>
                <c:pt idx="132">
                  <c:v>9.2620459999999998</c:v>
                </c:pt>
                <c:pt idx="133">
                  <c:v>9.2935409999999994</c:v>
                </c:pt>
                <c:pt idx="134">
                  <c:v>9.349774</c:v>
                </c:pt>
                <c:pt idx="135">
                  <c:v>9.3875299999999999</c:v>
                </c:pt>
                <c:pt idx="136">
                  <c:v>9.3903649999999992</c:v>
                </c:pt>
                <c:pt idx="137">
                  <c:v>9.3706180000000003</c:v>
                </c:pt>
                <c:pt idx="138">
                  <c:v>9.4222970000000004</c:v>
                </c:pt>
                <c:pt idx="139">
                  <c:v>9.4485069999999993</c:v>
                </c:pt>
                <c:pt idx="140">
                  <c:v>9.4405319999999993</c:v>
                </c:pt>
                <c:pt idx="141">
                  <c:v>9.4597020000000001</c:v>
                </c:pt>
                <c:pt idx="142">
                  <c:v>9.4650409999999994</c:v>
                </c:pt>
                <c:pt idx="143">
                  <c:v>9.4621969999999997</c:v>
                </c:pt>
                <c:pt idx="144">
                  <c:v>9.4609970000000008</c:v>
                </c:pt>
                <c:pt idx="145">
                  <c:v>9.4431729999999998</c:v>
                </c:pt>
                <c:pt idx="146">
                  <c:v>9.4483440000000005</c:v>
                </c:pt>
                <c:pt idx="147">
                  <c:v>9.4411179999999995</c:v>
                </c:pt>
                <c:pt idx="148">
                  <c:v>9.4357249999999997</c:v>
                </c:pt>
                <c:pt idx="149">
                  <c:v>9.4532410000000002</c:v>
                </c:pt>
                <c:pt idx="150">
                  <c:v>9.4477930000000008</c:v>
                </c:pt>
                <c:pt idx="151">
                  <c:v>9.4830220000000001</c:v>
                </c:pt>
                <c:pt idx="152">
                  <c:v>9.4880479999999991</c:v>
                </c:pt>
                <c:pt idx="153">
                  <c:v>9.4985909999999993</c:v>
                </c:pt>
                <c:pt idx="154">
                  <c:v>9.4906310000000005</c:v>
                </c:pt>
                <c:pt idx="155">
                  <c:v>9.5014020000000006</c:v>
                </c:pt>
                <c:pt idx="156">
                  <c:v>9.4641470000000005</c:v>
                </c:pt>
                <c:pt idx="157">
                  <c:v>9.456429</c:v>
                </c:pt>
                <c:pt idx="158">
                  <c:v>9.4487079999999999</c:v>
                </c:pt>
                <c:pt idx="159">
                  <c:v>9.4209080000000007</c:v>
                </c:pt>
                <c:pt idx="160">
                  <c:v>9.410736</c:v>
                </c:pt>
                <c:pt idx="161">
                  <c:v>9.4509930000000004</c:v>
                </c:pt>
                <c:pt idx="162">
                  <c:v>9.5023300000000006</c:v>
                </c:pt>
                <c:pt idx="163">
                  <c:v>9.5611750000000004</c:v>
                </c:pt>
                <c:pt idx="164">
                  <c:v>9.5577729999999992</c:v>
                </c:pt>
                <c:pt idx="165">
                  <c:v>9.6238829999999993</c:v>
                </c:pt>
                <c:pt idx="166">
                  <c:v>9.5966740000000001</c:v>
                </c:pt>
                <c:pt idx="167">
                  <c:v>9.5390669999999993</c:v>
                </c:pt>
                <c:pt idx="168">
                  <c:v>9.5067749999999993</c:v>
                </c:pt>
                <c:pt idx="169">
                  <c:v>9.4913070000000008</c:v>
                </c:pt>
                <c:pt idx="170">
                  <c:v>9.4972650000000005</c:v>
                </c:pt>
                <c:pt idx="171">
                  <c:v>9.4756099999999996</c:v>
                </c:pt>
                <c:pt idx="172">
                  <c:v>9.3811230000000005</c:v>
                </c:pt>
                <c:pt idx="173">
                  <c:v>9.4057239999999993</c:v>
                </c:pt>
                <c:pt idx="174">
                  <c:v>9.3950990000000001</c:v>
                </c:pt>
                <c:pt idx="175">
                  <c:v>9.3677189999999992</c:v>
                </c:pt>
                <c:pt idx="176">
                  <c:v>9.3577940000000002</c:v>
                </c:pt>
                <c:pt idx="177">
                  <c:v>9.3595459999999999</c:v>
                </c:pt>
                <c:pt idx="178">
                  <c:v>9.3578170000000007</c:v>
                </c:pt>
                <c:pt idx="179">
                  <c:v>9.3757210000000004</c:v>
                </c:pt>
                <c:pt idx="180">
                  <c:v>9.3817000000000004</c:v>
                </c:pt>
                <c:pt idx="181">
                  <c:v>9.3940009999999994</c:v>
                </c:pt>
                <c:pt idx="182">
                  <c:v>9.3189139999999995</c:v>
                </c:pt>
                <c:pt idx="183">
                  <c:v>9.3496579999999998</c:v>
                </c:pt>
                <c:pt idx="184">
                  <c:v>9.3372150000000005</c:v>
                </c:pt>
                <c:pt idx="185">
                  <c:v>9.2921429999999994</c:v>
                </c:pt>
                <c:pt idx="186">
                  <c:v>9.3473190000000006</c:v>
                </c:pt>
                <c:pt idx="187">
                  <c:v>9.3504430000000003</c:v>
                </c:pt>
                <c:pt idx="188">
                  <c:v>9.3885009999999998</c:v>
                </c:pt>
                <c:pt idx="189">
                  <c:v>9.3706849999999999</c:v>
                </c:pt>
                <c:pt idx="190">
                  <c:v>9.3428660000000008</c:v>
                </c:pt>
                <c:pt idx="191">
                  <c:v>9.3534729999999993</c:v>
                </c:pt>
                <c:pt idx="192">
                  <c:v>9.3943709999999996</c:v>
                </c:pt>
                <c:pt idx="193">
                  <c:v>9.3984140000000007</c:v>
                </c:pt>
                <c:pt idx="194">
                  <c:v>9.4110010000000006</c:v>
                </c:pt>
                <c:pt idx="195">
                  <c:v>9.4263049999999993</c:v>
                </c:pt>
                <c:pt idx="196">
                  <c:v>9.4076280000000008</c:v>
                </c:pt>
                <c:pt idx="197">
                  <c:v>9.4340019999999996</c:v>
                </c:pt>
                <c:pt idx="198">
                  <c:v>9.4454049999999992</c:v>
                </c:pt>
                <c:pt idx="199">
                  <c:v>9.4763249999999992</c:v>
                </c:pt>
                <c:pt idx="200">
                  <c:v>9.4553589999999996</c:v>
                </c:pt>
                <c:pt idx="201">
                  <c:v>9.4205290000000002</c:v>
                </c:pt>
                <c:pt idx="202">
                  <c:v>9.4556439999999995</c:v>
                </c:pt>
                <c:pt idx="203">
                  <c:v>9.4381850000000007</c:v>
                </c:pt>
                <c:pt idx="204">
                  <c:v>9.3993359999999999</c:v>
                </c:pt>
                <c:pt idx="205">
                  <c:v>9.3444310000000002</c:v>
                </c:pt>
                <c:pt idx="206">
                  <c:v>9.3428290000000001</c:v>
                </c:pt>
                <c:pt idx="207">
                  <c:v>9.3499339999999993</c:v>
                </c:pt>
                <c:pt idx="208">
                  <c:v>9.3213869999999996</c:v>
                </c:pt>
                <c:pt idx="209">
                  <c:v>9.3395949999999992</c:v>
                </c:pt>
                <c:pt idx="210">
                  <c:v>9.3529879999999999</c:v>
                </c:pt>
                <c:pt idx="211">
                  <c:v>9.3526980000000002</c:v>
                </c:pt>
                <c:pt idx="212">
                  <c:v>9.3559260000000002</c:v>
                </c:pt>
                <c:pt idx="213">
                  <c:v>9.3692499999999992</c:v>
                </c:pt>
                <c:pt idx="214">
                  <c:v>9.3526659999999993</c:v>
                </c:pt>
                <c:pt idx="215">
                  <c:v>9.3542959999999997</c:v>
                </c:pt>
                <c:pt idx="216">
                  <c:v>9.380153</c:v>
                </c:pt>
                <c:pt idx="217">
                  <c:v>9.3601320000000001</c:v>
                </c:pt>
                <c:pt idx="218">
                  <c:v>9.3766189999999998</c:v>
                </c:pt>
                <c:pt idx="219">
                  <c:v>9.3836770000000005</c:v>
                </c:pt>
                <c:pt idx="220">
                  <c:v>9.4031509999999994</c:v>
                </c:pt>
                <c:pt idx="221">
                  <c:v>9.3885919999999992</c:v>
                </c:pt>
                <c:pt idx="222">
                  <c:v>9.3662659999999995</c:v>
                </c:pt>
                <c:pt idx="223">
                  <c:v>9.4188419999999997</c:v>
                </c:pt>
                <c:pt idx="224">
                  <c:v>9.4870439999999991</c:v>
                </c:pt>
                <c:pt idx="225">
                  <c:v>9.4753930000000004</c:v>
                </c:pt>
                <c:pt idx="226">
                  <c:v>9.5006740000000001</c:v>
                </c:pt>
                <c:pt idx="227">
                  <c:v>9.4950189999999992</c:v>
                </c:pt>
                <c:pt idx="228">
                  <c:v>9.5432050000000004</c:v>
                </c:pt>
                <c:pt idx="229">
                  <c:v>9.5447849999999992</c:v>
                </c:pt>
                <c:pt idx="230">
                  <c:v>9.5949829999999992</c:v>
                </c:pt>
                <c:pt idx="231">
                  <c:v>9.6442029999999992</c:v>
                </c:pt>
                <c:pt idx="232">
                  <c:v>9.6553500000000003</c:v>
                </c:pt>
                <c:pt idx="233">
                  <c:v>9.6932030000000005</c:v>
                </c:pt>
                <c:pt idx="234">
                  <c:v>9.7424569999999999</c:v>
                </c:pt>
                <c:pt idx="235">
                  <c:v>9.8802319999999995</c:v>
                </c:pt>
                <c:pt idx="236">
                  <c:v>9.8874999999999993</c:v>
                </c:pt>
                <c:pt idx="237">
                  <c:v>9.8092769999999998</c:v>
                </c:pt>
                <c:pt idx="238">
                  <c:v>9.8184740000000001</c:v>
                </c:pt>
                <c:pt idx="239">
                  <c:v>9.8541500000000006</c:v>
                </c:pt>
                <c:pt idx="240">
                  <c:v>9.8840509999999995</c:v>
                </c:pt>
                <c:pt idx="241">
                  <c:v>9.9182740000000003</c:v>
                </c:pt>
                <c:pt idx="242">
                  <c:v>9.8146330000000006</c:v>
                </c:pt>
                <c:pt idx="243">
                  <c:v>9.8248259999999998</c:v>
                </c:pt>
                <c:pt idx="244">
                  <c:v>9.8391970000000004</c:v>
                </c:pt>
                <c:pt idx="245">
                  <c:v>9.817634</c:v>
                </c:pt>
                <c:pt idx="246">
                  <c:v>9.8393479999999993</c:v>
                </c:pt>
                <c:pt idx="247">
                  <c:v>9.8663229999999995</c:v>
                </c:pt>
                <c:pt idx="248">
                  <c:v>9.8786389999999997</c:v>
                </c:pt>
                <c:pt idx="249">
                  <c:v>9.8265379999999993</c:v>
                </c:pt>
                <c:pt idx="250">
                  <c:v>9.8389220000000002</c:v>
                </c:pt>
                <c:pt idx="251">
                  <c:v>9.8937039999999996</c:v>
                </c:pt>
                <c:pt idx="252">
                  <c:v>9.9241510000000002</c:v>
                </c:pt>
                <c:pt idx="253">
                  <c:v>9.8936469999999996</c:v>
                </c:pt>
                <c:pt idx="254">
                  <c:v>9.9055090000000003</c:v>
                </c:pt>
                <c:pt idx="255">
                  <c:v>9.9055090000000003</c:v>
                </c:pt>
                <c:pt idx="256">
                  <c:v>9.9399529999999992</c:v>
                </c:pt>
                <c:pt idx="257">
                  <c:v>9.8829290000000007</c:v>
                </c:pt>
                <c:pt idx="258">
                  <c:v>9.88462</c:v>
                </c:pt>
                <c:pt idx="259">
                  <c:v>9.8544680000000007</c:v>
                </c:pt>
                <c:pt idx="260">
                  <c:v>9.8544680000000007</c:v>
                </c:pt>
                <c:pt idx="261">
                  <c:v>9.9045129999999997</c:v>
                </c:pt>
                <c:pt idx="262">
                  <c:v>9.906466</c:v>
                </c:pt>
                <c:pt idx="263">
                  <c:v>9.9153110000000009</c:v>
                </c:pt>
                <c:pt idx="264">
                  <c:v>9.9153110000000009</c:v>
                </c:pt>
                <c:pt idx="265">
                  <c:v>9.9069780000000005</c:v>
                </c:pt>
                <c:pt idx="266">
                  <c:v>9.8731150000000003</c:v>
                </c:pt>
                <c:pt idx="267">
                  <c:v>9.8043960000000006</c:v>
                </c:pt>
                <c:pt idx="268">
                  <c:v>9.7819559999999992</c:v>
                </c:pt>
                <c:pt idx="269">
                  <c:v>9.7677669999999992</c:v>
                </c:pt>
                <c:pt idx="270">
                  <c:v>9.8043949999999995</c:v>
                </c:pt>
                <c:pt idx="271">
                  <c:v>9.8724969999999992</c:v>
                </c:pt>
                <c:pt idx="272">
                  <c:v>9.8864900000000002</c:v>
                </c:pt>
                <c:pt idx="273">
                  <c:v>9.9765230000000003</c:v>
                </c:pt>
                <c:pt idx="274">
                  <c:v>9.9601860000000002</c:v>
                </c:pt>
                <c:pt idx="275">
                  <c:v>10.03872</c:v>
                </c:pt>
                <c:pt idx="276">
                  <c:v>10.088570000000001</c:v>
                </c:pt>
                <c:pt idx="277">
                  <c:v>10.114077</c:v>
                </c:pt>
                <c:pt idx="278">
                  <c:v>10.065431</c:v>
                </c:pt>
                <c:pt idx="279">
                  <c:v>10.099914999999999</c:v>
                </c:pt>
                <c:pt idx="280">
                  <c:v>10.130026000000001</c:v>
                </c:pt>
                <c:pt idx="281">
                  <c:v>10.078034000000001</c:v>
                </c:pt>
                <c:pt idx="282">
                  <c:v>10.050779</c:v>
                </c:pt>
                <c:pt idx="283">
                  <c:v>10.023433000000001</c:v>
                </c:pt>
                <c:pt idx="284">
                  <c:v>9.9970400000000001</c:v>
                </c:pt>
                <c:pt idx="285">
                  <c:v>9.8799320000000002</c:v>
                </c:pt>
                <c:pt idx="286">
                  <c:v>9.8910110000000007</c:v>
                </c:pt>
                <c:pt idx="287">
                  <c:v>9.8832350000000009</c:v>
                </c:pt>
                <c:pt idx="288">
                  <c:v>9.8867759999999993</c:v>
                </c:pt>
                <c:pt idx="289">
                  <c:v>9.8807379999999991</c:v>
                </c:pt>
                <c:pt idx="290">
                  <c:v>10.018758</c:v>
                </c:pt>
                <c:pt idx="291">
                  <c:v>10.141425</c:v>
                </c:pt>
                <c:pt idx="292">
                  <c:v>10.077329000000001</c:v>
                </c:pt>
                <c:pt idx="293">
                  <c:v>10.007191000000001</c:v>
                </c:pt>
                <c:pt idx="294">
                  <c:v>10.097727000000001</c:v>
                </c:pt>
                <c:pt idx="295">
                  <c:v>10.099761000000001</c:v>
                </c:pt>
                <c:pt idx="296">
                  <c:v>10.161645</c:v>
                </c:pt>
                <c:pt idx="297">
                  <c:v>10.230510000000001</c:v>
                </c:pt>
                <c:pt idx="298">
                  <c:v>10.110683</c:v>
                </c:pt>
                <c:pt idx="299">
                  <c:v>10.333764</c:v>
                </c:pt>
                <c:pt idx="300">
                  <c:v>10.303201</c:v>
                </c:pt>
                <c:pt idx="301">
                  <c:v>10.296566</c:v>
                </c:pt>
                <c:pt idx="302">
                  <c:v>10.347880999999999</c:v>
                </c:pt>
                <c:pt idx="303">
                  <c:v>10.555159</c:v>
                </c:pt>
                <c:pt idx="304">
                  <c:v>10.54876</c:v>
                </c:pt>
                <c:pt idx="305">
                  <c:v>10.648547000000001</c:v>
                </c:pt>
                <c:pt idx="306">
                  <c:v>10.839074999999999</c:v>
                </c:pt>
                <c:pt idx="307">
                  <c:v>10.718688</c:v>
                </c:pt>
                <c:pt idx="308">
                  <c:v>10.619828999999999</c:v>
                </c:pt>
                <c:pt idx="309">
                  <c:v>10.512883</c:v>
                </c:pt>
                <c:pt idx="310">
                  <c:v>10.457160999999999</c:v>
                </c:pt>
                <c:pt idx="311">
                  <c:v>10.293265999999999</c:v>
                </c:pt>
                <c:pt idx="312">
                  <c:v>10.229723999999999</c:v>
                </c:pt>
                <c:pt idx="313">
                  <c:v>10.146075</c:v>
                </c:pt>
                <c:pt idx="314">
                  <c:v>10.013189000000001</c:v>
                </c:pt>
                <c:pt idx="315">
                  <c:v>10.078989999999999</c:v>
                </c:pt>
                <c:pt idx="316">
                  <c:v>10.119412000000001</c:v>
                </c:pt>
                <c:pt idx="317">
                  <c:v>10.140359999999999</c:v>
                </c:pt>
                <c:pt idx="318">
                  <c:v>10.101452999999999</c:v>
                </c:pt>
                <c:pt idx="319">
                  <c:v>10.081094999999999</c:v>
                </c:pt>
                <c:pt idx="320">
                  <c:v>10.143122999999999</c:v>
                </c:pt>
                <c:pt idx="321">
                  <c:v>10.120199</c:v>
                </c:pt>
                <c:pt idx="322">
                  <c:v>10.080757999999999</c:v>
                </c:pt>
                <c:pt idx="323">
                  <c:v>10.02998</c:v>
                </c:pt>
                <c:pt idx="324">
                  <c:v>10.031631000000001</c:v>
                </c:pt>
                <c:pt idx="325">
                  <c:v>10.171872</c:v>
                </c:pt>
                <c:pt idx="326">
                  <c:v>10.138572999999999</c:v>
                </c:pt>
                <c:pt idx="327">
                  <c:v>10.159191</c:v>
                </c:pt>
                <c:pt idx="328">
                  <c:v>10.098158</c:v>
                </c:pt>
                <c:pt idx="329">
                  <c:v>10.154731999999999</c:v>
                </c:pt>
                <c:pt idx="330">
                  <c:v>10.138992999999999</c:v>
                </c:pt>
                <c:pt idx="331">
                  <c:v>10.10164</c:v>
                </c:pt>
                <c:pt idx="332">
                  <c:v>10.199135</c:v>
                </c:pt>
                <c:pt idx="333">
                  <c:v>10.224463999999999</c:v>
                </c:pt>
                <c:pt idx="334">
                  <c:v>10.116287</c:v>
                </c:pt>
                <c:pt idx="335">
                  <c:v>10.116287</c:v>
                </c:pt>
                <c:pt idx="336">
                  <c:v>10.116287</c:v>
                </c:pt>
                <c:pt idx="337">
                  <c:v>10.135011</c:v>
                </c:pt>
                <c:pt idx="338">
                  <c:v>9.9901250000000008</c:v>
                </c:pt>
                <c:pt idx="339">
                  <c:v>9.9115939999999991</c:v>
                </c:pt>
                <c:pt idx="340">
                  <c:v>9.9894730000000003</c:v>
                </c:pt>
                <c:pt idx="341">
                  <c:v>10.02421</c:v>
                </c:pt>
                <c:pt idx="342">
                  <c:v>10.159291</c:v>
                </c:pt>
                <c:pt idx="343">
                  <c:v>10.222985</c:v>
                </c:pt>
                <c:pt idx="344">
                  <c:v>10.106882000000001</c:v>
                </c:pt>
                <c:pt idx="345">
                  <c:v>10.065395000000001</c:v>
                </c:pt>
                <c:pt idx="346">
                  <c:v>10.117519</c:v>
                </c:pt>
                <c:pt idx="347">
                  <c:v>10.093785</c:v>
                </c:pt>
                <c:pt idx="348">
                  <c:v>10.10102</c:v>
                </c:pt>
                <c:pt idx="349">
                  <c:v>9.9997450000000008</c:v>
                </c:pt>
                <c:pt idx="350">
                  <c:v>10.159647</c:v>
                </c:pt>
                <c:pt idx="351">
                  <c:v>10.067314</c:v>
                </c:pt>
                <c:pt idx="352">
                  <c:v>10.131098</c:v>
                </c:pt>
                <c:pt idx="353">
                  <c:v>10.090128</c:v>
                </c:pt>
                <c:pt idx="354">
                  <c:v>10.175850000000001</c:v>
                </c:pt>
                <c:pt idx="355">
                  <c:v>10.096902999999999</c:v>
                </c:pt>
                <c:pt idx="356">
                  <c:v>10.031392</c:v>
                </c:pt>
                <c:pt idx="357">
                  <c:v>9.9912189999999992</c:v>
                </c:pt>
                <c:pt idx="358">
                  <c:v>9.9859270000000002</c:v>
                </c:pt>
                <c:pt idx="359">
                  <c:v>10.214361</c:v>
                </c:pt>
                <c:pt idx="360">
                  <c:v>10.202339</c:v>
                </c:pt>
                <c:pt idx="361">
                  <c:v>10.168164000000001</c:v>
                </c:pt>
                <c:pt idx="362">
                  <c:v>10.144634</c:v>
                </c:pt>
                <c:pt idx="363">
                  <c:v>10.215724</c:v>
                </c:pt>
                <c:pt idx="364">
                  <c:v>10.215724</c:v>
                </c:pt>
                <c:pt idx="365">
                  <c:v>10.238910000000001</c:v>
                </c:pt>
                <c:pt idx="366">
                  <c:v>10.218873</c:v>
                </c:pt>
                <c:pt idx="367">
                  <c:v>10.201292</c:v>
                </c:pt>
                <c:pt idx="368">
                  <c:v>10.192466</c:v>
                </c:pt>
                <c:pt idx="369">
                  <c:v>10.226990000000001</c:v>
                </c:pt>
                <c:pt idx="370">
                  <c:v>10.132860000000001</c:v>
                </c:pt>
                <c:pt idx="371">
                  <c:v>10.132860000000001</c:v>
                </c:pt>
                <c:pt idx="372">
                  <c:v>10.087508</c:v>
                </c:pt>
                <c:pt idx="373">
                  <c:v>10.055139</c:v>
                </c:pt>
                <c:pt idx="374">
                  <c:v>10.035026999999999</c:v>
                </c:pt>
                <c:pt idx="375">
                  <c:v>10.125771</c:v>
                </c:pt>
                <c:pt idx="376">
                  <c:v>10.164863</c:v>
                </c:pt>
                <c:pt idx="377">
                  <c:v>10.21519</c:v>
                </c:pt>
                <c:pt idx="378">
                  <c:v>10.151764</c:v>
                </c:pt>
                <c:pt idx="379">
                  <c:v>10.366032000000001</c:v>
                </c:pt>
                <c:pt idx="380">
                  <c:v>10.536557999999999</c:v>
                </c:pt>
                <c:pt idx="381">
                  <c:v>10.508717000000001</c:v>
                </c:pt>
                <c:pt idx="382">
                  <c:v>10.446989</c:v>
                </c:pt>
                <c:pt idx="383">
                  <c:v>10.507835999999999</c:v>
                </c:pt>
                <c:pt idx="384">
                  <c:v>10.546548</c:v>
                </c:pt>
                <c:pt idx="385">
                  <c:v>10.546548</c:v>
                </c:pt>
                <c:pt idx="386">
                  <c:v>10.521608000000001</c:v>
                </c:pt>
                <c:pt idx="387">
                  <c:v>10.517253999999999</c:v>
                </c:pt>
                <c:pt idx="388">
                  <c:v>10.627573</c:v>
                </c:pt>
                <c:pt idx="389">
                  <c:v>10.703766999999999</c:v>
                </c:pt>
                <c:pt idx="390">
                  <c:v>10.753886</c:v>
                </c:pt>
                <c:pt idx="391">
                  <c:v>10.756872</c:v>
                </c:pt>
                <c:pt idx="392">
                  <c:v>10.793663</c:v>
                </c:pt>
                <c:pt idx="393">
                  <c:v>10.828924000000001</c:v>
                </c:pt>
                <c:pt idx="394">
                  <c:v>10.846439999999999</c:v>
                </c:pt>
                <c:pt idx="395">
                  <c:v>10.828244</c:v>
                </c:pt>
                <c:pt idx="396">
                  <c:v>10.82114</c:v>
                </c:pt>
                <c:pt idx="397">
                  <c:v>10.824681999999999</c:v>
                </c:pt>
                <c:pt idx="398">
                  <c:v>10.813305</c:v>
                </c:pt>
                <c:pt idx="399">
                  <c:v>10.765105999999999</c:v>
                </c:pt>
                <c:pt idx="400">
                  <c:v>10.763515999999999</c:v>
                </c:pt>
                <c:pt idx="401">
                  <c:v>10.667801000000001</c:v>
                </c:pt>
                <c:pt idx="402">
                  <c:v>10.599561</c:v>
                </c:pt>
                <c:pt idx="403">
                  <c:v>10.533992</c:v>
                </c:pt>
                <c:pt idx="404">
                  <c:v>10.505056</c:v>
                </c:pt>
                <c:pt idx="405">
                  <c:v>10.576713</c:v>
                </c:pt>
                <c:pt idx="406">
                  <c:v>10.584489</c:v>
                </c:pt>
                <c:pt idx="407">
                  <c:v>10.576803</c:v>
                </c:pt>
                <c:pt idx="408">
                  <c:v>10.691628</c:v>
                </c:pt>
                <c:pt idx="409">
                  <c:v>10.651704000000001</c:v>
                </c:pt>
                <c:pt idx="410">
                  <c:v>10.650755999999999</c:v>
                </c:pt>
                <c:pt idx="411">
                  <c:v>10.695220000000001</c:v>
                </c:pt>
                <c:pt idx="412">
                  <c:v>10.683271</c:v>
                </c:pt>
                <c:pt idx="413">
                  <c:v>10.675299000000001</c:v>
                </c:pt>
                <c:pt idx="414">
                  <c:v>10.609747</c:v>
                </c:pt>
                <c:pt idx="415">
                  <c:v>10.589176</c:v>
                </c:pt>
                <c:pt idx="416">
                  <c:v>10.59507</c:v>
                </c:pt>
                <c:pt idx="417">
                  <c:v>10.638229000000001</c:v>
                </c:pt>
                <c:pt idx="418">
                  <c:v>10.68825</c:v>
                </c:pt>
                <c:pt idx="419">
                  <c:v>10.66685</c:v>
                </c:pt>
                <c:pt idx="420">
                  <c:v>10.716092</c:v>
                </c:pt>
                <c:pt idx="421">
                  <c:v>10.863593</c:v>
                </c:pt>
                <c:pt idx="422">
                  <c:v>10.955432999999999</c:v>
                </c:pt>
                <c:pt idx="423">
                  <c:v>10.898623000000001</c:v>
                </c:pt>
                <c:pt idx="424">
                  <c:v>10.944364999999999</c:v>
                </c:pt>
                <c:pt idx="425">
                  <c:v>10.982037</c:v>
                </c:pt>
                <c:pt idx="426">
                  <c:v>11.076551</c:v>
                </c:pt>
                <c:pt idx="427">
                  <c:v>11.107042</c:v>
                </c:pt>
                <c:pt idx="428">
                  <c:v>11.057532999999999</c:v>
                </c:pt>
                <c:pt idx="429">
                  <c:v>10.973711</c:v>
                </c:pt>
                <c:pt idx="430">
                  <c:v>10.992210999999999</c:v>
                </c:pt>
                <c:pt idx="431">
                  <c:v>11.033410999999999</c:v>
                </c:pt>
                <c:pt idx="432">
                  <c:v>10.988528000000001</c:v>
                </c:pt>
                <c:pt idx="433">
                  <c:v>10.947260999999999</c:v>
                </c:pt>
                <c:pt idx="434">
                  <c:v>10.959803000000001</c:v>
                </c:pt>
                <c:pt idx="435">
                  <c:v>10.972123</c:v>
                </c:pt>
                <c:pt idx="436">
                  <c:v>11.034008999999999</c:v>
                </c:pt>
                <c:pt idx="437">
                  <c:v>10.956265999999999</c:v>
                </c:pt>
                <c:pt idx="438">
                  <c:v>10.970048</c:v>
                </c:pt>
                <c:pt idx="439">
                  <c:v>10.98095</c:v>
                </c:pt>
                <c:pt idx="440">
                  <c:v>11.013601</c:v>
                </c:pt>
                <c:pt idx="441">
                  <c:v>10.954057000000001</c:v>
                </c:pt>
                <c:pt idx="442">
                  <c:v>11.008222</c:v>
                </c:pt>
                <c:pt idx="443">
                  <c:v>11.100569999999999</c:v>
                </c:pt>
                <c:pt idx="444">
                  <c:v>11.132522</c:v>
                </c:pt>
                <c:pt idx="445">
                  <c:v>11.161652999999999</c:v>
                </c:pt>
                <c:pt idx="446">
                  <c:v>11.16808</c:v>
                </c:pt>
                <c:pt idx="447">
                  <c:v>11.149414</c:v>
                </c:pt>
                <c:pt idx="448">
                  <c:v>11.354244</c:v>
                </c:pt>
                <c:pt idx="449">
                  <c:v>11.417498999999999</c:v>
                </c:pt>
                <c:pt idx="450">
                  <c:v>11.3751</c:v>
                </c:pt>
                <c:pt idx="451">
                  <c:v>11.505102000000001</c:v>
                </c:pt>
                <c:pt idx="452">
                  <c:v>11.374451000000001</c:v>
                </c:pt>
                <c:pt idx="453">
                  <c:v>11.504714999999999</c:v>
                </c:pt>
                <c:pt idx="454">
                  <c:v>11.53946</c:v>
                </c:pt>
                <c:pt idx="455">
                  <c:v>11.379356</c:v>
                </c:pt>
                <c:pt idx="456">
                  <c:v>11.244298000000001</c:v>
                </c:pt>
                <c:pt idx="457">
                  <c:v>11.039490000000001</c:v>
                </c:pt>
                <c:pt idx="458">
                  <c:v>11.078075999999999</c:v>
                </c:pt>
                <c:pt idx="459">
                  <c:v>11.184536</c:v>
                </c:pt>
                <c:pt idx="460">
                  <c:v>11.272145</c:v>
                </c:pt>
                <c:pt idx="461">
                  <c:v>11.329333999999999</c:v>
                </c:pt>
                <c:pt idx="462">
                  <c:v>11.303716</c:v>
                </c:pt>
                <c:pt idx="463">
                  <c:v>11.392058</c:v>
                </c:pt>
                <c:pt idx="464">
                  <c:v>11.368301000000001</c:v>
                </c:pt>
                <c:pt idx="465">
                  <c:v>11.285163000000001</c:v>
                </c:pt>
                <c:pt idx="466">
                  <c:v>11.284221000000001</c:v>
                </c:pt>
                <c:pt idx="467">
                  <c:v>11.179349</c:v>
                </c:pt>
                <c:pt idx="468">
                  <c:v>11.141017</c:v>
                </c:pt>
                <c:pt idx="469">
                  <c:v>11.136013999999999</c:v>
                </c:pt>
                <c:pt idx="470">
                  <c:v>11.214114</c:v>
                </c:pt>
                <c:pt idx="471">
                  <c:v>11.254530000000001</c:v>
                </c:pt>
                <c:pt idx="472">
                  <c:v>11.130915</c:v>
                </c:pt>
                <c:pt idx="473">
                  <c:v>11.032111</c:v>
                </c:pt>
                <c:pt idx="474">
                  <c:v>11.005756</c:v>
                </c:pt>
                <c:pt idx="475">
                  <c:v>11.061648</c:v>
                </c:pt>
                <c:pt idx="476">
                  <c:v>10.980964999999999</c:v>
                </c:pt>
                <c:pt idx="477">
                  <c:v>10.97641</c:v>
                </c:pt>
                <c:pt idx="478">
                  <c:v>11.010336000000001</c:v>
                </c:pt>
                <c:pt idx="479">
                  <c:v>11.061156</c:v>
                </c:pt>
                <c:pt idx="480">
                  <c:v>11.022299</c:v>
                </c:pt>
                <c:pt idx="481">
                  <c:v>10.953029000000001</c:v>
                </c:pt>
                <c:pt idx="482">
                  <c:v>10.963481</c:v>
                </c:pt>
                <c:pt idx="483">
                  <c:v>10.913971999999999</c:v>
                </c:pt>
                <c:pt idx="484">
                  <c:v>11.058934000000001</c:v>
                </c:pt>
                <c:pt idx="485">
                  <c:v>10.938599999999999</c:v>
                </c:pt>
                <c:pt idx="486">
                  <c:v>11.002722</c:v>
                </c:pt>
                <c:pt idx="487">
                  <c:v>11.030291999999999</c:v>
                </c:pt>
                <c:pt idx="488">
                  <c:v>11.074267000000001</c:v>
                </c:pt>
                <c:pt idx="489">
                  <c:v>11.097254</c:v>
                </c:pt>
                <c:pt idx="490">
                  <c:v>11.145472</c:v>
                </c:pt>
                <c:pt idx="491">
                  <c:v>11.185324</c:v>
                </c:pt>
                <c:pt idx="492">
                  <c:v>11.162958</c:v>
                </c:pt>
                <c:pt idx="493">
                  <c:v>11.157111</c:v>
                </c:pt>
                <c:pt idx="494">
                  <c:v>11.065659</c:v>
                </c:pt>
                <c:pt idx="495">
                  <c:v>11.024101999999999</c:v>
                </c:pt>
                <c:pt idx="496">
                  <c:v>11.038418999999999</c:v>
                </c:pt>
                <c:pt idx="497">
                  <c:v>11.060713</c:v>
                </c:pt>
                <c:pt idx="498">
                  <c:v>11.088723999999999</c:v>
                </c:pt>
                <c:pt idx="499">
                  <c:v>11.108171</c:v>
                </c:pt>
                <c:pt idx="500">
                  <c:v>11.040046999999999</c:v>
                </c:pt>
                <c:pt idx="501">
                  <c:v>11.030989</c:v>
                </c:pt>
                <c:pt idx="502">
                  <c:v>11.020471000000001</c:v>
                </c:pt>
                <c:pt idx="503">
                  <c:v>11.053371</c:v>
                </c:pt>
                <c:pt idx="504">
                  <c:v>11.021152000000001</c:v>
                </c:pt>
                <c:pt idx="505">
                  <c:v>11.046623</c:v>
                </c:pt>
                <c:pt idx="506">
                  <c:v>11.061394999999999</c:v>
                </c:pt>
                <c:pt idx="507">
                  <c:v>11.012407</c:v>
                </c:pt>
                <c:pt idx="508">
                  <c:v>11.002731000000001</c:v>
                </c:pt>
                <c:pt idx="509">
                  <c:v>11.039085999999999</c:v>
                </c:pt>
                <c:pt idx="510">
                  <c:v>11.154308</c:v>
                </c:pt>
                <c:pt idx="511">
                  <c:v>11.142011999999999</c:v>
                </c:pt>
                <c:pt idx="512">
                  <c:v>11.223846</c:v>
                </c:pt>
                <c:pt idx="513">
                  <c:v>11.250223</c:v>
                </c:pt>
                <c:pt idx="514">
                  <c:v>11.204421</c:v>
                </c:pt>
                <c:pt idx="515">
                  <c:v>11.233851</c:v>
                </c:pt>
                <c:pt idx="516">
                  <c:v>11.233851</c:v>
                </c:pt>
                <c:pt idx="517">
                  <c:v>11.221347</c:v>
                </c:pt>
                <c:pt idx="518">
                  <c:v>11.254151999999999</c:v>
                </c:pt>
                <c:pt idx="519">
                  <c:v>11.314779</c:v>
                </c:pt>
                <c:pt idx="520">
                  <c:v>11.291475999999999</c:v>
                </c:pt>
                <c:pt idx="521">
                  <c:v>11.310082</c:v>
                </c:pt>
                <c:pt idx="522">
                  <c:v>11.277229</c:v>
                </c:pt>
                <c:pt idx="523">
                  <c:v>11.327574</c:v>
                </c:pt>
                <c:pt idx="524">
                  <c:v>11.328798000000001</c:v>
                </c:pt>
                <c:pt idx="525">
                  <c:v>11.328798000000001</c:v>
                </c:pt>
                <c:pt idx="526">
                  <c:v>11.361262999999999</c:v>
                </c:pt>
                <c:pt idx="527">
                  <c:v>11.276021999999999</c:v>
                </c:pt>
                <c:pt idx="528">
                  <c:v>11.332485</c:v>
                </c:pt>
                <c:pt idx="529">
                  <c:v>11.237365</c:v>
                </c:pt>
                <c:pt idx="530">
                  <c:v>11.188907</c:v>
                </c:pt>
                <c:pt idx="531">
                  <c:v>11.246015999999999</c:v>
                </c:pt>
                <c:pt idx="532">
                  <c:v>11.289482</c:v>
                </c:pt>
                <c:pt idx="533">
                  <c:v>11.271578999999999</c:v>
                </c:pt>
                <c:pt idx="534">
                  <c:v>11.256302</c:v>
                </c:pt>
                <c:pt idx="535">
                  <c:v>11.230815</c:v>
                </c:pt>
                <c:pt idx="536">
                  <c:v>11.156813</c:v>
                </c:pt>
                <c:pt idx="537">
                  <c:v>11.089076</c:v>
                </c:pt>
                <c:pt idx="538">
                  <c:v>11.065491</c:v>
                </c:pt>
                <c:pt idx="539">
                  <c:v>11.119812</c:v>
                </c:pt>
                <c:pt idx="540">
                  <c:v>11.173576000000001</c:v>
                </c:pt>
                <c:pt idx="541">
                  <c:v>11.191295</c:v>
                </c:pt>
                <c:pt idx="542">
                  <c:v>11.233867999999999</c:v>
                </c:pt>
                <c:pt idx="543">
                  <c:v>11.389836000000001</c:v>
                </c:pt>
                <c:pt idx="544">
                  <c:v>11.357666999999999</c:v>
                </c:pt>
                <c:pt idx="545">
                  <c:v>11.348482000000001</c:v>
                </c:pt>
                <c:pt idx="546">
                  <c:v>11.444561</c:v>
                </c:pt>
                <c:pt idx="547">
                  <c:v>11.452419000000001</c:v>
                </c:pt>
                <c:pt idx="548">
                  <c:v>11.462937</c:v>
                </c:pt>
                <c:pt idx="549">
                  <c:v>11.447044</c:v>
                </c:pt>
                <c:pt idx="550">
                  <c:v>11.209744000000001</c:v>
                </c:pt>
                <c:pt idx="551">
                  <c:v>11.321956</c:v>
                </c:pt>
                <c:pt idx="552">
                  <c:v>11.269234000000001</c:v>
                </c:pt>
                <c:pt idx="553">
                  <c:v>11.265027</c:v>
                </c:pt>
                <c:pt idx="554">
                  <c:v>11.257496</c:v>
                </c:pt>
                <c:pt idx="555">
                  <c:v>11.314885</c:v>
                </c:pt>
                <c:pt idx="556">
                  <c:v>11.285337999999999</c:v>
                </c:pt>
                <c:pt idx="557">
                  <c:v>11.184256</c:v>
                </c:pt>
                <c:pt idx="558">
                  <c:v>11.158272999999999</c:v>
                </c:pt>
                <c:pt idx="559">
                  <c:v>11.166663</c:v>
                </c:pt>
                <c:pt idx="560">
                  <c:v>11.119524999999999</c:v>
                </c:pt>
                <c:pt idx="561">
                  <c:v>11.138665</c:v>
                </c:pt>
                <c:pt idx="562">
                  <c:v>11.074074</c:v>
                </c:pt>
                <c:pt idx="563">
                  <c:v>11.087137</c:v>
                </c:pt>
                <c:pt idx="564">
                  <c:v>11.138968</c:v>
                </c:pt>
                <c:pt idx="565">
                  <c:v>11.171117000000001</c:v>
                </c:pt>
                <c:pt idx="566">
                  <c:v>11.227237000000001</c:v>
                </c:pt>
                <c:pt idx="567">
                  <c:v>11.233755</c:v>
                </c:pt>
                <c:pt idx="568">
                  <c:v>11.396312</c:v>
                </c:pt>
                <c:pt idx="569">
                  <c:v>11.385325999999999</c:v>
                </c:pt>
                <c:pt idx="570">
                  <c:v>11.564199</c:v>
                </c:pt>
                <c:pt idx="571">
                  <c:v>11.613197</c:v>
                </c:pt>
                <c:pt idx="572">
                  <c:v>11.623374</c:v>
                </c:pt>
                <c:pt idx="573">
                  <c:v>11.369151</c:v>
                </c:pt>
                <c:pt idx="574">
                  <c:v>11.412343</c:v>
                </c:pt>
                <c:pt idx="575">
                  <c:v>11.284831000000001</c:v>
                </c:pt>
                <c:pt idx="576">
                  <c:v>11.315015000000001</c:v>
                </c:pt>
                <c:pt idx="577">
                  <c:v>11.139282</c:v>
                </c:pt>
                <c:pt idx="578">
                  <c:v>11.219030999999999</c:v>
                </c:pt>
                <c:pt idx="579">
                  <c:v>11.219147</c:v>
                </c:pt>
                <c:pt idx="580">
                  <c:v>11.293963</c:v>
                </c:pt>
                <c:pt idx="581">
                  <c:v>11.323686</c:v>
                </c:pt>
                <c:pt idx="582">
                  <c:v>11.266463999999999</c:v>
                </c:pt>
                <c:pt idx="583">
                  <c:v>11.275682</c:v>
                </c:pt>
                <c:pt idx="584">
                  <c:v>11.367388</c:v>
                </c:pt>
                <c:pt idx="585">
                  <c:v>11.323293</c:v>
                </c:pt>
                <c:pt idx="586">
                  <c:v>11.31958</c:v>
                </c:pt>
                <c:pt idx="587">
                  <c:v>11.376232999999999</c:v>
                </c:pt>
                <c:pt idx="588">
                  <c:v>11.377015999999999</c:v>
                </c:pt>
                <c:pt idx="589">
                  <c:v>11.504440000000001</c:v>
                </c:pt>
                <c:pt idx="590">
                  <c:v>11.504440000000001</c:v>
                </c:pt>
                <c:pt idx="591">
                  <c:v>11.504440000000001</c:v>
                </c:pt>
                <c:pt idx="592">
                  <c:v>11.577287</c:v>
                </c:pt>
                <c:pt idx="593">
                  <c:v>11.516081</c:v>
                </c:pt>
                <c:pt idx="594">
                  <c:v>11.564812</c:v>
                </c:pt>
                <c:pt idx="595">
                  <c:v>11.540993</c:v>
                </c:pt>
                <c:pt idx="596">
                  <c:v>11.555571</c:v>
                </c:pt>
                <c:pt idx="597">
                  <c:v>11.476193</c:v>
                </c:pt>
                <c:pt idx="598">
                  <c:v>11.511665000000001</c:v>
                </c:pt>
                <c:pt idx="599">
                  <c:v>11.545752</c:v>
                </c:pt>
                <c:pt idx="600">
                  <c:v>11.570586</c:v>
                </c:pt>
                <c:pt idx="601">
                  <c:v>11.579843</c:v>
                </c:pt>
                <c:pt idx="602">
                  <c:v>11.542168999999999</c:v>
                </c:pt>
                <c:pt idx="603">
                  <c:v>11.560942000000001</c:v>
                </c:pt>
                <c:pt idx="604">
                  <c:v>11.576610000000001</c:v>
                </c:pt>
                <c:pt idx="605">
                  <c:v>11.495136</c:v>
                </c:pt>
                <c:pt idx="606">
                  <c:v>11.495136</c:v>
                </c:pt>
                <c:pt idx="607">
                  <c:v>11.479476999999999</c:v>
                </c:pt>
                <c:pt idx="608">
                  <c:v>11.553887</c:v>
                </c:pt>
                <c:pt idx="609">
                  <c:v>11.597652</c:v>
                </c:pt>
                <c:pt idx="610">
                  <c:v>11.485878</c:v>
                </c:pt>
                <c:pt idx="611">
                  <c:v>11.435608999999999</c:v>
                </c:pt>
                <c:pt idx="612">
                  <c:v>11.405737999999999</c:v>
                </c:pt>
                <c:pt idx="613">
                  <c:v>11.457048</c:v>
                </c:pt>
                <c:pt idx="614">
                  <c:v>11.488877</c:v>
                </c:pt>
                <c:pt idx="615">
                  <c:v>11.573084</c:v>
                </c:pt>
                <c:pt idx="616">
                  <c:v>11.585659</c:v>
                </c:pt>
                <c:pt idx="617">
                  <c:v>11.577510999999999</c:v>
                </c:pt>
                <c:pt idx="618">
                  <c:v>11.618122</c:v>
                </c:pt>
                <c:pt idx="619">
                  <c:v>11.618122</c:v>
                </c:pt>
                <c:pt idx="620">
                  <c:v>11.687777000000001</c:v>
                </c:pt>
                <c:pt idx="621">
                  <c:v>11.717466999999999</c:v>
                </c:pt>
                <c:pt idx="622">
                  <c:v>11.769776999999999</c:v>
                </c:pt>
                <c:pt idx="623">
                  <c:v>11.805056</c:v>
                </c:pt>
                <c:pt idx="624">
                  <c:v>11.873581</c:v>
                </c:pt>
                <c:pt idx="625">
                  <c:v>11.920702</c:v>
                </c:pt>
                <c:pt idx="626">
                  <c:v>11.950944</c:v>
                </c:pt>
                <c:pt idx="627">
                  <c:v>11.958640000000001</c:v>
                </c:pt>
                <c:pt idx="628">
                  <c:v>12.005646</c:v>
                </c:pt>
                <c:pt idx="629">
                  <c:v>11.954947000000001</c:v>
                </c:pt>
                <c:pt idx="630">
                  <c:v>11.930402000000001</c:v>
                </c:pt>
                <c:pt idx="631">
                  <c:v>11.918478</c:v>
                </c:pt>
                <c:pt idx="632">
                  <c:v>11.918478</c:v>
                </c:pt>
                <c:pt idx="633">
                  <c:v>12.010165000000001</c:v>
                </c:pt>
                <c:pt idx="634">
                  <c:v>11.949773</c:v>
                </c:pt>
                <c:pt idx="635">
                  <c:v>12.017495</c:v>
                </c:pt>
                <c:pt idx="636">
                  <c:v>11.981346</c:v>
                </c:pt>
                <c:pt idx="637">
                  <c:v>11.891787000000001</c:v>
                </c:pt>
                <c:pt idx="638">
                  <c:v>11.815816999999999</c:v>
                </c:pt>
                <c:pt idx="639">
                  <c:v>11.875793</c:v>
                </c:pt>
                <c:pt idx="640">
                  <c:v>11.900377000000001</c:v>
                </c:pt>
                <c:pt idx="641">
                  <c:v>11.935435</c:v>
                </c:pt>
                <c:pt idx="642">
                  <c:v>11.956927</c:v>
                </c:pt>
                <c:pt idx="643">
                  <c:v>12.015259</c:v>
                </c:pt>
                <c:pt idx="644">
                  <c:v>11.949726999999999</c:v>
                </c:pt>
                <c:pt idx="645">
                  <c:v>11.949726999999999</c:v>
                </c:pt>
                <c:pt idx="646">
                  <c:v>11.972826</c:v>
                </c:pt>
                <c:pt idx="647">
                  <c:v>11.940511000000001</c:v>
                </c:pt>
                <c:pt idx="648">
                  <c:v>11.978151</c:v>
                </c:pt>
                <c:pt idx="649">
                  <c:v>11.981897</c:v>
                </c:pt>
                <c:pt idx="650">
                  <c:v>12.071654000000001</c:v>
                </c:pt>
                <c:pt idx="651">
                  <c:v>12.058839000000001</c:v>
                </c:pt>
                <c:pt idx="652">
                  <c:v>12.085642</c:v>
                </c:pt>
                <c:pt idx="653">
                  <c:v>12.093064999999999</c:v>
                </c:pt>
                <c:pt idx="654">
                  <c:v>12.190474999999999</c:v>
                </c:pt>
                <c:pt idx="655">
                  <c:v>12.222986000000001</c:v>
                </c:pt>
                <c:pt idx="656">
                  <c:v>12.173154</c:v>
                </c:pt>
                <c:pt idx="657">
                  <c:v>12.141863000000001</c:v>
                </c:pt>
                <c:pt idx="658">
                  <c:v>12.140302999999999</c:v>
                </c:pt>
                <c:pt idx="659">
                  <c:v>11.991994999999999</c:v>
                </c:pt>
                <c:pt idx="660">
                  <c:v>11.904945</c:v>
                </c:pt>
                <c:pt idx="661">
                  <c:v>11.884713</c:v>
                </c:pt>
                <c:pt idx="662">
                  <c:v>11.876154</c:v>
                </c:pt>
                <c:pt idx="663">
                  <c:v>11.92629</c:v>
                </c:pt>
                <c:pt idx="664">
                  <c:v>11.973459999999999</c:v>
                </c:pt>
                <c:pt idx="665">
                  <c:v>11.960284</c:v>
                </c:pt>
                <c:pt idx="666">
                  <c:v>12.016536</c:v>
                </c:pt>
                <c:pt idx="667">
                  <c:v>11.927261</c:v>
                </c:pt>
                <c:pt idx="668">
                  <c:v>12.010986000000001</c:v>
                </c:pt>
                <c:pt idx="669">
                  <c:v>12.041880000000001</c:v>
                </c:pt>
                <c:pt idx="670">
                  <c:v>12.120307</c:v>
                </c:pt>
                <c:pt idx="671">
                  <c:v>12.100204</c:v>
                </c:pt>
                <c:pt idx="672">
                  <c:v>12.102802000000001</c:v>
                </c:pt>
                <c:pt idx="673">
                  <c:v>12.126303</c:v>
                </c:pt>
                <c:pt idx="674">
                  <c:v>12.20105</c:v>
                </c:pt>
                <c:pt idx="675">
                  <c:v>12.215012</c:v>
                </c:pt>
                <c:pt idx="676">
                  <c:v>12.115233999999999</c:v>
                </c:pt>
                <c:pt idx="677">
                  <c:v>12.160401</c:v>
                </c:pt>
                <c:pt idx="678">
                  <c:v>12.217717</c:v>
                </c:pt>
                <c:pt idx="679">
                  <c:v>12.168101</c:v>
                </c:pt>
                <c:pt idx="680">
                  <c:v>12.203142</c:v>
                </c:pt>
                <c:pt idx="681">
                  <c:v>12.381777</c:v>
                </c:pt>
                <c:pt idx="682">
                  <c:v>12.344814</c:v>
                </c:pt>
                <c:pt idx="683">
                  <c:v>12.339293</c:v>
                </c:pt>
                <c:pt idx="684">
                  <c:v>12.423591999999999</c:v>
                </c:pt>
                <c:pt idx="685">
                  <c:v>12.449464000000001</c:v>
                </c:pt>
                <c:pt idx="686">
                  <c:v>12.460084</c:v>
                </c:pt>
                <c:pt idx="687">
                  <c:v>12.429053</c:v>
                </c:pt>
                <c:pt idx="688">
                  <c:v>12.453523000000001</c:v>
                </c:pt>
                <c:pt idx="689">
                  <c:v>12.44323</c:v>
                </c:pt>
                <c:pt idx="690">
                  <c:v>12.451834</c:v>
                </c:pt>
                <c:pt idx="691">
                  <c:v>12.495098</c:v>
                </c:pt>
                <c:pt idx="692">
                  <c:v>12.414045</c:v>
                </c:pt>
                <c:pt idx="693">
                  <c:v>12.388748</c:v>
                </c:pt>
                <c:pt idx="694">
                  <c:v>12.354672000000001</c:v>
                </c:pt>
                <c:pt idx="695">
                  <c:v>12.409231</c:v>
                </c:pt>
                <c:pt idx="696">
                  <c:v>12.44787</c:v>
                </c:pt>
                <c:pt idx="697">
                  <c:v>12.506095</c:v>
                </c:pt>
                <c:pt idx="698">
                  <c:v>12.477352</c:v>
                </c:pt>
                <c:pt idx="699">
                  <c:v>12.468315</c:v>
                </c:pt>
                <c:pt idx="700">
                  <c:v>12.472763</c:v>
                </c:pt>
                <c:pt idx="701">
                  <c:v>12.428621</c:v>
                </c:pt>
                <c:pt idx="702">
                  <c:v>12.461477</c:v>
                </c:pt>
                <c:pt idx="703">
                  <c:v>12.437237</c:v>
                </c:pt>
                <c:pt idx="704">
                  <c:v>12.453099999999999</c:v>
                </c:pt>
                <c:pt idx="705">
                  <c:v>12.455648999999999</c:v>
                </c:pt>
                <c:pt idx="706">
                  <c:v>12.488923</c:v>
                </c:pt>
                <c:pt idx="707">
                  <c:v>12.408028</c:v>
                </c:pt>
                <c:pt idx="708">
                  <c:v>12.424861999999999</c:v>
                </c:pt>
                <c:pt idx="709">
                  <c:v>12.360751</c:v>
                </c:pt>
                <c:pt idx="710">
                  <c:v>12.345496000000001</c:v>
                </c:pt>
                <c:pt idx="711">
                  <c:v>12.210537</c:v>
                </c:pt>
                <c:pt idx="712">
                  <c:v>12.133829</c:v>
                </c:pt>
                <c:pt idx="713">
                  <c:v>12.022589999999999</c:v>
                </c:pt>
                <c:pt idx="714">
                  <c:v>11.981206</c:v>
                </c:pt>
                <c:pt idx="715">
                  <c:v>11.912032999999999</c:v>
                </c:pt>
                <c:pt idx="716">
                  <c:v>11.971880000000001</c:v>
                </c:pt>
                <c:pt idx="717">
                  <c:v>12.019373999999999</c:v>
                </c:pt>
                <c:pt idx="718">
                  <c:v>12.039239999999999</c:v>
                </c:pt>
                <c:pt idx="719">
                  <c:v>12.056298999999999</c:v>
                </c:pt>
                <c:pt idx="720">
                  <c:v>12.06634</c:v>
                </c:pt>
                <c:pt idx="721">
                  <c:v>12.102373</c:v>
                </c:pt>
                <c:pt idx="722">
                  <c:v>12.104912000000001</c:v>
                </c:pt>
                <c:pt idx="723">
                  <c:v>12.026171</c:v>
                </c:pt>
                <c:pt idx="724">
                  <c:v>12.099822</c:v>
                </c:pt>
                <c:pt idx="725">
                  <c:v>12.078548</c:v>
                </c:pt>
                <c:pt idx="726">
                  <c:v>12.161458</c:v>
                </c:pt>
                <c:pt idx="727">
                  <c:v>12.115536000000001</c:v>
                </c:pt>
                <c:pt idx="728">
                  <c:v>12.159610000000001</c:v>
                </c:pt>
                <c:pt idx="729">
                  <c:v>12.284106</c:v>
                </c:pt>
                <c:pt idx="730">
                  <c:v>12.323961000000001</c:v>
                </c:pt>
                <c:pt idx="731">
                  <c:v>12.321061</c:v>
                </c:pt>
                <c:pt idx="732">
                  <c:v>12.286303</c:v>
                </c:pt>
                <c:pt idx="733">
                  <c:v>12.471576000000001</c:v>
                </c:pt>
                <c:pt idx="734">
                  <c:v>12.464247</c:v>
                </c:pt>
                <c:pt idx="735">
                  <c:v>12.415004</c:v>
                </c:pt>
                <c:pt idx="736">
                  <c:v>12.369899999999999</c:v>
                </c:pt>
                <c:pt idx="737">
                  <c:v>12.337400000000001</c:v>
                </c:pt>
                <c:pt idx="738">
                  <c:v>12.292299999999999</c:v>
                </c:pt>
                <c:pt idx="739">
                  <c:v>12.307700000000001</c:v>
                </c:pt>
                <c:pt idx="740">
                  <c:v>12.2517</c:v>
                </c:pt>
                <c:pt idx="741">
                  <c:v>12.1228</c:v>
                </c:pt>
                <c:pt idx="742">
                  <c:v>12.143800000000001</c:v>
                </c:pt>
                <c:pt idx="743">
                  <c:v>12.144600000000001</c:v>
                </c:pt>
                <c:pt idx="744">
                  <c:v>12.095000000000001</c:v>
                </c:pt>
                <c:pt idx="745">
                  <c:v>12.0823</c:v>
                </c:pt>
                <c:pt idx="746">
                  <c:v>12.081200000000001</c:v>
                </c:pt>
                <c:pt idx="747">
                  <c:v>12.038500000000001</c:v>
                </c:pt>
                <c:pt idx="748">
                  <c:v>11.92</c:v>
                </c:pt>
                <c:pt idx="749">
                  <c:v>11.8581</c:v>
                </c:pt>
                <c:pt idx="750">
                  <c:v>11.9175</c:v>
                </c:pt>
                <c:pt idx="751">
                  <c:v>11.857100000000001</c:v>
                </c:pt>
                <c:pt idx="752">
                  <c:v>11.756</c:v>
                </c:pt>
                <c:pt idx="753">
                  <c:v>11.8508</c:v>
                </c:pt>
                <c:pt idx="754">
                  <c:v>11.829800000000001</c:v>
                </c:pt>
                <c:pt idx="755">
                  <c:v>11.856400000000001</c:v>
                </c:pt>
                <c:pt idx="756">
                  <c:v>11.8475</c:v>
                </c:pt>
                <c:pt idx="757">
                  <c:v>11.8538</c:v>
                </c:pt>
                <c:pt idx="758">
                  <c:v>11.804600000000001</c:v>
                </c:pt>
                <c:pt idx="759">
                  <c:v>11.9544</c:v>
                </c:pt>
                <c:pt idx="760">
                  <c:v>11.9323</c:v>
                </c:pt>
                <c:pt idx="761">
                  <c:v>11.946999999999999</c:v>
                </c:pt>
                <c:pt idx="762">
                  <c:v>11.960100000000001</c:v>
                </c:pt>
                <c:pt idx="763">
                  <c:v>11.991199999999999</c:v>
                </c:pt>
                <c:pt idx="764">
                  <c:v>11.915800000000001</c:v>
                </c:pt>
                <c:pt idx="765">
                  <c:v>11.9072</c:v>
                </c:pt>
                <c:pt idx="766">
                  <c:v>11.9192</c:v>
                </c:pt>
                <c:pt idx="767">
                  <c:v>11.946899999999999</c:v>
                </c:pt>
                <c:pt idx="768">
                  <c:v>11.9308</c:v>
                </c:pt>
                <c:pt idx="769">
                  <c:v>11.780799999999999</c:v>
                </c:pt>
                <c:pt idx="770">
                  <c:v>11.817600000000001</c:v>
                </c:pt>
                <c:pt idx="771">
                  <c:v>11.7563</c:v>
                </c:pt>
                <c:pt idx="772">
                  <c:v>11.8004</c:v>
                </c:pt>
                <c:pt idx="773">
                  <c:v>11.7643</c:v>
                </c:pt>
                <c:pt idx="774">
                  <c:v>11.7674</c:v>
                </c:pt>
                <c:pt idx="775">
                  <c:v>11.74</c:v>
                </c:pt>
                <c:pt idx="776">
                  <c:v>11.74</c:v>
                </c:pt>
                <c:pt idx="777">
                  <c:v>11.74</c:v>
                </c:pt>
                <c:pt idx="778">
                  <c:v>11.7249</c:v>
                </c:pt>
                <c:pt idx="779">
                  <c:v>11.8665</c:v>
                </c:pt>
                <c:pt idx="780">
                  <c:v>11.982699999999999</c:v>
                </c:pt>
                <c:pt idx="781">
                  <c:v>11.982699999999999</c:v>
                </c:pt>
                <c:pt idx="782">
                  <c:v>11.9876</c:v>
                </c:pt>
                <c:pt idx="783">
                  <c:v>12.0055</c:v>
                </c:pt>
                <c:pt idx="784">
                  <c:v>12.016</c:v>
                </c:pt>
                <c:pt idx="785">
                  <c:v>12.0547</c:v>
                </c:pt>
                <c:pt idx="786">
                  <c:v>12.042899999999999</c:v>
                </c:pt>
                <c:pt idx="787">
                  <c:v>12.038600000000001</c:v>
                </c:pt>
                <c:pt idx="788">
                  <c:v>11.993399999999999</c:v>
                </c:pt>
                <c:pt idx="789">
                  <c:v>11.9908</c:v>
                </c:pt>
                <c:pt idx="790">
                  <c:v>12.0428</c:v>
                </c:pt>
                <c:pt idx="791">
                  <c:v>12.060700000000001</c:v>
                </c:pt>
                <c:pt idx="792">
                  <c:v>12.0943</c:v>
                </c:pt>
                <c:pt idx="793">
                  <c:v>12.112</c:v>
                </c:pt>
                <c:pt idx="794">
                  <c:v>12.048400000000001</c:v>
                </c:pt>
                <c:pt idx="795">
                  <c:v>12.030900000000001</c:v>
                </c:pt>
                <c:pt idx="796">
                  <c:v>12.0052</c:v>
                </c:pt>
                <c:pt idx="797">
                  <c:v>12.012499999999999</c:v>
                </c:pt>
                <c:pt idx="798">
                  <c:v>12.064299999999999</c:v>
                </c:pt>
                <c:pt idx="799">
                  <c:v>12.0488</c:v>
                </c:pt>
                <c:pt idx="800">
                  <c:v>12.048</c:v>
                </c:pt>
                <c:pt idx="801">
                  <c:v>12.16</c:v>
                </c:pt>
                <c:pt idx="802">
                  <c:v>12.0631</c:v>
                </c:pt>
                <c:pt idx="803">
                  <c:v>12.0541</c:v>
                </c:pt>
                <c:pt idx="804">
                  <c:v>12.1416</c:v>
                </c:pt>
                <c:pt idx="805">
                  <c:v>12.0966</c:v>
                </c:pt>
                <c:pt idx="806">
                  <c:v>12.1686</c:v>
                </c:pt>
                <c:pt idx="807">
                  <c:v>12.153</c:v>
                </c:pt>
                <c:pt idx="808">
                  <c:v>12.000999999999999</c:v>
                </c:pt>
                <c:pt idx="809">
                  <c:v>11.978400000000001</c:v>
                </c:pt>
                <c:pt idx="810">
                  <c:v>11.960900000000001</c:v>
                </c:pt>
                <c:pt idx="811">
                  <c:v>11.9109</c:v>
                </c:pt>
                <c:pt idx="812">
                  <c:v>11.866899999999999</c:v>
                </c:pt>
                <c:pt idx="813">
                  <c:v>11.9169</c:v>
                </c:pt>
                <c:pt idx="814">
                  <c:v>11.87</c:v>
                </c:pt>
                <c:pt idx="815">
                  <c:v>11.8697</c:v>
                </c:pt>
                <c:pt idx="816">
                  <c:v>11.8384</c:v>
                </c:pt>
                <c:pt idx="817">
                  <c:v>11.776719999999999</c:v>
                </c:pt>
                <c:pt idx="818">
                  <c:v>11.78496</c:v>
                </c:pt>
                <c:pt idx="819">
                  <c:v>11.71893</c:v>
                </c:pt>
                <c:pt idx="820">
                  <c:v>11.714449999999999</c:v>
                </c:pt>
                <c:pt idx="821">
                  <c:v>11.69862</c:v>
                </c:pt>
                <c:pt idx="822">
                  <c:v>11.714689999999999</c:v>
                </c:pt>
                <c:pt idx="823">
                  <c:v>11.7563</c:v>
                </c:pt>
                <c:pt idx="824">
                  <c:v>11.763159999999999</c:v>
                </c:pt>
                <c:pt idx="825">
                  <c:v>11.683160000000001</c:v>
                </c:pt>
                <c:pt idx="826">
                  <c:v>11.705959999999999</c:v>
                </c:pt>
                <c:pt idx="827">
                  <c:v>11.73931</c:v>
                </c:pt>
                <c:pt idx="828">
                  <c:v>11.701320000000001</c:v>
                </c:pt>
                <c:pt idx="829">
                  <c:v>11.688840000000001</c:v>
                </c:pt>
                <c:pt idx="830">
                  <c:v>11.64372</c:v>
                </c:pt>
                <c:pt idx="831">
                  <c:v>11.659890000000001</c:v>
                </c:pt>
                <c:pt idx="832">
                  <c:v>11.65311</c:v>
                </c:pt>
                <c:pt idx="833">
                  <c:v>11.660589999999999</c:v>
                </c:pt>
                <c:pt idx="834">
                  <c:v>11.67273</c:v>
                </c:pt>
                <c:pt idx="835">
                  <c:v>11.721</c:v>
                </c:pt>
                <c:pt idx="836">
                  <c:v>11.752649999999999</c:v>
                </c:pt>
                <c:pt idx="837">
                  <c:v>11.782450000000001</c:v>
                </c:pt>
                <c:pt idx="838">
                  <c:v>11.761749999999999</c:v>
                </c:pt>
                <c:pt idx="839">
                  <c:v>11.636799999999999</c:v>
                </c:pt>
                <c:pt idx="840">
                  <c:v>11.72012</c:v>
                </c:pt>
                <c:pt idx="841">
                  <c:v>11.78219</c:v>
                </c:pt>
                <c:pt idx="842">
                  <c:v>11.67482</c:v>
                </c:pt>
                <c:pt idx="843">
                  <c:v>11.727650000000001</c:v>
                </c:pt>
                <c:pt idx="844">
                  <c:v>11.80115</c:v>
                </c:pt>
                <c:pt idx="845">
                  <c:v>11.80115</c:v>
                </c:pt>
                <c:pt idx="846">
                  <c:v>11.80115</c:v>
                </c:pt>
                <c:pt idx="847">
                  <c:v>11.83564</c:v>
                </c:pt>
                <c:pt idx="848">
                  <c:v>11.820869999999999</c:v>
                </c:pt>
                <c:pt idx="849">
                  <c:v>11.690530000000001</c:v>
                </c:pt>
                <c:pt idx="850">
                  <c:v>11.769629999999999</c:v>
                </c:pt>
                <c:pt idx="851">
                  <c:v>11.69318</c:v>
                </c:pt>
                <c:pt idx="852">
                  <c:v>11.66667</c:v>
                </c:pt>
                <c:pt idx="853">
                  <c:v>11.65596</c:v>
                </c:pt>
                <c:pt idx="854">
                  <c:v>11.78196</c:v>
                </c:pt>
                <c:pt idx="855">
                  <c:v>11.90809</c:v>
                </c:pt>
                <c:pt idx="856">
                  <c:v>11.88514</c:v>
                </c:pt>
                <c:pt idx="857">
                  <c:v>11.98002</c:v>
                </c:pt>
                <c:pt idx="858">
                  <c:v>12.04921</c:v>
                </c:pt>
                <c:pt idx="859">
                  <c:v>11.991960000000001</c:v>
                </c:pt>
                <c:pt idx="860">
                  <c:v>12.04959</c:v>
                </c:pt>
                <c:pt idx="861">
                  <c:v>11.96895</c:v>
                </c:pt>
                <c:pt idx="862">
                  <c:v>11.93233</c:v>
                </c:pt>
                <c:pt idx="863">
                  <c:v>11.89124</c:v>
                </c:pt>
                <c:pt idx="864">
                  <c:v>11.886229999999999</c:v>
                </c:pt>
                <c:pt idx="865">
                  <c:v>11.96973</c:v>
                </c:pt>
                <c:pt idx="866">
                  <c:v>11.95274</c:v>
                </c:pt>
                <c:pt idx="867">
                  <c:v>12.008789999999999</c:v>
                </c:pt>
                <c:pt idx="868">
                  <c:v>12.008789999999999</c:v>
                </c:pt>
                <c:pt idx="869">
                  <c:v>11.97049</c:v>
                </c:pt>
                <c:pt idx="870">
                  <c:v>11.94561</c:v>
                </c:pt>
                <c:pt idx="871">
                  <c:v>11.918189999999999</c:v>
                </c:pt>
                <c:pt idx="872">
                  <c:v>11.95599</c:v>
                </c:pt>
                <c:pt idx="873">
                  <c:v>12.009209999999999</c:v>
                </c:pt>
                <c:pt idx="874">
                  <c:v>12.009209999999999</c:v>
                </c:pt>
                <c:pt idx="875">
                  <c:v>11.950609999999999</c:v>
                </c:pt>
                <c:pt idx="876">
                  <c:v>11.958299999999999</c:v>
                </c:pt>
                <c:pt idx="877">
                  <c:v>11.96664</c:v>
                </c:pt>
                <c:pt idx="878">
                  <c:v>11.91337</c:v>
                </c:pt>
                <c:pt idx="879">
                  <c:v>11.827730000000001</c:v>
                </c:pt>
                <c:pt idx="880">
                  <c:v>11.82648</c:v>
                </c:pt>
                <c:pt idx="881">
                  <c:v>11.753740000000001</c:v>
                </c:pt>
                <c:pt idx="882">
                  <c:v>11.71692</c:v>
                </c:pt>
                <c:pt idx="883">
                  <c:v>11.744070000000001</c:v>
                </c:pt>
                <c:pt idx="884">
                  <c:v>11.701320000000001</c:v>
                </c:pt>
                <c:pt idx="885">
                  <c:v>11.68783</c:v>
                </c:pt>
                <c:pt idx="886">
                  <c:v>11.63072</c:v>
                </c:pt>
                <c:pt idx="887">
                  <c:v>11.572469999999999</c:v>
                </c:pt>
                <c:pt idx="888">
                  <c:v>11.629659999999999</c:v>
                </c:pt>
                <c:pt idx="889">
                  <c:v>11.72461</c:v>
                </c:pt>
                <c:pt idx="890">
                  <c:v>11.632720000000001</c:v>
                </c:pt>
                <c:pt idx="891">
                  <c:v>11.66957</c:v>
                </c:pt>
                <c:pt idx="892">
                  <c:v>11.72369</c:v>
                </c:pt>
                <c:pt idx="893">
                  <c:v>11.673019999999999</c:v>
                </c:pt>
                <c:pt idx="894">
                  <c:v>11.673019999999999</c:v>
                </c:pt>
                <c:pt idx="895">
                  <c:v>11.66203</c:v>
                </c:pt>
                <c:pt idx="896">
                  <c:v>11.759880000000001</c:v>
                </c:pt>
                <c:pt idx="897">
                  <c:v>11.68853</c:v>
                </c:pt>
                <c:pt idx="898">
                  <c:v>11.652839999999999</c:v>
                </c:pt>
                <c:pt idx="899">
                  <c:v>11.60633</c:v>
                </c:pt>
                <c:pt idx="900">
                  <c:v>11.8241</c:v>
                </c:pt>
                <c:pt idx="901">
                  <c:v>11.81184</c:v>
                </c:pt>
                <c:pt idx="902">
                  <c:v>11.832420000000001</c:v>
                </c:pt>
                <c:pt idx="903">
                  <c:v>11.796760000000001</c:v>
                </c:pt>
                <c:pt idx="904">
                  <c:v>11.73057</c:v>
                </c:pt>
                <c:pt idx="905">
                  <c:v>11.73057</c:v>
                </c:pt>
                <c:pt idx="906">
                  <c:v>11.7416</c:v>
                </c:pt>
                <c:pt idx="907">
                  <c:v>11.72376</c:v>
                </c:pt>
                <c:pt idx="908">
                  <c:v>11.79322</c:v>
                </c:pt>
                <c:pt idx="909">
                  <c:v>11.8055</c:v>
                </c:pt>
                <c:pt idx="910">
                  <c:v>11.79105</c:v>
                </c:pt>
                <c:pt idx="911">
                  <c:v>11.732379999999999</c:v>
                </c:pt>
                <c:pt idx="912">
                  <c:v>11.77374</c:v>
                </c:pt>
                <c:pt idx="913">
                  <c:v>11.70097</c:v>
                </c:pt>
                <c:pt idx="914">
                  <c:v>11.6677</c:v>
                </c:pt>
                <c:pt idx="915">
                  <c:v>11.675750000000001</c:v>
                </c:pt>
                <c:pt idx="916">
                  <c:v>11.71918</c:v>
                </c:pt>
                <c:pt idx="917">
                  <c:v>11.76071</c:v>
                </c:pt>
                <c:pt idx="918">
                  <c:v>11.73249</c:v>
                </c:pt>
                <c:pt idx="919">
                  <c:v>11.712999999999999</c:v>
                </c:pt>
                <c:pt idx="920">
                  <c:v>11.79491</c:v>
                </c:pt>
                <c:pt idx="921">
                  <c:v>11.82727</c:v>
                </c:pt>
                <c:pt idx="922">
                  <c:v>11.83741</c:v>
                </c:pt>
                <c:pt idx="923">
                  <c:v>11.872999999999999</c:v>
                </c:pt>
                <c:pt idx="924">
                  <c:v>11.93234</c:v>
                </c:pt>
                <c:pt idx="925">
                  <c:v>11.9839</c:v>
                </c:pt>
                <c:pt idx="926">
                  <c:v>12.025130000000001</c:v>
                </c:pt>
                <c:pt idx="927">
                  <c:v>12.058160000000001</c:v>
                </c:pt>
                <c:pt idx="928">
                  <c:v>12.163080000000001</c:v>
                </c:pt>
                <c:pt idx="929">
                  <c:v>12.349489999999999</c:v>
                </c:pt>
                <c:pt idx="930">
                  <c:v>12.228999999999999</c:v>
                </c:pt>
                <c:pt idx="931">
                  <c:v>12.24316</c:v>
                </c:pt>
                <c:pt idx="932">
                  <c:v>12.183070000000001</c:v>
                </c:pt>
                <c:pt idx="933">
                  <c:v>12.181369999999999</c:v>
                </c:pt>
                <c:pt idx="934">
                  <c:v>12.1707</c:v>
                </c:pt>
                <c:pt idx="935">
                  <c:v>12.280609999999999</c:v>
                </c:pt>
                <c:pt idx="936">
                  <c:v>12.39682</c:v>
                </c:pt>
                <c:pt idx="937">
                  <c:v>12.395709999999999</c:v>
                </c:pt>
                <c:pt idx="938">
                  <c:v>12.14104</c:v>
                </c:pt>
                <c:pt idx="939">
                  <c:v>12.27103</c:v>
                </c:pt>
                <c:pt idx="940">
                  <c:v>12.18389</c:v>
                </c:pt>
                <c:pt idx="941">
                  <c:v>12.10989</c:v>
                </c:pt>
                <c:pt idx="942">
                  <c:v>12.137130000000001</c:v>
                </c:pt>
                <c:pt idx="943">
                  <c:v>12.06968</c:v>
                </c:pt>
                <c:pt idx="944">
                  <c:v>12.06739</c:v>
                </c:pt>
                <c:pt idx="945">
                  <c:v>12.100099999999999</c:v>
                </c:pt>
                <c:pt idx="946">
                  <c:v>12.0372</c:v>
                </c:pt>
                <c:pt idx="947">
                  <c:v>11.947620000000001</c:v>
                </c:pt>
                <c:pt idx="948">
                  <c:v>11.97306</c:v>
                </c:pt>
                <c:pt idx="949">
                  <c:v>12.00421</c:v>
                </c:pt>
                <c:pt idx="950">
                  <c:v>12.06786</c:v>
                </c:pt>
                <c:pt idx="951">
                  <c:v>12.05391</c:v>
                </c:pt>
                <c:pt idx="952">
                  <c:v>12.05064</c:v>
                </c:pt>
                <c:pt idx="953">
                  <c:v>12.090669999999999</c:v>
                </c:pt>
                <c:pt idx="954">
                  <c:v>12.11608</c:v>
                </c:pt>
                <c:pt idx="955">
                  <c:v>12.038550000000001</c:v>
                </c:pt>
                <c:pt idx="956">
                  <c:v>12.056290000000001</c:v>
                </c:pt>
                <c:pt idx="957">
                  <c:v>12.0863</c:v>
                </c:pt>
                <c:pt idx="958">
                  <c:v>12.14453</c:v>
                </c:pt>
                <c:pt idx="959">
                  <c:v>12.140040000000001</c:v>
                </c:pt>
                <c:pt idx="960">
                  <c:v>12.140739999999999</c:v>
                </c:pt>
                <c:pt idx="961">
                  <c:v>12.217359999999999</c:v>
                </c:pt>
                <c:pt idx="962">
                  <c:v>12.23179</c:v>
                </c:pt>
                <c:pt idx="963">
                  <c:v>12.21949</c:v>
                </c:pt>
                <c:pt idx="964">
                  <c:v>12.124499999999999</c:v>
                </c:pt>
                <c:pt idx="965">
                  <c:v>12.10557</c:v>
                </c:pt>
                <c:pt idx="966">
                  <c:v>12.049709999999999</c:v>
                </c:pt>
                <c:pt idx="967">
                  <c:v>12.040940000000001</c:v>
                </c:pt>
                <c:pt idx="968">
                  <c:v>12.06221</c:v>
                </c:pt>
                <c:pt idx="969">
                  <c:v>11.96353</c:v>
                </c:pt>
                <c:pt idx="970">
                  <c:v>11.997680000000001</c:v>
                </c:pt>
                <c:pt idx="971">
                  <c:v>12.025829999999999</c:v>
                </c:pt>
                <c:pt idx="972">
                  <c:v>11.96472</c:v>
                </c:pt>
                <c:pt idx="973">
                  <c:v>11.91259</c:v>
                </c:pt>
                <c:pt idx="974">
                  <c:v>11.95514</c:v>
                </c:pt>
                <c:pt idx="975">
                  <c:v>11.967090000000001</c:v>
                </c:pt>
                <c:pt idx="976">
                  <c:v>11.97161</c:v>
                </c:pt>
                <c:pt idx="977">
                  <c:v>12.04439</c:v>
                </c:pt>
                <c:pt idx="978">
                  <c:v>12.089370000000001</c:v>
                </c:pt>
                <c:pt idx="979">
                  <c:v>12.10291</c:v>
                </c:pt>
                <c:pt idx="980">
                  <c:v>12.06887</c:v>
                </c:pt>
                <c:pt idx="981">
                  <c:v>12.106949999999999</c:v>
                </c:pt>
                <c:pt idx="982">
                  <c:v>12.06057</c:v>
                </c:pt>
                <c:pt idx="983">
                  <c:v>12.091089999999999</c:v>
                </c:pt>
                <c:pt idx="984">
                  <c:v>12.099970000000001</c:v>
                </c:pt>
                <c:pt idx="985">
                  <c:v>12.107060000000001</c:v>
                </c:pt>
                <c:pt idx="986">
                  <c:v>12.08789</c:v>
                </c:pt>
                <c:pt idx="987">
                  <c:v>12.02106</c:v>
                </c:pt>
                <c:pt idx="988">
                  <c:v>12.074070000000001</c:v>
                </c:pt>
                <c:pt idx="989">
                  <c:v>12.17271</c:v>
                </c:pt>
                <c:pt idx="990">
                  <c:v>12.14818</c:v>
                </c:pt>
                <c:pt idx="991">
                  <c:v>12.182840000000001</c:v>
                </c:pt>
                <c:pt idx="992">
                  <c:v>12.17352</c:v>
                </c:pt>
                <c:pt idx="993">
                  <c:v>12.21842</c:v>
                </c:pt>
                <c:pt idx="994">
                  <c:v>12.21414</c:v>
                </c:pt>
                <c:pt idx="995">
                  <c:v>12.201560000000001</c:v>
                </c:pt>
                <c:pt idx="996">
                  <c:v>12.246180000000001</c:v>
                </c:pt>
                <c:pt idx="997">
                  <c:v>12.292669999999999</c:v>
                </c:pt>
                <c:pt idx="998">
                  <c:v>12.313420000000001</c:v>
                </c:pt>
                <c:pt idx="999">
                  <c:v>12.357419999999999</c:v>
                </c:pt>
                <c:pt idx="1000">
                  <c:v>12.31728</c:v>
                </c:pt>
                <c:pt idx="1001">
                  <c:v>12.374599999999999</c:v>
                </c:pt>
                <c:pt idx="1002">
                  <c:v>12.408530000000001</c:v>
                </c:pt>
                <c:pt idx="1003">
                  <c:v>12.43755</c:v>
                </c:pt>
                <c:pt idx="1004">
                  <c:v>12.297499999999999</c:v>
                </c:pt>
                <c:pt idx="1005">
                  <c:v>12.338979999999999</c:v>
                </c:pt>
                <c:pt idx="1006">
                  <c:v>12.372719999999999</c:v>
                </c:pt>
                <c:pt idx="1007">
                  <c:v>12.33911</c:v>
                </c:pt>
                <c:pt idx="1008">
                  <c:v>12.356859999999999</c:v>
                </c:pt>
                <c:pt idx="1009">
                  <c:v>12.384460000000001</c:v>
                </c:pt>
                <c:pt idx="1010">
                  <c:v>12.34477</c:v>
                </c:pt>
                <c:pt idx="1011">
                  <c:v>12.387869999999999</c:v>
                </c:pt>
                <c:pt idx="1012">
                  <c:v>12.41719</c:v>
                </c:pt>
                <c:pt idx="1013">
                  <c:v>12.42239</c:v>
                </c:pt>
                <c:pt idx="1014">
                  <c:v>12.4887</c:v>
                </c:pt>
                <c:pt idx="1015">
                  <c:v>12.460089999999999</c:v>
                </c:pt>
                <c:pt idx="1016">
                  <c:v>12.336980000000001</c:v>
                </c:pt>
                <c:pt idx="1017">
                  <c:v>12.371700000000001</c:v>
                </c:pt>
                <c:pt idx="1018">
                  <c:v>12.384790000000001</c:v>
                </c:pt>
                <c:pt idx="1019">
                  <c:v>12.387269999999999</c:v>
                </c:pt>
                <c:pt idx="1020">
                  <c:v>12.37297</c:v>
                </c:pt>
                <c:pt idx="1021">
                  <c:v>12.373340000000001</c:v>
                </c:pt>
                <c:pt idx="1022">
                  <c:v>12.43474</c:v>
                </c:pt>
                <c:pt idx="1023">
                  <c:v>12.41053</c:v>
                </c:pt>
                <c:pt idx="1024">
                  <c:v>12.369160000000001</c:v>
                </c:pt>
                <c:pt idx="1025">
                  <c:v>12.41168</c:v>
                </c:pt>
                <c:pt idx="1026">
                  <c:v>12.410970000000001</c:v>
                </c:pt>
                <c:pt idx="1027">
                  <c:v>12.445779999999999</c:v>
                </c:pt>
                <c:pt idx="1028">
                  <c:v>12.410019999999999</c:v>
                </c:pt>
                <c:pt idx="1029">
                  <c:v>12.34038</c:v>
                </c:pt>
                <c:pt idx="1030">
                  <c:v>12.269579999999999</c:v>
                </c:pt>
                <c:pt idx="1031">
                  <c:v>12.22162</c:v>
                </c:pt>
                <c:pt idx="1032">
                  <c:v>12.1874</c:v>
                </c:pt>
                <c:pt idx="1033">
                  <c:v>12.246320000000001</c:v>
                </c:pt>
                <c:pt idx="1034">
                  <c:v>12.300140000000001</c:v>
                </c:pt>
                <c:pt idx="1035">
                  <c:v>12.343769999999999</c:v>
                </c:pt>
                <c:pt idx="1036">
                  <c:v>12.30077</c:v>
                </c:pt>
                <c:pt idx="1037">
                  <c:v>12.30077</c:v>
                </c:pt>
                <c:pt idx="1038">
                  <c:v>12.30077</c:v>
                </c:pt>
                <c:pt idx="1039">
                  <c:v>12.30077</c:v>
                </c:pt>
                <c:pt idx="1040">
                  <c:v>12.21743</c:v>
                </c:pt>
                <c:pt idx="1041">
                  <c:v>12.17435</c:v>
                </c:pt>
                <c:pt idx="1042">
                  <c:v>12.17435</c:v>
                </c:pt>
                <c:pt idx="1043">
                  <c:v>12.17435</c:v>
                </c:pt>
                <c:pt idx="1044">
                  <c:v>12.18899</c:v>
                </c:pt>
                <c:pt idx="1045">
                  <c:v>12.21908</c:v>
                </c:pt>
                <c:pt idx="1046">
                  <c:v>12.21908</c:v>
                </c:pt>
                <c:pt idx="1047">
                  <c:v>12.173769999999999</c:v>
                </c:pt>
                <c:pt idx="1048">
                  <c:v>12.274760000000001</c:v>
                </c:pt>
                <c:pt idx="1049">
                  <c:v>12.232100000000001</c:v>
                </c:pt>
                <c:pt idx="1050">
                  <c:v>12.21007</c:v>
                </c:pt>
                <c:pt idx="1051">
                  <c:v>12.31061</c:v>
                </c:pt>
                <c:pt idx="1052">
                  <c:v>12.25333</c:v>
                </c:pt>
                <c:pt idx="1053">
                  <c:v>12.243449999999999</c:v>
                </c:pt>
                <c:pt idx="1054">
                  <c:v>12.249359999999999</c:v>
                </c:pt>
                <c:pt idx="1055">
                  <c:v>12.248239999999999</c:v>
                </c:pt>
                <c:pt idx="1056">
                  <c:v>12.190580000000001</c:v>
                </c:pt>
                <c:pt idx="1057">
                  <c:v>12.17248</c:v>
                </c:pt>
                <c:pt idx="1058">
                  <c:v>12.135680000000001</c:v>
                </c:pt>
                <c:pt idx="1059">
                  <c:v>12.14626</c:v>
                </c:pt>
                <c:pt idx="1060">
                  <c:v>12.06973</c:v>
                </c:pt>
                <c:pt idx="1061">
                  <c:v>12.16122</c:v>
                </c:pt>
                <c:pt idx="1062">
                  <c:v>12.15761</c:v>
                </c:pt>
                <c:pt idx="1063">
                  <c:v>12.147930000000001</c:v>
                </c:pt>
                <c:pt idx="1064">
                  <c:v>12.149139999999999</c:v>
                </c:pt>
                <c:pt idx="1065">
                  <c:v>12.143079999999999</c:v>
                </c:pt>
                <c:pt idx="1066">
                  <c:v>12.22293</c:v>
                </c:pt>
                <c:pt idx="1067">
                  <c:v>12.15198</c:v>
                </c:pt>
                <c:pt idx="1068">
                  <c:v>12.089729999999999</c:v>
                </c:pt>
                <c:pt idx="1069">
                  <c:v>12.06287</c:v>
                </c:pt>
                <c:pt idx="1070">
                  <c:v>11.983969999999999</c:v>
                </c:pt>
                <c:pt idx="1071">
                  <c:v>12.001379999999999</c:v>
                </c:pt>
                <c:pt idx="1072">
                  <c:v>11.93393</c:v>
                </c:pt>
                <c:pt idx="1073">
                  <c:v>11.937720000000001</c:v>
                </c:pt>
                <c:pt idx="1074">
                  <c:v>11.97484</c:v>
                </c:pt>
                <c:pt idx="1075">
                  <c:v>11.90902</c:v>
                </c:pt>
                <c:pt idx="1076">
                  <c:v>11.881360000000001</c:v>
                </c:pt>
                <c:pt idx="1077">
                  <c:v>11.895490000000001</c:v>
                </c:pt>
                <c:pt idx="1078">
                  <c:v>11.885529999999999</c:v>
                </c:pt>
                <c:pt idx="1079">
                  <c:v>11.849729999999999</c:v>
                </c:pt>
                <c:pt idx="1080">
                  <c:v>11.82856</c:v>
                </c:pt>
                <c:pt idx="1081">
                  <c:v>11.84599</c:v>
                </c:pt>
                <c:pt idx="1082">
                  <c:v>11.874599999999999</c:v>
                </c:pt>
                <c:pt idx="1083">
                  <c:v>11.86435</c:v>
                </c:pt>
                <c:pt idx="1084">
                  <c:v>11.862439999999999</c:v>
                </c:pt>
                <c:pt idx="1085">
                  <c:v>11.90973</c:v>
                </c:pt>
                <c:pt idx="1086">
                  <c:v>11.82647</c:v>
                </c:pt>
                <c:pt idx="1087">
                  <c:v>11.844519999999999</c:v>
                </c:pt>
                <c:pt idx="1088">
                  <c:v>11.575049999999999</c:v>
                </c:pt>
                <c:pt idx="1089">
                  <c:v>11.46053</c:v>
                </c:pt>
                <c:pt idx="1090">
                  <c:v>11.48007</c:v>
                </c:pt>
                <c:pt idx="1091">
                  <c:v>11.53228</c:v>
                </c:pt>
                <c:pt idx="1092">
                  <c:v>11.429539999999999</c:v>
                </c:pt>
                <c:pt idx="1093">
                  <c:v>11.41127</c:v>
                </c:pt>
                <c:pt idx="1094">
                  <c:v>11.55653</c:v>
                </c:pt>
                <c:pt idx="1095">
                  <c:v>11.46541</c:v>
                </c:pt>
                <c:pt idx="1096">
                  <c:v>11.462669999999999</c:v>
                </c:pt>
                <c:pt idx="1097">
                  <c:v>11.45402</c:v>
                </c:pt>
                <c:pt idx="1098">
                  <c:v>11.48127</c:v>
                </c:pt>
                <c:pt idx="1099">
                  <c:v>11.532310000000001</c:v>
                </c:pt>
                <c:pt idx="1100">
                  <c:v>11.45176</c:v>
                </c:pt>
                <c:pt idx="1101">
                  <c:v>11.480510000000001</c:v>
                </c:pt>
                <c:pt idx="1102">
                  <c:v>11.319319999999999</c:v>
                </c:pt>
                <c:pt idx="1103">
                  <c:v>11.371700000000001</c:v>
                </c:pt>
                <c:pt idx="1104">
                  <c:v>11.36445</c:v>
                </c:pt>
                <c:pt idx="1105">
                  <c:v>11.359579999999999</c:v>
                </c:pt>
                <c:pt idx="1106">
                  <c:v>11.382860000000001</c:v>
                </c:pt>
                <c:pt idx="1107">
                  <c:v>11.36134</c:v>
                </c:pt>
                <c:pt idx="1108">
                  <c:v>11.27947</c:v>
                </c:pt>
                <c:pt idx="1109">
                  <c:v>11.23978</c:v>
                </c:pt>
                <c:pt idx="1110">
                  <c:v>11.66578</c:v>
                </c:pt>
                <c:pt idx="1111">
                  <c:v>11.81401</c:v>
                </c:pt>
                <c:pt idx="1112">
                  <c:v>11.741899999999999</c:v>
                </c:pt>
                <c:pt idx="1113">
                  <c:v>11.933070000000001</c:v>
                </c:pt>
                <c:pt idx="1114">
                  <c:v>11.84966</c:v>
                </c:pt>
                <c:pt idx="1115">
                  <c:v>12.01881</c:v>
                </c:pt>
                <c:pt idx="1116">
                  <c:v>11.798159999999999</c:v>
                </c:pt>
                <c:pt idx="1117">
                  <c:v>11.968299999999999</c:v>
                </c:pt>
                <c:pt idx="1118">
                  <c:v>12.04644</c:v>
                </c:pt>
                <c:pt idx="1119">
                  <c:v>11.869339999999999</c:v>
                </c:pt>
                <c:pt idx="1120">
                  <c:v>11.869339999999999</c:v>
                </c:pt>
                <c:pt idx="1121">
                  <c:v>11.869339999999999</c:v>
                </c:pt>
                <c:pt idx="1122">
                  <c:v>11.71421</c:v>
                </c:pt>
                <c:pt idx="1123">
                  <c:v>11.66009</c:v>
                </c:pt>
                <c:pt idx="1124">
                  <c:v>11.617330000000001</c:v>
                </c:pt>
                <c:pt idx="1125">
                  <c:v>11.67764</c:v>
                </c:pt>
                <c:pt idx="1126">
                  <c:v>11.674099999999999</c:v>
                </c:pt>
                <c:pt idx="1127">
                  <c:v>11.67164</c:v>
                </c:pt>
                <c:pt idx="1128">
                  <c:v>11.68548</c:v>
                </c:pt>
                <c:pt idx="1129">
                  <c:v>11.68548</c:v>
                </c:pt>
                <c:pt idx="1130">
                  <c:v>11.706630000000001</c:v>
                </c:pt>
                <c:pt idx="1131">
                  <c:v>11.71326</c:v>
                </c:pt>
                <c:pt idx="1132">
                  <c:v>11.64134</c:v>
                </c:pt>
                <c:pt idx="1133">
                  <c:v>11.649749999999999</c:v>
                </c:pt>
                <c:pt idx="1134">
                  <c:v>11.69223</c:v>
                </c:pt>
                <c:pt idx="1135">
                  <c:v>11.6754</c:v>
                </c:pt>
                <c:pt idx="1136">
                  <c:v>11.617570000000001</c:v>
                </c:pt>
                <c:pt idx="1137">
                  <c:v>11.56818</c:v>
                </c:pt>
                <c:pt idx="1138">
                  <c:v>11.55911</c:v>
                </c:pt>
                <c:pt idx="1139">
                  <c:v>11.610860000000001</c:v>
                </c:pt>
                <c:pt idx="1140">
                  <c:v>11.65409</c:v>
                </c:pt>
                <c:pt idx="1141">
                  <c:v>11.604749999999999</c:v>
                </c:pt>
                <c:pt idx="1142">
                  <c:v>11.62022</c:v>
                </c:pt>
                <c:pt idx="1143">
                  <c:v>11.59592</c:v>
                </c:pt>
                <c:pt idx="1144">
                  <c:v>11.611370000000001</c:v>
                </c:pt>
                <c:pt idx="1145">
                  <c:v>11.651579999999999</c:v>
                </c:pt>
                <c:pt idx="1146">
                  <c:v>11.5792</c:v>
                </c:pt>
                <c:pt idx="1147">
                  <c:v>11.59013</c:v>
                </c:pt>
                <c:pt idx="1148">
                  <c:v>11.612019999999999</c:v>
                </c:pt>
                <c:pt idx="1149">
                  <c:v>11.612019999999999</c:v>
                </c:pt>
                <c:pt idx="1150">
                  <c:v>11.64062</c:v>
                </c:pt>
                <c:pt idx="1151">
                  <c:v>11.62543</c:v>
                </c:pt>
                <c:pt idx="1152">
                  <c:v>11.673970000000001</c:v>
                </c:pt>
                <c:pt idx="1153">
                  <c:v>11.68356</c:v>
                </c:pt>
                <c:pt idx="1154">
                  <c:v>11.685</c:v>
                </c:pt>
                <c:pt idx="1155">
                  <c:v>11.685</c:v>
                </c:pt>
                <c:pt idx="1156">
                  <c:v>11.708830000000001</c:v>
                </c:pt>
                <c:pt idx="1157">
                  <c:v>11.65832</c:v>
                </c:pt>
                <c:pt idx="1158">
                  <c:v>11.67943</c:v>
                </c:pt>
                <c:pt idx="1159">
                  <c:v>11.60019</c:v>
                </c:pt>
                <c:pt idx="1160">
                  <c:v>11.71439</c:v>
                </c:pt>
                <c:pt idx="1161">
                  <c:v>11.66986</c:v>
                </c:pt>
                <c:pt idx="1162">
                  <c:v>11.639379999999999</c:v>
                </c:pt>
                <c:pt idx="1163">
                  <c:v>11.72711</c:v>
                </c:pt>
                <c:pt idx="1164">
                  <c:v>11.7872</c:v>
                </c:pt>
                <c:pt idx="1165">
                  <c:v>11.7872</c:v>
                </c:pt>
                <c:pt idx="1166">
                  <c:v>11.89251</c:v>
                </c:pt>
                <c:pt idx="1167">
                  <c:v>11.785450000000001</c:v>
                </c:pt>
                <c:pt idx="1168">
                  <c:v>11.81498</c:v>
                </c:pt>
                <c:pt idx="1169">
                  <c:v>11.82535</c:v>
                </c:pt>
                <c:pt idx="1170">
                  <c:v>11.87979</c:v>
                </c:pt>
                <c:pt idx="1171">
                  <c:v>11.925219999999999</c:v>
                </c:pt>
                <c:pt idx="1172">
                  <c:v>11.96804</c:v>
                </c:pt>
                <c:pt idx="1173">
                  <c:v>12.00482</c:v>
                </c:pt>
                <c:pt idx="1174">
                  <c:v>12.032400000000001</c:v>
                </c:pt>
                <c:pt idx="1175">
                  <c:v>12.03777</c:v>
                </c:pt>
                <c:pt idx="1176">
                  <c:v>11.93554</c:v>
                </c:pt>
                <c:pt idx="1177">
                  <c:v>11.944710000000001</c:v>
                </c:pt>
                <c:pt idx="1178">
                  <c:v>11.97265</c:v>
                </c:pt>
                <c:pt idx="1179">
                  <c:v>11.965669999999999</c:v>
                </c:pt>
                <c:pt idx="1180">
                  <c:v>11.974220000000001</c:v>
                </c:pt>
                <c:pt idx="1181">
                  <c:v>12.03933</c:v>
                </c:pt>
                <c:pt idx="1182">
                  <c:v>12.119579999999999</c:v>
                </c:pt>
                <c:pt idx="1183">
                  <c:v>12.13757</c:v>
                </c:pt>
                <c:pt idx="1184">
                  <c:v>12.13236</c:v>
                </c:pt>
                <c:pt idx="1185">
                  <c:v>12.06617</c:v>
                </c:pt>
                <c:pt idx="1186">
                  <c:v>12.02359</c:v>
                </c:pt>
                <c:pt idx="1187">
                  <c:v>12.021229999999999</c:v>
                </c:pt>
                <c:pt idx="1188">
                  <c:v>11.996560000000001</c:v>
                </c:pt>
                <c:pt idx="1189">
                  <c:v>11.97409</c:v>
                </c:pt>
                <c:pt idx="1190">
                  <c:v>11.95173</c:v>
                </c:pt>
                <c:pt idx="1191">
                  <c:v>11.9504</c:v>
                </c:pt>
                <c:pt idx="1192">
                  <c:v>11.98925</c:v>
                </c:pt>
                <c:pt idx="1193">
                  <c:v>11.980969999999999</c:v>
                </c:pt>
                <c:pt idx="1194">
                  <c:v>12.00118</c:v>
                </c:pt>
                <c:pt idx="1195">
                  <c:v>12.02373</c:v>
                </c:pt>
                <c:pt idx="1196">
                  <c:v>11.96757</c:v>
                </c:pt>
                <c:pt idx="1197">
                  <c:v>11.953569999999999</c:v>
                </c:pt>
                <c:pt idx="1198">
                  <c:v>11.94951</c:v>
                </c:pt>
                <c:pt idx="1199">
                  <c:v>11.8926</c:v>
                </c:pt>
                <c:pt idx="1200">
                  <c:v>11.87885</c:v>
                </c:pt>
                <c:pt idx="1201">
                  <c:v>11.857900000000001</c:v>
                </c:pt>
                <c:pt idx="1202">
                  <c:v>11.88363</c:v>
                </c:pt>
                <c:pt idx="1203">
                  <c:v>11.85833</c:v>
                </c:pt>
                <c:pt idx="1204">
                  <c:v>11.87679</c:v>
                </c:pt>
                <c:pt idx="1205">
                  <c:v>11.868230000000001</c:v>
                </c:pt>
                <c:pt idx="1206">
                  <c:v>11.84018</c:v>
                </c:pt>
                <c:pt idx="1207">
                  <c:v>11.85886</c:v>
                </c:pt>
                <c:pt idx="1208">
                  <c:v>11.88663</c:v>
                </c:pt>
                <c:pt idx="1209">
                  <c:v>11.890510000000001</c:v>
                </c:pt>
                <c:pt idx="1210">
                  <c:v>11.9125</c:v>
                </c:pt>
                <c:pt idx="1211">
                  <c:v>11.864140000000001</c:v>
                </c:pt>
                <c:pt idx="1212">
                  <c:v>11.898999999999999</c:v>
                </c:pt>
                <c:pt idx="1213">
                  <c:v>11.888769999999999</c:v>
                </c:pt>
                <c:pt idx="1214">
                  <c:v>11.83952</c:v>
                </c:pt>
                <c:pt idx="1215">
                  <c:v>11.80585</c:v>
                </c:pt>
                <c:pt idx="1216">
                  <c:v>11.73612</c:v>
                </c:pt>
                <c:pt idx="1217">
                  <c:v>11.747809999999999</c:v>
                </c:pt>
                <c:pt idx="1218">
                  <c:v>11.736190000000001</c:v>
                </c:pt>
                <c:pt idx="1219">
                  <c:v>11.74305</c:v>
                </c:pt>
                <c:pt idx="1220">
                  <c:v>11.71565</c:v>
                </c:pt>
                <c:pt idx="1221">
                  <c:v>11.79299</c:v>
                </c:pt>
                <c:pt idx="1222">
                  <c:v>11.79059</c:v>
                </c:pt>
                <c:pt idx="1223">
                  <c:v>11.727349999999999</c:v>
                </c:pt>
                <c:pt idx="1224">
                  <c:v>11.71785</c:v>
                </c:pt>
                <c:pt idx="1225">
                  <c:v>11.713380000000001</c:v>
                </c:pt>
                <c:pt idx="1226">
                  <c:v>11.666309999999999</c:v>
                </c:pt>
                <c:pt idx="1227">
                  <c:v>11.7079</c:v>
                </c:pt>
                <c:pt idx="1228">
                  <c:v>11.767200000000001</c:v>
                </c:pt>
                <c:pt idx="1229">
                  <c:v>11.786519999999999</c:v>
                </c:pt>
                <c:pt idx="1230">
                  <c:v>11.847709999999999</c:v>
                </c:pt>
                <c:pt idx="1231">
                  <c:v>11.820180000000001</c:v>
                </c:pt>
                <c:pt idx="1232">
                  <c:v>11.76017</c:v>
                </c:pt>
                <c:pt idx="1233">
                  <c:v>11.821099999999999</c:v>
                </c:pt>
                <c:pt idx="1234">
                  <c:v>11.824170000000001</c:v>
                </c:pt>
                <c:pt idx="1235">
                  <c:v>11.82705</c:v>
                </c:pt>
                <c:pt idx="1236">
                  <c:v>11.78797</c:v>
                </c:pt>
                <c:pt idx="1237">
                  <c:v>11.807449999999999</c:v>
                </c:pt>
                <c:pt idx="1238">
                  <c:v>11.783770000000001</c:v>
                </c:pt>
                <c:pt idx="1239">
                  <c:v>11.767379999999999</c:v>
                </c:pt>
                <c:pt idx="1240">
                  <c:v>11.776730000000001</c:v>
                </c:pt>
                <c:pt idx="1241">
                  <c:v>11.79729</c:v>
                </c:pt>
                <c:pt idx="1242">
                  <c:v>11.75596</c:v>
                </c:pt>
                <c:pt idx="1243">
                  <c:v>11.78238</c:v>
                </c:pt>
                <c:pt idx="1244">
                  <c:v>11.80256</c:v>
                </c:pt>
                <c:pt idx="1245">
                  <c:v>11.806089999999999</c:v>
                </c:pt>
                <c:pt idx="1246">
                  <c:v>11.83684</c:v>
                </c:pt>
                <c:pt idx="1247">
                  <c:v>11.87392</c:v>
                </c:pt>
                <c:pt idx="1248">
                  <c:v>11.842560000000001</c:v>
                </c:pt>
                <c:pt idx="1249">
                  <c:v>11.83939</c:v>
                </c:pt>
                <c:pt idx="1250">
                  <c:v>11.91531</c:v>
                </c:pt>
                <c:pt idx="1251">
                  <c:v>11.89523</c:v>
                </c:pt>
                <c:pt idx="1252">
                  <c:v>11.8467</c:v>
                </c:pt>
                <c:pt idx="1253">
                  <c:v>11.829219999999999</c:v>
                </c:pt>
                <c:pt idx="1254">
                  <c:v>11.80592</c:v>
                </c:pt>
                <c:pt idx="1255">
                  <c:v>11.790660000000001</c:v>
                </c:pt>
                <c:pt idx="1256">
                  <c:v>11.778930000000001</c:v>
                </c:pt>
                <c:pt idx="1257">
                  <c:v>11.79119</c:v>
                </c:pt>
                <c:pt idx="1258">
                  <c:v>11.74391</c:v>
                </c:pt>
                <c:pt idx="1259">
                  <c:v>11.787520000000001</c:v>
                </c:pt>
                <c:pt idx="1260">
                  <c:v>11.76376</c:v>
                </c:pt>
                <c:pt idx="1261">
                  <c:v>11.760590000000001</c:v>
                </c:pt>
                <c:pt idx="1262">
                  <c:v>11.819800000000001</c:v>
                </c:pt>
                <c:pt idx="1263">
                  <c:v>11.837859999999999</c:v>
                </c:pt>
                <c:pt idx="1264">
                  <c:v>11.79691</c:v>
                </c:pt>
                <c:pt idx="1265">
                  <c:v>11.862109999999999</c:v>
                </c:pt>
                <c:pt idx="1266">
                  <c:v>11.79116</c:v>
                </c:pt>
                <c:pt idx="1267">
                  <c:v>11.8269</c:v>
                </c:pt>
                <c:pt idx="1268">
                  <c:v>11.82649</c:v>
                </c:pt>
                <c:pt idx="1269">
                  <c:v>11.835240000000001</c:v>
                </c:pt>
                <c:pt idx="1270">
                  <c:v>11.958080000000001</c:v>
                </c:pt>
                <c:pt idx="1271">
                  <c:v>11.884550000000001</c:v>
                </c:pt>
                <c:pt idx="1272">
                  <c:v>11.910539999999999</c:v>
                </c:pt>
                <c:pt idx="1273">
                  <c:v>11.83972</c:v>
                </c:pt>
                <c:pt idx="1274">
                  <c:v>11.835050000000001</c:v>
                </c:pt>
                <c:pt idx="1275">
                  <c:v>11.869949999999999</c:v>
                </c:pt>
                <c:pt idx="1276">
                  <c:v>11.80395</c:v>
                </c:pt>
                <c:pt idx="1277">
                  <c:v>11.82236</c:v>
                </c:pt>
                <c:pt idx="1278">
                  <c:v>11.81298</c:v>
                </c:pt>
                <c:pt idx="1279">
                  <c:v>11.7752</c:v>
                </c:pt>
                <c:pt idx="1280">
                  <c:v>11.77238</c:v>
                </c:pt>
                <c:pt idx="1281">
                  <c:v>11.75909</c:v>
                </c:pt>
                <c:pt idx="1282">
                  <c:v>11.7553</c:v>
                </c:pt>
                <c:pt idx="1283">
                  <c:v>11.73415</c:v>
                </c:pt>
                <c:pt idx="1284">
                  <c:v>11.74197</c:v>
                </c:pt>
                <c:pt idx="1285">
                  <c:v>11.70208</c:v>
                </c:pt>
                <c:pt idx="1286">
                  <c:v>11.66329</c:v>
                </c:pt>
                <c:pt idx="1287">
                  <c:v>11.615880000000001</c:v>
                </c:pt>
                <c:pt idx="1288">
                  <c:v>11.60539</c:v>
                </c:pt>
                <c:pt idx="1289">
                  <c:v>11.62006</c:v>
                </c:pt>
                <c:pt idx="1290">
                  <c:v>11.66452</c:v>
                </c:pt>
                <c:pt idx="1291">
                  <c:v>11.668089999999999</c:v>
                </c:pt>
                <c:pt idx="1292">
                  <c:v>11.701420000000001</c:v>
                </c:pt>
                <c:pt idx="1293">
                  <c:v>11.718819999999999</c:v>
                </c:pt>
                <c:pt idx="1294">
                  <c:v>11.70191</c:v>
                </c:pt>
                <c:pt idx="1295">
                  <c:v>11.70208</c:v>
                </c:pt>
                <c:pt idx="1296">
                  <c:v>11.65307</c:v>
                </c:pt>
                <c:pt idx="1297">
                  <c:v>11.650690000000001</c:v>
                </c:pt>
                <c:pt idx="1298">
                  <c:v>11.650690000000001</c:v>
                </c:pt>
                <c:pt idx="1299">
                  <c:v>11.650690000000001</c:v>
                </c:pt>
                <c:pt idx="1300">
                  <c:v>11.650690000000001</c:v>
                </c:pt>
                <c:pt idx="1301">
                  <c:v>11.638870000000001</c:v>
                </c:pt>
                <c:pt idx="1302">
                  <c:v>11.641019999999999</c:v>
                </c:pt>
                <c:pt idx="1303">
                  <c:v>11.641019999999999</c:v>
                </c:pt>
              </c:numCache>
            </c:numRef>
          </c:val>
          <c:smooth val="0"/>
          <c:extLst>
            <c:ext xmlns:c16="http://schemas.microsoft.com/office/drawing/2014/chart" uri="{C3380CC4-5D6E-409C-BE32-E72D297353CC}">
              <c16:uniqueId val="{0000000D-6353-45A4-A2C9-46AD4CA61480}"/>
            </c:ext>
          </c:extLst>
        </c:ser>
        <c:dLbls>
          <c:showLegendKey val="0"/>
          <c:showVal val="0"/>
          <c:showCatName val="0"/>
          <c:showSerName val="0"/>
          <c:showPercent val="0"/>
          <c:showBubbleSize val="0"/>
        </c:dLbls>
        <c:marker val="1"/>
        <c:smooth val="0"/>
        <c:axId val="81240832"/>
        <c:axId val="81242368"/>
      </c:lineChart>
      <c:lineChart>
        <c:grouping val="standard"/>
        <c:varyColors val="0"/>
        <c:dLbls>
          <c:showLegendKey val="0"/>
          <c:showVal val="0"/>
          <c:showCatName val="0"/>
          <c:showSerName val="0"/>
          <c:showPercent val="0"/>
          <c:showBubbleSize val="0"/>
        </c:dLbls>
        <c:marker val="1"/>
        <c:smooth val="0"/>
        <c:axId val="976754792"/>
        <c:axId val="976759472"/>
        <c:extLst>
          <c:ext xmlns:c15="http://schemas.microsoft.com/office/drawing/2012/chart" uri="{02D57815-91ED-43cb-92C2-25804820EDAC}">
            <c15:filteredLineSeries>
              <c15:ser>
                <c:idx val="3"/>
                <c:order val="3"/>
                <c:tx>
                  <c:strRef>
                    <c:extLst>
                      <c:ext uri="{02D57815-91ED-43cb-92C2-25804820EDAC}">
                        <c15:formulaRef>
                          <c15:sqref>Statsformat!$E$8</c15:sqref>
                        </c15:formulaRef>
                      </c:ext>
                    </c:extLst>
                    <c:strCache>
                      <c:ptCount val="1"/>
                      <c:pt idx="0">
                        <c:v>SEK per NOK</c:v>
                      </c:pt>
                    </c:strCache>
                  </c:strRef>
                </c:tx>
                <c:marker>
                  <c:symbol val="none"/>
                </c:marker>
                <c:val>
                  <c:numRef>
                    <c:extLst>
                      <c:ext uri="{02D57815-91ED-43cb-92C2-25804820EDAC}">
                        <c15:formulaRef>
                          <c15:sqref>Statsformat!$E$9:$E$1312</c15:sqref>
                        </c15:formulaRef>
                      </c:ext>
                    </c:extLst>
                    <c:numCache>
                      <c:formatCode>General</c:formatCode>
                      <c:ptCount val="1304"/>
                      <c:pt idx="0">
                        <c:v>0.95456399999999997</c:v>
                      </c:pt>
                      <c:pt idx="1">
                        <c:v>0.96181399999999995</c:v>
                      </c:pt>
                      <c:pt idx="2">
                        <c:v>0.96365599999999996</c:v>
                      </c:pt>
                      <c:pt idx="3">
                        <c:v>0.96365599999999996</c:v>
                      </c:pt>
                      <c:pt idx="4">
                        <c:v>0.97205200000000003</c:v>
                      </c:pt>
                      <c:pt idx="5">
                        <c:v>0.97280500000000003</c:v>
                      </c:pt>
                      <c:pt idx="6">
                        <c:v>0.97291899999999998</c:v>
                      </c:pt>
                      <c:pt idx="7">
                        <c:v>0.97375</c:v>
                      </c:pt>
                      <c:pt idx="8">
                        <c:v>0.97683699999999996</c:v>
                      </c:pt>
                      <c:pt idx="9">
                        <c:v>0.98384000000000005</c:v>
                      </c:pt>
                      <c:pt idx="10">
                        <c:v>0.98040099999999997</c:v>
                      </c:pt>
                      <c:pt idx="11">
                        <c:v>0.97722600000000004</c:v>
                      </c:pt>
                      <c:pt idx="12">
                        <c:v>0.97818499999999997</c:v>
                      </c:pt>
                      <c:pt idx="13">
                        <c:v>0.98111300000000001</c:v>
                      </c:pt>
                      <c:pt idx="14">
                        <c:v>0.98418700000000003</c:v>
                      </c:pt>
                      <c:pt idx="15">
                        <c:v>0.97910399999999997</c:v>
                      </c:pt>
                      <c:pt idx="16">
                        <c:v>0.97537600000000002</c:v>
                      </c:pt>
                      <c:pt idx="17">
                        <c:v>0.96656600000000004</c:v>
                      </c:pt>
                      <c:pt idx="18">
                        <c:v>0.97051500000000002</c:v>
                      </c:pt>
                      <c:pt idx="19">
                        <c:v>0.96370999999999996</c:v>
                      </c:pt>
                      <c:pt idx="20">
                        <c:v>0.96948400000000001</c:v>
                      </c:pt>
                      <c:pt idx="21">
                        <c:v>0.97488699999999995</c:v>
                      </c:pt>
                      <c:pt idx="22">
                        <c:v>0.98145099999999996</c:v>
                      </c:pt>
                      <c:pt idx="23">
                        <c:v>0.97780800000000001</c:v>
                      </c:pt>
                      <c:pt idx="24">
                        <c:v>0.97908899999999999</c:v>
                      </c:pt>
                      <c:pt idx="25">
                        <c:v>0.98056699999999997</c:v>
                      </c:pt>
                      <c:pt idx="26">
                        <c:v>0.98285699999999998</c:v>
                      </c:pt>
                      <c:pt idx="27">
                        <c:v>0.98729900000000004</c:v>
                      </c:pt>
                      <c:pt idx="28">
                        <c:v>0.98355300000000001</c:v>
                      </c:pt>
                      <c:pt idx="29">
                        <c:v>0.98303300000000005</c:v>
                      </c:pt>
                      <c:pt idx="30">
                        <c:v>0.98052499999999998</c:v>
                      </c:pt>
                      <c:pt idx="31">
                        <c:v>0.98352300000000004</c:v>
                      </c:pt>
                      <c:pt idx="32">
                        <c:v>0.98767300000000002</c:v>
                      </c:pt>
                      <c:pt idx="33">
                        <c:v>0.98212900000000003</c:v>
                      </c:pt>
                      <c:pt idx="34">
                        <c:v>0.97913499999999998</c:v>
                      </c:pt>
                      <c:pt idx="35">
                        <c:v>0.98073299999999997</c:v>
                      </c:pt>
                      <c:pt idx="36">
                        <c:v>0.97458</c:v>
                      </c:pt>
                      <c:pt idx="37">
                        <c:v>0.97764200000000001</c:v>
                      </c:pt>
                      <c:pt idx="38">
                        <c:v>0.98084700000000002</c:v>
                      </c:pt>
                      <c:pt idx="39">
                        <c:v>0.986765</c:v>
                      </c:pt>
                      <c:pt idx="40">
                        <c:v>0.97543500000000005</c:v>
                      </c:pt>
                      <c:pt idx="41">
                        <c:v>0.97568299999999997</c:v>
                      </c:pt>
                      <c:pt idx="42">
                        <c:v>0.98544799999999999</c:v>
                      </c:pt>
                      <c:pt idx="43">
                        <c:v>0.99043700000000001</c:v>
                      </c:pt>
                      <c:pt idx="44">
                        <c:v>0.99378500000000003</c:v>
                      </c:pt>
                      <c:pt idx="45">
                        <c:v>0.99049699999999996</c:v>
                      </c:pt>
                      <c:pt idx="46">
                        <c:v>0.99871299999999996</c:v>
                      </c:pt>
                      <c:pt idx="47">
                        <c:v>1.0060450000000001</c:v>
                      </c:pt>
                      <c:pt idx="48">
                        <c:v>1.004831</c:v>
                      </c:pt>
                      <c:pt idx="49">
                        <c:v>1.0059119999999999</c:v>
                      </c:pt>
                      <c:pt idx="50">
                        <c:v>1.004138</c:v>
                      </c:pt>
                      <c:pt idx="51">
                        <c:v>1.0092909999999999</c:v>
                      </c:pt>
                      <c:pt idx="52">
                        <c:v>1.004632</c:v>
                      </c:pt>
                      <c:pt idx="53">
                        <c:v>1.0036179999999999</c:v>
                      </c:pt>
                      <c:pt idx="54">
                        <c:v>1.0047999999999999</c:v>
                      </c:pt>
                      <c:pt idx="55">
                        <c:v>1.002041</c:v>
                      </c:pt>
                      <c:pt idx="56">
                        <c:v>1.000073</c:v>
                      </c:pt>
                      <c:pt idx="57">
                        <c:v>1.0011190000000001</c:v>
                      </c:pt>
                      <c:pt idx="58">
                        <c:v>0.99730799999999997</c:v>
                      </c:pt>
                      <c:pt idx="59">
                        <c:v>1.003822</c:v>
                      </c:pt>
                      <c:pt idx="60">
                        <c:v>1.0065850000000001</c:v>
                      </c:pt>
                      <c:pt idx="61">
                        <c:v>1.00848</c:v>
                      </c:pt>
                      <c:pt idx="62">
                        <c:v>1.0193650000000001</c:v>
                      </c:pt>
                      <c:pt idx="63">
                        <c:v>1.0229250000000001</c:v>
                      </c:pt>
                      <c:pt idx="64">
                        <c:v>1.0212460000000001</c:v>
                      </c:pt>
                      <c:pt idx="65">
                        <c:v>1.0212460000000001</c:v>
                      </c:pt>
                      <c:pt idx="66">
                        <c:v>1.0212460000000001</c:v>
                      </c:pt>
                      <c:pt idx="67">
                        <c:v>1.0224869999999999</c:v>
                      </c:pt>
                      <c:pt idx="68">
                        <c:v>1.0147900000000001</c:v>
                      </c:pt>
                      <c:pt idx="69">
                        <c:v>1.016205</c:v>
                      </c:pt>
                      <c:pt idx="70">
                        <c:v>1.0058579999999999</c:v>
                      </c:pt>
                      <c:pt idx="71">
                        <c:v>1.0052270000000001</c:v>
                      </c:pt>
                      <c:pt idx="72">
                        <c:v>1.0088619999999999</c:v>
                      </c:pt>
                      <c:pt idx="73">
                        <c:v>1.005827</c:v>
                      </c:pt>
                      <c:pt idx="74">
                        <c:v>1.0085189999999999</c:v>
                      </c:pt>
                      <c:pt idx="75">
                        <c:v>1.005722</c:v>
                      </c:pt>
                      <c:pt idx="76">
                        <c:v>1.0097670000000001</c:v>
                      </c:pt>
                      <c:pt idx="77">
                        <c:v>1.0135350000000001</c:v>
                      </c:pt>
                      <c:pt idx="78">
                        <c:v>1.0099910000000001</c:v>
                      </c:pt>
                      <c:pt idx="79">
                        <c:v>1.009455</c:v>
                      </c:pt>
                      <c:pt idx="80">
                        <c:v>1.0092890000000001</c:v>
                      </c:pt>
                      <c:pt idx="81">
                        <c:v>1.0101070000000001</c:v>
                      </c:pt>
                      <c:pt idx="82">
                        <c:v>1.0111790000000001</c:v>
                      </c:pt>
                      <c:pt idx="83">
                        <c:v>1.0118480000000001</c:v>
                      </c:pt>
                      <c:pt idx="84">
                        <c:v>1.0183120000000001</c:v>
                      </c:pt>
                      <c:pt idx="85">
                        <c:v>1.0215270000000001</c:v>
                      </c:pt>
                      <c:pt idx="86">
                        <c:v>1.016967</c:v>
                      </c:pt>
                      <c:pt idx="87">
                        <c:v>1.016831</c:v>
                      </c:pt>
                      <c:pt idx="88">
                        <c:v>1.018635</c:v>
                      </c:pt>
                      <c:pt idx="89">
                        <c:v>1.0170509999999999</c:v>
                      </c:pt>
                      <c:pt idx="90">
                        <c:v>1.0135050000000001</c:v>
                      </c:pt>
                      <c:pt idx="91">
                        <c:v>1.0151220000000001</c:v>
                      </c:pt>
                      <c:pt idx="92">
                        <c:v>1.009001</c:v>
                      </c:pt>
                      <c:pt idx="93">
                        <c:v>1.006095</c:v>
                      </c:pt>
                      <c:pt idx="94">
                        <c:v>1.006095</c:v>
                      </c:pt>
                      <c:pt idx="95">
                        <c:v>1.0048410000000001</c:v>
                      </c:pt>
                      <c:pt idx="96">
                        <c:v>1.0113129999999999</c:v>
                      </c:pt>
                      <c:pt idx="97">
                        <c:v>1.009415</c:v>
                      </c:pt>
                      <c:pt idx="98">
                        <c:v>1.007633</c:v>
                      </c:pt>
                      <c:pt idx="99">
                        <c:v>1.0051289999999999</c:v>
                      </c:pt>
                      <c:pt idx="100">
                        <c:v>0.997332</c:v>
                      </c:pt>
                      <c:pt idx="101">
                        <c:v>0.99699099999999996</c:v>
                      </c:pt>
                      <c:pt idx="102">
                        <c:v>0.99636599999999997</c:v>
                      </c:pt>
                      <c:pt idx="103">
                        <c:v>0.99543999999999999</c:v>
                      </c:pt>
                      <c:pt idx="104">
                        <c:v>0.99334999999999996</c:v>
                      </c:pt>
                      <c:pt idx="105">
                        <c:v>0.99150300000000002</c:v>
                      </c:pt>
                      <c:pt idx="106">
                        <c:v>0.99266600000000005</c:v>
                      </c:pt>
                      <c:pt idx="107">
                        <c:v>1.0024690000000001</c:v>
                      </c:pt>
                      <c:pt idx="108">
                        <c:v>0.99443199999999998</c:v>
                      </c:pt>
                      <c:pt idx="109">
                        <c:v>0.99671299999999996</c:v>
                      </c:pt>
                      <c:pt idx="110">
                        <c:v>0.99435099999999998</c:v>
                      </c:pt>
                      <c:pt idx="111">
                        <c:v>0.99686399999999997</c:v>
                      </c:pt>
                      <c:pt idx="112">
                        <c:v>0.99894499999999997</c:v>
                      </c:pt>
                      <c:pt idx="113">
                        <c:v>1.0012939999999999</c:v>
                      </c:pt>
                      <c:pt idx="114">
                        <c:v>0.993753</c:v>
                      </c:pt>
                      <c:pt idx="115">
                        <c:v>0.997332</c:v>
                      </c:pt>
                      <c:pt idx="116">
                        <c:v>0.99880599999999997</c:v>
                      </c:pt>
                      <c:pt idx="117">
                        <c:v>1.000294</c:v>
                      </c:pt>
                      <c:pt idx="118">
                        <c:v>0.999892</c:v>
                      </c:pt>
                      <c:pt idx="119">
                        <c:v>0.99869799999999997</c:v>
                      </c:pt>
                      <c:pt idx="120">
                        <c:v>0.99978500000000003</c:v>
                      </c:pt>
                      <c:pt idx="121">
                        <c:v>0.99133199999999999</c:v>
                      </c:pt>
                      <c:pt idx="122">
                        <c:v>0.99459500000000001</c:v>
                      </c:pt>
                      <c:pt idx="123">
                        <c:v>0.99504300000000001</c:v>
                      </c:pt>
                      <c:pt idx="124">
                        <c:v>0.99534599999999995</c:v>
                      </c:pt>
                      <c:pt idx="125">
                        <c:v>0.99534599999999995</c:v>
                      </c:pt>
                      <c:pt idx="126">
                        <c:v>0.99675800000000003</c:v>
                      </c:pt>
                      <c:pt idx="127">
                        <c:v>0.99697400000000003</c:v>
                      </c:pt>
                      <c:pt idx="128">
                        <c:v>0.994201</c:v>
                      </c:pt>
                      <c:pt idx="129">
                        <c:v>0.99443000000000004</c:v>
                      </c:pt>
                      <c:pt idx="130">
                        <c:v>0.99489300000000003</c:v>
                      </c:pt>
                      <c:pt idx="131">
                        <c:v>0.994703</c:v>
                      </c:pt>
                      <c:pt idx="132">
                        <c:v>0.99823499999999998</c:v>
                      </c:pt>
                      <c:pt idx="133">
                        <c:v>0.98855700000000002</c:v>
                      </c:pt>
                      <c:pt idx="134">
                        <c:v>0.984205</c:v>
                      </c:pt>
                      <c:pt idx="135">
                        <c:v>0.97911999999999999</c:v>
                      </c:pt>
                      <c:pt idx="136">
                        <c:v>0.98719500000000004</c:v>
                      </c:pt>
                      <c:pt idx="137">
                        <c:v>0.98754699999999995</c:v>
                      </c:pt>
                      <c:pt idx="138">
                        <c:v>0.98717200000000005</c:v>
                      </c:pt>
                      <c:pt idx="139">
                        <c:v>0.98513899999999999</c:v>
                      </c:pt>
                      <c:pt idx="140">
                        <c:v>0.98356500000000002</c:v>
                      </c:pt>
                      <c:pt idx="141">
                        <c:v>0.97892100000000004</c:v>
                      </c:pt>
                      <c:pt idx="142">
                        <c:v>0.97033700000000001</c:v>
                      </c:pt>
                      <c:pt idx="143">
                        <c:v>0.96480600000000005</c:v>
                      </c:pt>
                      <c:pt idx="144">
                        <c:v>0.97282299999999999</c:v>
                      </c:pt>
                      <c:pt idx="145">
                        <c:v>0.98056399999999999</c:v>
                      </c:pt>
                      <c:pt idx="146">
                        <c:v>0.97400100000000001</c:v>
                      </c:pt>
                      <c:pt idx="147">
                        <c:v>0.97466200000000003</c:v>
                      </c:pt>
                      <c:pt idx="148">
                        <c:v>0.97097599999999995</c:v>
                      </c:pt>
                      <c:pt idx="149">
                        <c:v>0.97861299999999996</c:v>
                      </c:pt>
                      <c:pt idx="150">
                        <c:v>0.97593399999999997</c:v>
                      </c:pt>
                      <c:pt idx="151">
                        <c:v>0.975352</c:v>
                      </c:pt>
                      <c:pt idx="152">
                        <c:v>0.97664300000000004</c:v>
                      </c:pt>
                      <c:pt idx="153">
                        <c:v>0.97792500000000004</c:v>
                      </c:pt>
                      <c:pt idx="154">
                        <c:v>0.97409900000000005</c:v>
                      </c:pt>
                      <c:pt idx="155">
                        <c:v>0.97639500000000001</c:v>
                      </c:pt>
                      <c:pt idx="156">
                        <c:v>0.974082</c:v>
                      </c:pt>
                      <c:pt idx="157">
                        <c:v>0.97450400000000004</c:v>
                      </c:pt>
                      <c:pt idx="158">
                        <c:v>0.97691300000000003</c:v>
                      </c:pt>
                      <c:pt idx="159">
                        <c:v>0.98061399999999999</c:v>
                      </c:pt>
                      <c:pt idx="160">
                        <c:v>0.98142300000000005</c:v>
                      </c:pt>
                      <c:pt idx="161">
                        <c:v>0.98091899999999999</c:v>
                      </c:pt>
                      <c:pt idx="162">
                        <c:v>0.97679899999999997</c:v>
                      </c:pt>
                      <c:pt idx="163">
                        <c:v>0.98092800000000002</c:v>
                      </c:pt>
                      <c:pt idx="164">
                        <c:v>0.97836900000000004</c:v>
                      </c:pt>
                      <c:pt idx="165">
                        <c:v>0.971163</c:v>
                      </c:pt>
                      <c:pt idx="166">
                        <c:v>0.97624100000000003</c:v>
                      </c:pt>
                      <c:pt idx="167">
                        <c:v>0.97999899999999995</c:v>
                      </c:pt>
                      <c:pt idx="168">
                        <c:v>0.98407599999999995</c:v>
                      </c:pt>
                      <c:pt idx="169">
                        <c:v>0.98657899999999998</c:v>
                      </c:pt>
                      <c:pt idx="170">
                        <c:v>0.98801499999999998</c:v>
                      </c:pt>
                      <c:pt idx="171">
                        <c:v>0.99249699999999996</c:v>
                      </c:pt>
                      <c:pt idx="172">
                        <c:v>0.99369700000000005</c:v>
                      </c:pt>
                      <c:pt idx="173">
                        <c:v>0.99399499999999996</c:v>
                      </c:pt>
                      <c:pt idx="174">
                        <c:v>0.98981699999999995</c:v>
                      </c:pt>
                      <c:pt idx="175">
                        <c:v>0.99011800000000005</c:v>
                      </c:pt>
                      <c:pt idx="176">
                        <c:v>0.98873900000000003</c:v>
                      </c:pt>
                      <c:pt idx="177">
                        <c:v>0.98924999999999996</c:v>
                      </c:pt>
                      <c:pt idx="178">
                        <c:v>0.987653</c:v>
                      </c:pt>
                      <c:pt idx="179">
                        <c:v>0.99026499999999995</c:v>
                      </c:pt>
                      <c:pt idx="180">
                        <c:v>0.99504999999999999</c:v>
                      </c:pt>
                      <c:pt idx="181">
                        <c:v>0.997363</c:v>
                      </c:pt>
                      <c:pt idx="182">
                        <c:v>0.99675100000000005</c:v>
                      </c:pt>
                      <c:pt idx="183">
                        <c:v>0.99675199999999997</c:v>
                      </c:pt>
                      <c:pt idx="184">
                        <c:v>1.0009669999999999</c:v>
                      </c:pt>
                      <c:pt idx="185">
                        <c:v>1.0002819999999999</c:v>
                      </c:pt>
                      <c:pt idx="186">
                        <c:v>0.99601799999999996</c:v>
                      </c:pt>
                      <c:pt idx="187">
                        <c:v>0.99760700000000002</c:v>
                      </c:pt>
                      <c:pt idx="188">
                        <c:v>1.0012179999999999</c:v>
                      </c:pt>
                      <c:pt idx="189">
                        <c:v>1.0042089999999999</c:v>
                      </c:pt>
                      <c:pt idx="190">
                        <c:v>1.004335</c:v>
                      </c:pt>
                      <c:pt idx="191">
                        <c:v>1.0106219999999999</c:v>
                      </c:pt>
                      <c:pt idx="192">
                        <c:v>1.010478</c:v>
                      </c:pt>
                      <c:pt idx="193">
                        <c:v>1.0072399999999999</c:v>
                      </c:pt>
                      <c:pt idx="194">
                        <c:v>1.0008699999999999</c:v>
                      </c:pt>
                      <c:pt idx="195">
                        <c:v>1.0033730000000001</c:v>
                      </c:pt>
                      <c:pt idx="196">
                        <c:v>1.0131410000000001</c:v>
                      </c:pt>
                      <c:pt idx="197">
                        <c:v>1.0200720000000001</c:v>
                      </c:pt>
                      <c:pt idx="198">
                        <c:v>1.022726</c:v>
                      </c:pt>
                      <c:pt idx="199">
                        <c:v>1.0227470000000001</c:v>
                      </c:pt>
                      <c:pt idx="200">
                        <c:v>1.023622</c:v>
                      </c:pt>
                      <c:pt idx="201">
                        <c:v>1.024586</c:v>
                      </c:pt>
                      <c:pt idx="202">
                        <c:v>1.0225610000000001</c:v>
                      </c:pt>
                      <c:pt idx="203">
                        <c:v>1.0268660000000001</c:v>
                      </c:pt>
                      <c:pt idx="204">
                        <c:v>1.0240309999999999</c:v>
                      </c:pt>
                      <c:pt idx="205">
                        <c:v>1.0248569999999999</c:v>
                      </c:pt>
                      <c:pt idx="206">
                        <c:v>1.021757</c:v>
                      </c:pt>
                      <c:pt idx="207">
                        <c:v>1.0281610000000001</c:v>
                      </c:pt>
                      <c:pt idx="208">
                        <c:v>1.0288310000000001</c:v>
                      </c:pt>
                      <c:pt idx="209">
                        <c:v>1.0306230000000001</c:v>
                      </c:pt>
                      <c:pt idx="210">
                        <c:v>1.029223</c:v>
                      </c:pt>
                      <c:pt idx="211">
                        <c:v>1.029827</c:v>
                      </c:pt>
                      <c:pt idx="212">
                        <c:v>1.029639</c:v>
                      </c:pt>
                      <c:pt idx="213">
                        <c:v>1.0277529999999999</c:v>
                      </c:pt>
                      <c:pt idx="214">
                        <c:v>1.0204070000000001</c:v>
                      </c:pt>
                      <c:pt idx="215">
                        <c:v>1.0196449999999999</c:v>
                      </c:pt>
                      <c:pt idx="216">
                        <c:v>1.0174240000000001</c:v>
                      </c:pt>
                      <c:pt idx="217">
                        <c:v>1.0129980000000001</c:v>
                      </c:pt>
                      <c:pt idx="218">
                        <c:v>1.006742</c:v>
                      </c:pt>
                      <c:pt idx="219">
                        <c:v>1.0040020000000001</c:v>
                      </c:pt>
                      <c:pt idx="220">
                        <c:v>1.001655</c:v>
                      </c:pt>
                      <c:pt idx="221">
                        <c:v>1.0025919999999999</c:v>
                      </c:pt>
                      <c:pt idx="222">
                        <c:v>1.007585</c:v>
                      </c:pt>
                      <c:pt idx="223">
                        <c:v>1.008761</c:v>
                      </c:pt>
                      <c:pt idx="224">
                        <c:v>1.0067699999999999</c:v>
                      </c:pt>
                      <c:pt idx="225">
                        <c:v>1.006264</c:v>
                      </c:pt>
                      <c:pt idx="226">
                        <c:v>1.0074110000000001</c:v>
                      </c:pt>
                      <c:pt idx="227">
                        <c:v>1.0101020000000001</c:v>
                      </c:pt>
                      <c:pt idx="228">
                        <c:v>1.0177309999999999</c:v>
                      </c:pt>
                      <c:pt idx="229">
                        <c:v>1.0105949999999999</c:v>
                      </c:pt>
                      <c:pt idx="230">
                        <c:v>1.0090570000000001</c:v>
                      </c:pt>
                      <c:pt idx="231">
                        <c:v>1.0052209999999999</c:v>
                      </c:pt>
                      <c:pt idx="232">
                        <c:v>1.003404</c:v>
                      </c:pt>
                      <c:pt idx="233">
                        <c:v>1.0158990000000001</c:v>
                      </c:pt>
                      <c:pt idx="234">
                        <c:v>1.0154589999999999</c:v>
                      </c:pt>
                      <c:pt idx="235">
                        <c:v>1.0092479999999999</c:v>
                      </c:pt>
                      <c:pt idx="236">
                        <c:v>1.0067109999999999</c:v>
                      </c:pt>
                      <c:pt idx="237">
                        <c:v>0.99994899999999998</c:v>
                      </c:pt>
                      <c:pt idx="238">
                        <c:v>0.99839500000000003</c:v>
                      </c:pt>
                      <c:pt idx="239">
                        <c:v>1.0006550000000001</c:v>
                      </c:pt>
                      <c:pt idx="240">
                        <c:v>1.000067</c:v>
                      </c:pt>
                      <c:pt idx="241">
                        <c:v>0.99643599999999999</c:v>
                      </c:pt>
                      <c:pt idx="242">
                        <c:v>1.0025109999999999</c:v>
                      </c:pt>
                      <c:pt idx="243">
                        <c:v>1.0107280000000001</c:v>
                      </c:pt>
                      <c:pt idx="244">
                        <c:v>1.0157830000000001</c:v>
                      </c:pt>
                      <c:pt idx="245">
                        <c:v>1.0087200000000001</c:v>
                      </c:pt>
                      <c:pt idx="246">
                        <c:v>1.0133490000000001</c:v>
                      </c:pt>
                      <c:pt idx="247">
                        <c:v>1.004332</c:v>
                      </c:pt>
                      <c:pt idx="248">
                        <c:v>1.0044280000000001</c:v>
                      </c:pt>
                      <c:pt idx="249">
                        <c:v>1.0076799999999999</c:v>
                      </c:pt>
                      <c:pt idx="250">
                        <c:v>1.0066390000000001</c:v>
                      </c:pt>
                      <c:pt idx="251">
                        <c:v>1.0072479999999999</c:v>
                      </c:pt>
                      <c:pt idx="252">
                        <c:v>1.0116400000000001</c:v>
                      </c:pt>
                      <c:pt idx="253">
                        <c:v>1.024823</c:v>
                      </c:pt>
                      <c:pt idx="254">
                        <c:v>1.027684</c:v>
                      </c:pt>
                      <c:pt idx="255">
                        <c:v>1.027684</c:v>
                      </c:pt>
                      <c:pt idx="256">
                        <c:v>1.0275589999999999</c:v>
                      </c:pt>
                      <c:pt idx="257">
                        <c:v>1.025763</c:v>
                      </c:pt>
                      <c:pt idx="258">
                        <c:v>1.029352</c:v>
                      </c:pt>
                      <c:pt idx="259">
                        <c:v>1.0254080000000001</c:v>
                      </c:pt>
                      <c:pt idx="260">
                        <c:v>1.0254080000000001</c:v>
                      </c:pt>
                      <c:pt idx="261">
                        <c:v>1.0266459999999999</c:v>
                      </c:pt>
                      <c:pt idx="262">
                        <c:v>1.025676</c:v>
                      </c:pt>
                      <c:pt idx="263">
                        <c:v>1.0246189999999999</c:v>
                      </c:pt>
                      <c:pt idx="264">
                        <c:v>1.0246189999999999</c:v>
                      </c:pt>
                      <c:pt idx="265">
                        <c:v>1.026994</c:v>
                      </c:pt>
                      <c:pt idx="266">
                        <c:v>1.0281260000000001</c:v>
                      </c:pt>
                      <c:pt idx="267">
                        <c:v>1.0276639999999999</c:v>
                      </c:pt>
                      <c:pt idx="268">
                        <c:v>1.0315380000000001</c:v>
                      </c:pt>
                      <c:pt idx="269">
                        <c:v>1.031533</c:v>
                      </c:pt>
                      <c:pt idx="270">
                        <c:v>1.0292570000000001</c:v>
                      </c:pt>
                      <c:pt idx="271">
                        <c:v>1.0304690000000001</c:v>
                      </c:pt>
                      <c:pt idx="272">
                        <c:v>1.031307</c:v>
                      </c:pt>
                      <c:pt idx="273">
                        <c:v>1.038991</c:v>
                      </c:pt>
                      <c:pt idx="274">
                        <c:v>1.038818</c:v>
                      </c:pt>
                      <c:pt idx="275">
                        <c:v>1.039039</c:v>
                      </c:pt>
                      <c:pt idx="276">
                        <c:v>1.0322169999999999</c:v>
                      </c:pt>
                      <c:pt idx="277">
                        <c:v>1.0290490000000001</c:v>
                      </c:pt>
                      <c:pt idx="278">
                        <c:v>1.0413079999999999</c:v>
                      </c:pt>
                      <c:pt idx="279">
                        <c:v>1.044516</c:v>
                      </c:pt>
                      <c:pt idx="280">
                        <c:v>1.049993</c:v>
                      </c:pt>
                      <c:pt idx="281">
                        <c:v>1.0473520000000001</c:v>
                      </c:pt>
                      <c:pt idx="282">
                        <c:v>1.0494790000000001</c:v>
                      </c:pt>
                      <c:pt idx="283">
                        <c:v>1.046333</c:v>
                      </c:pt>
                      <c:pt idx="284">
                        <c:v>1.044459</c:v>
                      </c:pt>
                      <c:pt idx="285">
                        <c:v>1.0435810000000001</c:v>
                      </c:pt>
                      <c:pt idx="286">
                        <c:v>1.0390159999999999</c:v>
                      </c:pt>
                      <c:pt idx="287">
                        <c:v>1.0382990000000001</c:v>
                      </c:pt>
                      <c:pt idx="288">
                        <c:v>1.0359309999999999</c:v>
                      </c:pt>
                      <c:pt idx="289">
                        <c:v>1.036332</c:v>
                      </c:pt>
                      <c:pt idx="290">
                        <c:v>1.0520640000000001</c:v>
                      </c:pt>
                      <c:pt idx="291">
                        <c:v>1.053491</c:v>
                      </c:pt>
                      <c:pt idx="292">
                        <c:v>1.0521069999999999</c:v>
                      </c:pt>
                      <c:pt idx="293">
                        <c:v>1.039965</c:v>
                      </c:pt>
                      <c:pt idx="294">
                        <c:v>1.0450140000000001</c:v>
                      </c:pt>
                      <c:pt idx="295">
                        <c:v>1.044975</c:v>
                      </c:pt>
                      <c:pt idx="296">
                        <c:v>1.043215</c:v>
                      </c:pt>
                      <c:pt idx="297">
                        <c:v>1.049391</c:v>
                      </c:pt>
                      <c:pt idx="298">
                        <c:v>1.0509379999999999</c:v>
                      </c:pt>
                      <c:pt idx="299">
                        <c:v>1.0605869999999999</c:v>
                      </c:pt>
                      <c:pt idx="300">
                        <c:v>1.0610660000000001</c:v>
                      </c:pt>
                      <c:pt idx="301">
                        <c:v>1.068719</c:v>
                      </c:pt>
                      <c:pt idx="302">
                        <c:v>1.07768</c:v>
                      </c:pt>
                      <c:pt idx="303">
                        <c:v>1.088212</c:v>
                      </c:pt>
                      <c:pt idx="304">
                        <c:v>1.092965</c:v>
                      </c:pt>
                      <c:pt idx="305">
                        <c:v>1.09832</c:v>
                      </c:pt>
                      <c:pt idx="306">
                        <c:v>1.109407</c:v>
                      </c:pt>
                      <c:pt idx="307">
                        <c:v>1.102277</c:v>
                      </c:pt>
                      <c:pt idx="308">
                        <c:v>1.1053740000000001</c:v>
                      </c:pt>
                      <c:pt idx="309">
                        <c:v>1.0889949999999999</c:v>
                      </c:pt>
                      <c:pt idx="310">
                        <c:v>1.0869899999999999</c:v>
                      </c:pt>
                      <c:pt idx="311">
                        <c:v>1.0752459999999999</c:v>
                      </c:pt>
                      <c:pt idx="312">
                        <c:v>1.060484</c:v>
                      </c:pt>
                      <c:pt idx="313">
                        <c:v>1.0666789999999999</c:v>
                      </c:pt>
                      <c:pt idx="314">
                        <c:v>1.0576859999999999</c:v>
                      </c:pt>
                      <c:pt idx="315">
                        <c:v>1.0708070000000001</c:v>
                      </c:pt>
                      <c:pt idx="316">
                        <c:v>1.0797589999999999</c:v>
                      </c:pt>
                      <c:pt idx="317">
                        <c:v>1.078128</c:v>
                      </c:pt>
                      <c:pt idx="318">
                        <c:v>1.075132</c:v>
                      </c:pt>
                      <c:pt idx="319">
                        <c:v>1.0904020000000001</c:v>
                      </c:pt>
                      <c:pt idx="320">
                        <c:v>1.0835870000000001</c:v>
                      </c:pt>
                      <c:pt idx="321">
                        <c:v>1.091804</c:v>
                      </c:pt>
                      <c:pt idx="322">
                        <c:v>1.086122</c:v>
                      </c:pt>
                      <c:pt idx="323">
                        <c:v>1.0784739999999999</c:v>
                      </c:pt>
                      <c:pt idx="324">
                        <c:v>1.074778</c:v>
                      </c:pt>
                      <c:pt idx="325">
                        <c:v>1.067342</c:v>
                      </c:pt>
                      <c:pt idx="326">
                        <c:v>1.0709390000000001</c:v>
                      </c:pt>
                      <c:pt idx="327">
                        <c:v>1.0810789999999999</c:v>
                      </c:pt>
                      <c:pt idx="328">
                        <c:v>1.0754760000000001</c:v>
                      </c:pt>
                      <c:pt idx="329">
                        <c:v>1.0766070000000001</c:v>
                      </c:pt>
                      <c:pt idx="330">
                        <c:v>1.0745359999999999</c:v>
                      </c:pt>
                      <c:pt idx="331">
                        <c:v>1.078964</c:v>
                      </c:pt>
                      <c:pt idx="332">
                        <c:v>1.0793360000000001</c:v>
                      </c:pt>
                      <c:pt idx="333">
                        <c:v>1.07775</c:v>
                      </c:pt>
                      <c:pt idx="334">
                        <c:v>1.0792330000000001</c:v>
                      </c:pt>
                      <c:pt idx="335">
                        <c:v>1.0792330000000001</c:v>
                      </c:pt>
                      <c:pt idx="336">
                        <c:v>1.0792330000000001</c:v>
                      </c:pt>
                      <c:pt idx="337">
                        <c:v>1.082398</c:v>
                      </c:pt>
                      <c:pt idx="338">
                        <c:v>1.077547</c:v>
                      </c:pt>
                      <c:pt idx="339">
                        <c:v>1.069493</c:v>
                      </c:pt>
                      <c:pt idx="340">
                        <c:v>1.067156</c:v>
                      </c:pt>
                      <c:pt idx="341">
                        <c:v>1.063699</c:v>
                      </c:pt>
                      <c:pt idx="342">
                        <c:v>1.05972</c:v>
                      </c:pt>
                      <c:pt idx="343">
                        <c:v>1.065126</c:v>
                      </c:pt>
                      <c:pt idx="344">
                        <c:v>1.05246</c:v>
                      </c:pt>
                      <c:pt idx="345">
                        <c:v>1.0487299999999999</c:v>
                      </c:pt>
                      <c:pt idx="346">
                        <c:v>1.04922</c:v>
                      </c:pt>
                      <c:pt idx="347">
                        <c:v>1.050306</c:v>
                      </c:pt>
                      <c:pt idx="348">
                        <c:v>1.0498259999999999</c:v>
                      </c:pt>
                      <c:pt idx="349">
                        <c:v>1.05427</c:v>
                      </c:pt>
                      <c:pt idx="350">
                        <c:v>1.047145</c:v>
                      </c:pt>
                      <c:pt idx="351">
                        <c:v>1.046996</c:v>
                      </c:pt>
                      <c:pt idx="352">
                        <c:v>1.0393650000000001</c:v>
                      </c:pt>
                      <c:pt idx="353">
                        <c:v>1.0340259999999999</c:v>
                      </c:pt>
                      <c:pt idx="354">
                        <c:v>1.026967</c:v>
                      </c:pt>
                      <c:pt idx="355">
                        <c:v>1.0283910000000001</c:v>
                      </c:pt>
                      <c:pt idx="356">
                        <c:v>1.028176</c:v>
                      </c:pt>
                      <c:pt idx="357">
                        <c:v>1.0310729999999999</c:v>
                      </c:pt>
                      <c:pt idx="358">
                        <c:v>1.023485</c:v>
                      </c:pt>
                      <c:pt idx="359">
                        <c:v>1.016224</c:v>
                      </c:pt>
                      <c:pt idx="360">
                        <c:v>1.022537</c:v>
                      </c:pt>
                      <c:pt idx="361">
                        <c:v>1.0239279999999999</c:v>
                      </c:pt>
                      <c:pt idx="362">
                        <c:v>1.0191600000000001</c:v>
                      </c:pt>
                      <c:pt idx="363">
                        <c:v>1.02647</c:v>
                      </c:pt>
                      <c:pt idx="364">
                        <c:v>1.02647</c:v>
                      </c:pt>
                      <c:pt idx="365">
                        <c:v>1.0328919999999999</c:v>
                      </c:pt>
                      <c:pt idx="366">
                        <c:v>1.0361279999999999</c:v>
                      </c:pt>
                      <c:pt idx="367">
                        <c:v>1.0374730000000001</c:v>
                      </c:pt>
                      <c:pt idx="368">
                        <c:v>1.043409</c:v>
                      </c:pt>
                      <c:pt idx="369">
                        <c:v>1.0367980000000001</c:v>
                      </c:pt>
                      <c:pt idx="370">
                        <c:v>1.032621</c:v>
                      </c:pt>
                      <c:pt idx="371">
                        <c:v>1.032621</c:v>
                      </c:pt>
                      <c:pt idx="372">
                        <c:v>1.036462</c:v>
                      </c:pt>
                      <c:pt idx="373">
                        <c:v>1.0343329999999999</c:v>
                      </c:pt>
                      <c:pt idx="374">
                        <c:v>1.0353730000000001</c:v>
                      </c:pt>
                      <c:pt idx="375">
                        <c:v>1.0351809999999999</c:v>
                      </c:pt>
                      <c:pt idx="376">
                        <c:v>1.02834</c:v>
                      </c:pt>
                      <c:pt idx="377">
                        <c:v>1.027407</c:v>
                      </c:pt>
                      <c:pt idx="378">
                        <c:v>1.015647</c:v>
                      </c:pt>
                      <c:pt idx="379">
                        <c:v>1.0210710000000001</c:v>
                      </c:pt>
                      <c:pt idx="380">
                        <c:v>1.0221549999999999</c:v>
                      </c:pt>
                      <c:pt idx="381">
                        <c:v>1.021652</c:v>
                      </c:pt>
                      <c:pt idx="382">
                        <c:v>1.025247</c:v>
                      </c:pt>
                      <c:pt idx="383">
                        <c:v>1.0205900000000001</c:v>
                      </c:pt>
                      <c:pt idx="384">
                        <c:v>1.0172049999999999</c:v>
                      </c:pt>
                      <c:pt idx="385">
                        <c:v>1.0172049999999999</c:v>
                      </c:pt>
                      <c:pt idx="386">
                        <c:v>1.0257160000000001</c:v>
                      </c:pt>
                      <c:pt idx="387">
                        <c:v>1.0296369999999999</c:v>
                      </c:pt>
                      <c:pt idx="388">
                        <c:v>1.034246</c:v>
                      </c:pt>
                      <c:pt idx="389">
                        <c:v>1.031426</c:v>
                      </c:pt>
                      <c:pt idx="390">
                        <c:v>1.03653</c:v>
                      </c:pt>
                      <c:pt idx="391">
                        <c:v>1.0419529999999999</c:v>
                      </c:pt>
                      <c:pt idx="392">
                        <c:v>1.0495559999999999</c:v>
                      </c:pt>
                      <c:pt idx="393">
                        <c:v>1.045776</c:v>
                      </c:pt>
                      <c:pt idx="394">
                        <c:v>1.04192</c:v>
                      </c:pt>
                      <c:pt idx="395">
                        <c:v>1.0442689999999999</c:v>
                      </c:pt>
                      <c:pt idx="396">
                        <c:v>1.040897</c:v>
                      </c:pt>
                      <c:pt idx="397">
                        <c:v>1.0399989999999999</c:v>
                      </c:pt>
                      <c:pt idx="398">
                        <c:v>1.034178</c:v>
                      </c:pt>
                      <c:pt idx="399">
                        <c:v>1.0358400000000001</c:v>
                      </c:pt>
                      <c:pt idx="400">
                        <c:v>1.0314939999999999</c:v>
                      </c:pt>
                      <c:pt idx="401">
                        <c:v>1.0265200000000001</c:v>
                      </c:pt>
                      <c:pt idx="402">
                        <c:v>1.03023</c:v>
                      </c:pt>
                      <c:pt idx="403">
                        <c:v>1.0316529999999999</c:v>
                      </c:pt>
                      <c:pt idx="404">
                        <c:v>1.0266709999999999</c:v>
                      </c:pt>
                      <c:pt idx="405">
                        <c:v>1.0256320000000001</c:v>
                      </c:pt>
                      <c:pt idx="406">
                        <c:v>1.027496</c:v>
                      </c:pt>
                      <c:pt idx="407">
                        <c:v>1.039247</c:v>
                      </c:pt>
                      <c:pt idx="408">
                        <c:v>1.0451859999999999</c:v>
                      </c:pt>
                      <c:pt idx="409">
                        <c:v>1.0508660000000001</c:v>
                      </c:pt>
                      <c:pt idx="410">
                        <c:v>1.0490029999999999</c:v>
                      </c:pt>
                      <c:pt idx="411">
                        <c:v>1.0508249999999999</c:v>
                      </c:pt>
                      <c:pt idx="412">
                        <c:v>1.047064</c:v>
                      </c:pt>
                      <c:pt idx="413">
                        <c:v>1.049391</c:v>
                      </c:pt>
                      <c:pt idx="414">
                        <c:v>1.049809</c:v>
                      </c:pt>
                      <c:pt idx="415">
                        <c:v>1.0401199999999999</c:v>
                      </c:pt>
                      <c:pt idx="416">
                        <c:v>1.0437909999999999</c:v>
                      </c:pt>
                      <c:pt idx="417">
                        <c:v>1.0428299999999999</c:v>
                      </c:pt>
                      <c:pt idx="418">
                        <c:v>1.047112</c:v>
                      </c:pt>
                      <c:pt idx="419">
                        <c:v>1.0554330000000001</c:v>
                      </c:pt>
                      <c:pt idx="420">
                        <c:v>1.060967</c:v>
                      </c:pt>
                      <c:pt idx="421">
                        <c:v>1.0657909999999999</c:v>
                      </c:pt>
                      <c:pt idx="422">
                        <c:v>1.066317</c:v>
                      </c:pt>
                      <c:pt idx="423">
                        <c:v>1.069485</c:v>
                      </c:pt>
                      <c:pt idx="424">
                        <c:v>1.071823</c:v>
                      </c:pt>
                      <c:pt idx="425">
                        <c:v>1.0787679999999999</c:v>
                      </c:pt>
                      <c:pt idx="426">
                        <c:v>1.082239</c:v>
                      </c:pt>
                      <c:pt idx="427">
                        <c:v>1.0898380000000001</c:v>
                      </c:pt>
                      <c:pt idx="428">
                        <c:v>1.09491</c:v>
                      </c:pt>
                      <c:pt idx="429">
                        <c:v>1.0984339999999999</c:v>
                      </c:pt>
                      <c:pt idx="430">
                        <c:v>1.09477</c:v>
                      </c:pt>
                      <c:pt idx="431">
                        <c:v>1.0893440000000001</c:v>
                      </c:pt>
                      <c:pt idx="432">
                        <c:v>1.0956729999999999</c:v>
                      </c:pt>
                      <c:pt idx="433">
                        <c:v>1.0872040000000001</c:v>
                      </c:pt>
                      <c:pt idx="434">
                        <c:v>1.068103</c:v>
                      </c:pt>
                      <c:pt idx="435">
                        <c:v>1.072805</c:v>
                      </c:pt>
                      <c:pt idx="436">
                        <c:v>1.0788660000000001</c:v>
                      </c:pt>
                      <c:pt idx="437">
                        <c:v>1.0814429999999999</c:v>
                      </c:pt>
                      <c:pt idx="438">
                        <c:v>1.0755300000000001</c:v>
                      </c:pt>
                      <c:pt idx="439">
                        <c:v>1.069688</c:v>
                      </c:pt>
                      <c:pt idx="440">
                        <c:v>1.069804</c:v>
                      </c:pt>
                      <c:pt idx="441">
                        <c:v>1.0670820000000001</c:v>
                      </c:pt>
                      <c:pt idx="442">
                        <c:v>1.064622</c:v>
                      </c:pt>
                      <c:pt idx="443">
                        <c:v>1.0542450000000001</c:v>
                      </c:pt>
                      <c:pt idx="444">
                        <c:v>1.0598129999999999</c:v>
                      </c:pt>
                      <c:pt idx="445">
                        <c:v>1.049337</c:v>
                      </c:pt>
                      <c:pt idx="446">
                        <c:v>1.053844</c:v>
                      </c:pt>
                      <c:pt idx="447">
                        <c:v>1.0526770000000001</c:v>
                      </c:pt>
                      <c:pt idx="448">
                        <c:v>1.0599000000000001</c:v>
                      </c:pt>
                      <c:pt idx="449">
                        <c:v>1.0669900000000001</c:v>
                      </c:pt>
                      <c:pt idx="450">
                        <c:v>1.0658460000000001</c:v>
                      </c:pt>
                      <c:pt idx="451">
                        <c:v>1.059415</c:v>
                      </c:pt>
                      <c:pt idx="452">
                        <c:v>1.049355</c:v>
                      </c:pt>
                      <c:pt idx="453">
                        <c:v>1.046009</c:v>
                      </c:pt>
                      <c:pt idx="454">
                        <c:v>1.045666</c:v>
                      </c:pt>
                      <c:pt idx="455">
                        <c:v>1.0430280000000001</c:v>
                      </c:pt>
                      <c:pt idx="456">
                        <c:v>1.022869</c:v>
                      </c:pt>
                      <c:pt idx="457">
                        <c:v>1.032044</c:v>
                      </c:pt>
                      <c:pt idx="458">
                        <c:v>1.0348010000000001</c:v>
                      </c:pt>
                      <c:pt idx="459">
                        <c:v>1.043361</c:v>
                      </c:pt>
                      <c:pt idx="460">
                        <c:v>1.04037</c:v>
                      </c:pt>
                      <c:pt idx="461">
                        <c:v>1.0510029999999999</c:v>
                      </c:pt>
                      <c:pt idx="462">
                        <c:v>1.0542940000000001</c:v>
                      </c:pt>
                      <c:pt idx="463">
                        <c:v>1.0554950000000001</c:v>
                      </c:pt>
                      <c:pt idx="464">
                        <c:v>1.055941</c:v>
                      </c:pt>
                      <c:pt idx="465">
                        <c:v>1.065593</c:v>
                      </c:pt>
                      <c:pt idx="466">
                        <c:v>1.062479</c:v>
                      </c:pt>
                      <c:pt idx="467">
                        <c:v>1.0537099999999999</c:v>
                      </c:pt>
                      <c:pt idx="468">
                        <c:v>1.0499130000000001</c:v>
                      </c:pt>
                      <c:pt idx="469">
                        <c:v>1.0564210000000001</c:v>
                      </c:pt>
                      <c:pt idx="470">
                        <c:v>1.058595</c:v>
                      </c:pt>
                      <c:pt idx="471">
                        <c:v>1.0631889999999999</c:v>
                      </c:pt>
                      <c:pt idx="472">
                        <c:v>1.0586960000000001</c:v>
                      </c:pt>
                      <c:pt idx="473">
                        <c:v>1.056916</c:v>
                      </c:pt>
                      <c:pt idx="474">
                        <c:v>1.0577019999999999</c:v>
                      </c:pt>
                      <c:pt idx="475">
                        <c:v>1.0657730000000001</c:v>
                      </c:pt>
                      <c:pt idx="476">
                        <c:v>1.057744</c:v>
                      </c:pt>
                      <c:pt idx="477">
                        <c:v>1.063563</c:v>
                      </c:pt>
                      <c:pt idx="478">
                        <c:v>1.0658799999999999</c:v>
                      </c:pt>
                      <c:pt idx="479">
                        <c:v>1.0621910000000001</c:v>
                      </c:pt>
                      <c:pt idx="480">
                        <c:v>1.0600540000000001</c:v>
                      </c:pt>
                      <c:pt idx="481">
                        <c:v>1.060549</c:v>
                      </c:pt>
                      <c:pt idx="482">
                        <c:v>1.056413</c:v>
                      </c:pt>
                      <c:pt idx="483">
                        <c:v>1.0493809999999999</c:v>
                      </c:pt>
                      <c:pt idx="484">
                        <c:v>1.0472440000000001</c:v>
                      </c:pt>
                      <c:pt idx="485">
                        <c:v>1.048754</c:v>
                      </c:pt>
                      <c:pt idx="486">
                        <c:v>1.0456300000000001</c:v>
                      </c:pt>
                      <c:pt idx="487">
                        <c:v>1.043091</c:v>
                      </c:pt>
                      <c:pt idx="488">
                        <c:v>1.046888</c:v>
                      </c:pt>
                      <c:pt idx="489">
                        <c:v>1.0478069999999999</c:v>
                      </c:pt>
                      <c:pt idx="490">
                        <c:v>1.0474159999999999</c:v>
                      </c:pt>
                      <c:pt idx="491">
                        <c:v>1.044225</c:v>
                      </c:pt>
                      <c:pt idx="492">
                        <c:v>1.046211</c:v>
                      </c:pt>
                      <c:pt idx="493">
                        <c:v>1.0542769999999999</c:v>
                      </c:pt>
                      <c:pt idx="494">
                        <c:v>1.0504500000000001</c:v>
                      </c:pt>
                      <c:pt idx="495">
                        <c:v>1.0494000000000001</c:v>
                      </c:pt>
                      <c:pt idx="496">
                        <c:v>1.049811</c:v>
                      </c:pt>
                      <c:pt idx="497">
                        <c:v>1.0562130000000001</c:v>
                      </c:pt>
                      <c:pt idx="498">
                        <c:v>1.05644</c:v>
                      </c:pt>
                      <c:pt idx="499">
                        <c:v>1.065971</c:v>
                      </c:pt>
                      <c:pt idx="500">
                        <c:v>1.059372</c:v>
                      </c:pt>
                      <c:pt idx="501">
                        <c:v>1.056109</c:v>
                      </c:pt>
                      <c:pt idx="502">
                        <c:v>1.0476099999999999</c:v>
                      </c:pt>
                      <c:pt idx="503">
                        <c:v>1.039447</c:v>
                      </c:pt>
                      <c:pt idx="504">
                        <c:v>1.0352269999999999</c:v>
                      </c:pt>
                      <c:pt idx="505">
                        <c:v>1.0336540000000001</c:v>
                      </c:pt>
                      <c:pt idx="506">
                        <c:v>1.0327459999999999</c:v>
                      </c:pt>
                      <c:pt idx="507">
                        <c:v>1.0337510000000001</c:v>
                      </c:pt>
                      <c:pt idx="508">
                        <c:v>1.0454870000000001</c:v>
                      </c:pt>
                      <c:pt idx="509">
                        <c:v>1.0447040000000001</c:v>
                      </c:pt>
                      <c:pt idx="510">
                        <c:v>1.048349</c:v>
                      </c:pt>
                      <c:pt idx="511">
                        <c:v>1.0525450000000001</c:v>
                      </c:pt>
                      <c:pt idx="512">
                        <c:v>1.050074</c:v>
                      </c:pt>
                      <c:pt idx="513">
                        <c:v>1.054845</c:v>
                      </c:pt>
                      <c:pt idx="514">
                        <c:v>1.058568</c:v>
                      </c:pt>
                      <c:pt idx="515">
                        <c:v>1.060746</c:v>
                      </c:pt>
                      <c:pt idx="516">
                        <c:v>1.060746</c:v>
                      </c:pt>
                      <c:pt idx="517">
                        <c:v>1.0635570000000001</c:v>
                      </c:pt>
                      <c:pt idx="518">
                        <c:v>1.063356</c:v>
                      </c:pt>
                      <c:pt idx="519">
                        <c:v>1.057774</c:v>
                      </c:pt>
                      <c:pt idx="520">
                        <c:v>1.0571790000000001</c:v>
                      </c:pt>
                      <c:pt idx="521">
                        <c:v>1.0621640000000001</c:v>
                      </c:pt>
                      <c:pt idx="522">
                        <c:v>1.062762</c:v>
                      </c:pt>
                      <c:pt idx="523">
                        <c:v>1.050519</c:v>
                      </c:pt>
                      <c:pt idx="524">
                        <c:v>1.0410710000000001</c:v>
                      </c:pt>
                      <c:pt idx="525">
                        <c:v>1.0410710000000001</c:v>
                      </c:pt>
                      <c:pt idx="526">
                        <c:v>1.0526800000000001</c:v>
                      </c:pt>
                      <c:pt idx="527">
                        <c:v>1.045679</c:v>
                      </c:pt>
                      <c:pt idx="528">
                        <c:v>1.0449280000000001</c:v>
                      </c:pt>
                      <c:pt idx="529">
                        <c:v>1.0476829999999999</c:v>
                      </c:pt>
                      <c:pt idx="530">
                        <c:v>1.0513380000000001</c:v>
                      </c:pt>
                      <c:pt idx="531">
                        <c:v>1.0522149999999999</c:v>
                      </c:pt>
                      <c:pt idx="532">
                        <c:v>1.0524849999999999</c:v>
                      </c:pt>
                      <c:pt idx="533">
                        <c:v>1.048241</c:v>
                      </c:pt>
                      <c:pt idx="534">
                        <c:v>1.0381659999999999</c:v>
                      </c:pt>
                      <c:pt idx="535">
                        <c:v>1.0425960000000001</c:v>
                      </c:pt>
                      <c:pt idx="536">
                        <c:v>1.0426200000000001</c:v>
                      </c:pt>
                      <c:pt idx="537">
                        <c:v>1.040767</c:v>
                      </c:pt>
                      <c:pt idx="538">
                        <c:v>1.0359590000000001</c:v>
                      </c:pt>
                      <c:pt idx="539">
                        <c:v>1.033331</c:v>
                      </c:pt>
                      <c:pt idx="540">
                        <c:v>1.0405150000000001</c:v>
                      </c:pt>
                      <c:pt idx="541">
                        <c:v>1.0426839999999999</c:v>
                      </c:pt>
                      <c:pt idx="542">
                        <c:v>1.0410090000000001</c:v>
                      </c:pt>
                      <c:pt idx="543">
                        <c:v>1.0480430000000001</c:v>
                      </c:pt>
                      <c:pt idx="544">
                        <c:v>1.041917</c:v>
                      </c:pt>
                      <c:pt idx="545">
                        <c:v>1.032465</c:v>
                      </c:pt>
                      <c:pt idx="546">
                        <c:v>1.0329219999999999</c:v>
                      </c:pt>
                      <c:pt idx="547">
                        <c:v>1.028966</c:v>
                      </c:pt>
                      <c:pt idx="548">
                        <c:v>1.0273369999999999</c:v>
                      </c:pt>
                      <c:pt idx="549">
                        <c:v>1.026842</c:v>
                      </c:pt>
                      <c:pt idx="550">
                        <c:v>1.0180370000000001</c:v>
                      </c:pt>
                      <c:pt idx="551">
                        <c:v>1.0293950000000001</c:v>
                      </c:pt>
                      <c:pt idx="552">
                        <c:v>1.024869</c:v>
                      </c:pt>
                      <c:pt idx="553">
                        <c:v>1.021342</c:v>
                      </c:pt>
                      <c:pt idx="554">
                        <c:v>1.0217780000000001</c:v>
                      </c:pt>
                      <c:pt idx="555">
                        <c:v>1.0188120000000001</c:v>
                      </c:pt>
                      <c:pt idx="556">
                        <c:v>1.014308</c:v>
                      </c:pt>
                      <c:pt idx="557">
                        <c:v>1.008545</c:v>
                      </c:pt>
                      <c:pt idx="558">
                        <c:v>1.0031669999999999</c:v>
                      </c:pt>
                      <c:pt idx="559">
                        <c:v>1.005849</c:v>
                      </c:pt>
                      <c:pt idx="560">
                        <c:v>1.00786</c:v>
                      </c:pt>
                      <c:pt idx="561">
                        <c:v>1.012138</c:v>
                      </c:pt>
                      <c:pt idx="562">
                        <c:v>1.0044329999999999</c:v>
                      </c:pt>
                      <c:pt idx="563">
                        <c:v>1.0084109999999999</c:v>
                      </c:pt>
                      <c:pt idx="564">
                        <c:v>1.0056700000000001</c:v>
                      </c:pt>
                      <c:pt idx="565">
                        <c:v>1.0065489999999999</c:v>
                      </c:pt>
                      <c:pt idx="566">
                        <c:v>1.00688</c:v>
                      </c:pt>
                      <c:pt idx="567">
                        <c:v>1.0016400000000001</c:v>
                      </c:pt>
                      <c:pt idx="568">
                        <c:v>1.0026040000000001</c:v>
                      </c:pt>
                      <c:pt idx="569">
                        <c:v>1.003547</c:v>
                      </c:pt>
                      <c:pt idx="570">
                        <c:v>1.002896</c:v>
                      </c:pt>
                      <c:pt idx="571">
                        <c:v>1.0082770000000001</c:v>
                      </c:pt>
                      <c:pt idx="572">
                        <c:v>1.001315</c:v>
                      </c:pt>
                      <c:pt idx="573">
                        <c:v>0.98823799999999995</c:v>
                      </c:pt>
                      <c:pt idx="574">
                        <c:v>0.98318499999999998</c:v>
                      </c:pt>
                      <c:pt idx="575">
                        <c:v>0.98086200000000001</c:v>
                      </c:pt>
                      <c:pt idx="576">
                        <c:v>0.977302</c:v>
                      </c:pt>
                      <c:pt idx="577">
                        <c:v>0.97499899999999995</c:v>
                      </c:pt>
                      <c:pt idx="578">
                        <c:v>0.98153500000000005</c:v>
                      </c:pt>
                      <c:pt idx="579">
                        <c:v>0.98795699999999997</c:v>
                      </c:pt>
                      <c:pt idx="580">
                        <c:v>0.99379799999999996</c:v>
                      </c:pt>
                      <c:pt idx="581">
                        <c:v>0.98955099999999996</c:v>
                      </c:pt>
                      <c:pt idx="582">
                        <c:v>0.98946999999999996</c:v>
                      </c:pt>
                      <c:pt idx="583">
                        <c:v>0.99939900000000004</c:v>
                      </c:pt>
                      <c:pt idx="584">
                        <c:v>1.0009699999999999</c:v>
                      </c:pt>
                      <c:pt idx="585">
                        <c:v>0.99542900000000001</c:v>
                      </c:pt>
                      <c:pt idx="586">
                        <c:v>0.99632100000000001</c:v>
                      </c:pt>
                      <c:pt idx="587">
                        <c:v>1.00858</c:v>
                      </c:pt>
                      <c:pt idx="588">
                        <c:v>0.99404099999999995</c:v>
                      </c:pt>
                      <c:pt idx="589">
                        <c:v>0.99768999999999997</c:v>
                      </c:pt>
                      <c:pt idx="590">
                        <c:v>0.99768999999999997</c:v>
                      </c:pt>
                      <c:pt idx="591">
                        <c:v>0.99768999999999997</c:v>
                      </c:pt>
                      <c:pt idx="592">
                        <c:v>0.99742799999999998</c:v>
                      </c:pt>
                      <c:pt idx="593">
                        <c:v>0.98589700000000002</c:v>
                      </c:pt>
                      <c:pt idx="594">
                        <c:v>0.992197</c:v>
                      </c:pt>
                      <c:pt idx="595">
                        <c:v>0.99525600000000003</c:v>
                      </c:pt>
                      <c:pt idx="596">
                        <c:v>0.99455899999999997</c:v>
                      </c:pt>
                      <c:pt idx="597">
                        <c:v>0.986626</c:v>
                      </c:pt>
                      <c:pt idx="598">
                        <c:v>0.98458100000000004</c:v>
                      </c:pt>
                      <c:pt idx="599">
                        <c:v>0.97627299999999995</c:v>
                      </c:pt>
                      <c:pt idx="600">
                        <c:v>0.97019200000000005</c:v>
                      </c:pt>
                      <c:pt idx="601">
                        <c:v>0.97226000000000001</c:v>
                      </c:pt>
                      <c:pt idx="602">
                        <c:v>0.97008300000000003</c:v>
                      </c:pt>
                      <c:pt idx="603">
                        <c:v>0.96820899999999999</c:v>
                      </c:pt>
                      <c:pt idx="604">
                        <c:v>0.970688</c:v>
                      </c:pt>
                      <c:pt idx="605">
                        <c:v>0.96462099999999995</c:v>
                      </c:pt>
                      <c:pt idx="606">
                        <c:v>0.96462099999999995</c:v>
                      </c:pt>
                      <c:pt idx="607">
                        <c:v>0.96027300000000004</c:v>
                      </c:pt>
                      <c:pt idx="608">
                        <c:v>0.95419200000000004</c:v>
                      </c:pt>
                      <c:pt idx="609">
                        <c:v>0.95742000000000005</c:v>
                      </c:pt>
                      <c:pt idx="610">
                        <c:v>0.95856799999999998</c:v>
                      </c:pt>
                      <c:pt idx="611">
                        <c:v>0.96438500000000005</c:v>
                      </c:pt>
                      <c:pt idx="612">
                        <c:v>0.96512299999999995</c:v>
                      </c:pt>
                      <c:pt idx="613">
                        <c:v>0.96785200000000005</c:v>
                      </c:pt>
                      <c:pt idx="614">
                        <c:v>0.97298300000000004</c:v>
                      </c:pt>
                      <c:pt idx="615">
                        <c:v>0.96409999999999996</c:v>
                      </c:pt>
                      <c:pt idx="616">
                        <c:v>0.97252799999999995</c:v>
                      </c:pt>
                      <c:pt idx="617">
                        <c:v>0.97355999999999998</c:v>
                      </c:pt>
                      <c:pt idx="618">
                        <c:v>0.96771600000000002</c:v>
                      </c:pt>
                      <c:pt idx="619">
                        <c:v>0.96771600000000002</c:v>
                      </c:pt>
                      <c:pt idx="620">
                        <c:v>0.97076499999999999</c:v>
                      </c:pt>
                      <c:pt idx="621">
                        <c:v>0.96604999999999996</c:v>
                      </c:pt>
                      <c:pt idx="622">
                        <c:v>0.968194</c:v>
                      </c:pt>
                      <c:pt idx="623">
                        <c:v>0.96969700000000003</c:v>
                      </c:pt>
                      <c:pt idx="624">
                        <c:v>0.978406</c:v>
                      </c:pt>
                      <c:pt idx="625">
                        <c:v>0.97771699999999995</c:v>
                      </c:pt>
                      <c:pt idx="626">
                        <c:v>0.97347700000000004</c:v>
                      </c:pt>
                      <c:pt idx="627">
                        <c:v>0.973414</c:v>
                      </c:pt>
                      <c:pt idx="628">
                        <c:v>0.97095200000000004</c:v>
                      </c:pt>
                      <c:pt idx="629">
                        <c:v>0.97617900000000002</c:v>
                      </c:pt>
                      <c:pt idx="630">
                        <c:v>0.97894099999999995</c:v>
                      </c:pt>
                      <c:pt idx="631">
                        <c:v>0.98332299999999995</c:v>
                      </c:pt>
                      <c:pt idx="632">
                        <c:v>0.98332299999999995</c:v>
                      </c:pt>
                      <c:pt idx="633">
                        <c:v>0.981271</c:v>
                      </c:pt>
                      <c:pt idx="634">
                        <c:v>0.99016099999999996</c:v>
                      </c:pt>
                      <c:pt idx="635">
                        <c:v>0.99811300000000003</c:v>
                      </c:pt>
                      <c:pt idx="636">
                        <c:v>1.0054339999999999</c:v>
                      </c:pt>
                      <c:pt idx="637">
                        <c:v>0.99844100000000002</c:v>
                      </c:pt>
                      <c:pt idx="638">
                        <c:v>1.0031810000000001</c:v>
                      </c:pt>
                      <c:pt idx="639">
                        <c:v>1.00447</c:v>
                      </c:pt>
                      <c:pt idx="640">
                        <c:v>1.010937</c:v>
                      </c:pt>
                      <c:pt idx="641">
                        <c:v>1.0082770000000001</c:v>
                      </c:pt>
                      <c:pt idx="642">
                        <c:v>1.0047900000000001</c:v>
                      </c:pt>
                      <c:pt idx="643">
                        <c:v>1.0073080000000001</c:v>
                      </c:pt>
                      <c:pt idx="644">
                        <c:v>1.0040549999999999</c:v>
                      </c:pt>
                      <c:pt idx="645">
                        <c:v>1.0040549999999999</c:v>
                      </c:pt>
                      <c:pt idx="646">
                        <c:v>0.99396799999999996</c:v>
                      </c:pt>
                      <c:pt idx="647">
                        <c:v>0.99991300000000005</c:v>
                      </c:pt>
                      <c:pt idx="648">
                        <c:v>0.99474700000000005</c:v>
                      </c:pt>
                      <c:pt idx="649">
                        <c:v>0.99761299999999997</c:v>
                      </c:pt>
                      <c:pt idx="650">
                        <c:v>1.0096480000000001</c:v>
                      </c:pt>
                      <c:pt idx="651">
                        <c:v>1.007236</c:v>
                      </c:pt>
                      <c:pt idx="652">
                        <c:v>1.015506</c:v>
                      </c:pt>
                      <c:pt idx="653">
                        <c:v>1.020086</c:v>
                      </c:pt>
                      <c:pt idx="654">
                        <c:v>1.026351</c:v>
                      </c:pt>
                      <c:pt idx="655">
                        <c:v>1.017695</c:v>
                      </c:pt>
                      <c:pt idx="656">
                        <c:v>1.02417</c:v>
                      </c:pt>
                      <c:pt idx="657">
                        <c:v>1.0232140000000001</c:v>
                      </c:pt>
                      <c:pt idx="658">
                        <c:v>1.0307919999999999</c:v>
                      </c:pt>
                      <c:pt idx="659">
                        <c:v>1.0275350000000001</c:v>
                      </c:pt>
                      <c:pt idx="660">
                        <c:v>1.0208429999999999</c:v>
                      </c:pt>
                      <c:pt idx="661">
                        <c:v>1.02074</c:v>
                      </c:pt>
                      <c:pt idx="662">
                        <c:v>1.0160819999999999</c:v>
                      </c:pt>
                      <c:pt idx="663">
                        <c:v>1.01624</c:v>
                      </c:pt>
                      <c:pt idx="664">
                        <c:v>1.0282750000000001</c:v>
                      </c:pt>
                      <c:pt idx="665">
                        <c:v>1.0304180000000001</c:v>
                      </c:pt>
                      <c:pt idx="666">
                        <c:v>1.031935</c:v>
                      </c:pt>
                      <c:pt idx="667">
                        <c:v>1.031175</c:v>
                      </c:pt>
                      <c:pt idx="668">
                        <c:v>1.027901</c:v>
                      </c:pt>
                      <c:pt idx="669">
                        <c:v>1.0307139999999999</c:v>
                      </c:pt>
                      <c:pt idx="670">
                        <c:v>1.035741</c:v>
                      </c:pt>
                      <c:pt idx="671">
                        <c:v>1.034467</c:v>
                      </c:pt>
                      <c:pt idx="672">
                        <c:v>1.039347</c:v>
                      </c:pt>
                      <c:pt idx="673">
                        <c:v>1.040519</c:v>
                      </c:pt>
                      <c:pt idx="674">
                        <c:v>1.043906</c:v>
                      </c:pt>
                      <c:pt idx="675">
                        <c:v>1.0462419999999999</c:v>
                      </c:pt>
                      <c:pt idx="676">
                        <c:v>1.0458000000000001</c:v>
                      </c:pt>
                      <c:pt idx="677">
                        <c:v>1.0418700000000001</c:v>
                      </c:pt>
                      <c:pt idx="678">
                        <c:v>1.0445139999999999</c:v>
                      </c:pt>
                      <c:pt idx="679">
                        <c:v>1.046576</c:v>
                      </c:pt>
                      <c:pt idx="680">
                        <c:v>1.035946</c:v>
                      </c:pt>
                      <c:pt idx="681">
                        <c:v>1.0357339999999999</c:v>
                      </c:pt>
                      <c:pt idx="682">
                        <c:v>1.032422</c:v>
                      </c:pt>
                      <c:pt idx="683">
                        <c:v>1.0330900000000001</c:v>
                      </c:pt>
                      <c:pt idx="684">
                        <c:v>1.0311049999999999</c:v>
                      </c:pt>
                      <c:pt idx="685">
                        <c:v>1.032402</c:v>
                      </c:pt>
                      <c:pt idx="686">
                        <c:v>1.0344930000000001</c:v>
                      </c:pt>
                      <c:pt idx="687">
                        <c:v>1.0317419999999999</c:v>
                      </c:pt>
                      <c:pt idx="688">
                        <c:v>1.0287660000000001</c:v>
                      </c:pt>
                      <c:pt idx="689">
                        <c:v>1.0273399999999999</c:v>
                      </c:pt>
                      <c:pt idx="690">
                        <c:v>1.0277970000000001</c:v>
                      </c:pt>
                      <c:pt idx="691">
                        <c:v>1.028151</c:v>
                      </c:pt>
                      <c:pt idx="692">
                        <c:v>1.0263180000000001</c:v>
                      </c:pt>
                      <c:pt idx="693">
                        <c:v>1.0276099999999999</c:v>
                      </c:pt>
                      <c:pt idx="694">
                        <c:v>1.0253410000000001</c:v>
                      </c:pt>
                      <c:pt idx="695">
                        <c:v>1.03104</c:v>
                      </c:pt>
                      <c:pt idx="696">
                        <c:v>1.034915</c:v>
                      </c:pt>
                      <c:pt idx="697">
                        <c:v>1.033069</c:v>
                      </c:pt>
                      <c:pt idx="698">
                        <c:v>1.0356540000000001</c:v>
                      </c:pt>
                      <c:pt idx="699">
                        <c:v>1.0364869999999999</c:v>
                      </c:pt>
                      <c:pt idx="700">
                        <c:v>1.0389809999999999</c:v>
                      </c:pt>
                      <c:pt idx="701">
                        <c:v>1.038311</c:v>
                      </c:pt>
                      <c:pt idx="702">
                        <c:v>1.0396780000000001</c:v>
                      </c:pt>
                      <c:pt idx="703">
                        <c:v>1.0391859999999999</c:v>
                      </c:pt>
                      <c:pt idx="704">
                        <c:v>1.039801</c:v>
                      </c:pt>
                      <c:pt idx="705">
                        <c:v>1.0412790000000001</c:v>
                      </c:pt>
                      <c:pt idx="706">
                        <c:v>1.033301</c:v>
                      </c:pt>
                      <c:pt idx="707">
                        <c:v>1.0315019999999999</c:v>
                      </c:pt>
                      <c:pt idx="708">
                        <c:v>1.0351539999999999</c:v>
                      </c:pt>
                      <c:pt idx="709">
                        <c:v>1.0314970000000001</c:v>
                      </c:pt>
                      <c:pt idx="710">
                        <c:v>1.0366649999999999</c:v>
                      </c:pt>
                      <c:pt idx="711">
                        <c:v>1.03363</c:v>
                      </c:pt>
                      <c:pt idx="712">
                        <c:v>1.021917</c:v>
                      </c:pt>
                      <c:pt idx="713">
                        <c:v>1.0189410000000001</c:v>
                      </c:pt>
                      <c:pt idx="714">
                        <c:v>1.0283910000000001</c:v>
                      </c:pt>
                      <c:pt idx="715">
                        <c:v>1.0201499999999999</c:v>
                      </c:pt>
                      <c:pt idx="716">
                        <c:v>1.0228299999999999</c:v>
                      </c:pt>
                      <c:pt idx="717">
                        <c:v>1.0150589999999999</c:v>
                      </c:pt>
                      <c:pt idx="718">
                        <c:v>1.008497</c:v>
                      </c:pt>
                      <c:pt idx="719">
                        <c:v>1.005625</c:v>
                      </c:pt>
                      <c:pt idx="720">
                        <c:v>1.0033650000000001</c:v>
                      </c:pt>
                      <c:pt idx="721">
                        <c:v>1.009061</c:v>
                      </c:pt>
                      <c:pt idx="722">
                        <c:v>1.011009</c:v>
                      </c:pt>
                      <c:pt idx="723">
                        <c:v>1.007968</c:v>
                      </c:pt>
                      <c:pt idx="724">
                        <c:v>1.003242</c:v>
                      </c:pt>
                      <c:pt idx="725">
                        <c:v>1.000901</c:v>
                      </c:pt>
                      <c:pt idx="726">
                        <c:v>1.0037050000000001</c:v>
                      </c:pt>
                      <c:pt idx="727">
                        <c:v>0.99954399999999999</c:v>
                      </c:pt>
                      <c:pt idx="728">
                        <c:v>0.995116</c:v>
                      </c:pt>
                      <c:pt idx="729">
                        <c:v>0.99599300000000002</c:v>
                      </c:pt>
                      <c:pt idx="730">
                        <c:v>0.99585900000000005</c:v>
                      </c:pt>
                      <c:pt idx="731">
                        <c:v>0.99116300000000002</c:v>
                      </c:pt>
                      <c:pt idx="732">
                        <c:v>0.99061299999999997</c:v>
                      </c:pt>
                      <c:pt idx="733">
                        <c:v>0.99645899999999998</c:v>
                      </c:pt>
                      <c:pt idx="734">
                        <c:v>0.99648999999999999</c:v>
                      </c:pt>
                      <c:pt idx="735">
                        <c:v>0.99729199999999996</c:v>
                      </c:pt>
                      <c:pt idx="736">
                        <c:v>0.99970000000000003</c:v>
                      </c:pt>
                      <c:pt idx="737">
                        <c:v>0.99739999999999995</c:v>
                      </c:pt>
                      <c:pt idx="738">
                        <c:v>0.99819999999999998</c:v>
                      </c:pt>
                      <c:pt idx="739">
                        <c:v>1.0003</c:v>
                      </c:pt>
                      <c:pt idx="740">
                        <c:v>0.99409999999999998</c:v>
                      </c:pt>
                      <c:pt idx="741">
                        <c:v>0.9859</c:v>
                      </c:pt>
                      <c:pt idx="742">
                        <c:v>0.98180000000000001</c:v>
                      </c:pt>
                      <c:pt idx="743">
                        <c:v>0.97640000000000005</c:v>
                      </c:pt>
                      <c:pt idx="744">
                        <c:v>0.97350000000000003</c:v>
                      </c:pt>
                      <c:pt idx="745">
                        <c:v>0.98060000000000003</c:v>
                      </c:pt>
                      <c:pt idx="746">
                        <c:v>0.97889999999999999</c:v>
                      </c:pt>
                      <c:pt idx="747">
                        <c:v>0.97760000000000002</c:v>
                      </c:pt>
                      <c:pt idx="748">
                        <c:v>0.97470000000000001</c:v>
                      </c:pt>
                      <c:pt idx="749">
                        <c:v>0.97419999999999995</c:v>
                      </c:pt>
                      <c:pt idx="750">
                        <c:v>0.96989999999999998</c:v>
                      </c:pt>
                      <c:pt idx="751">
                        <c:v>0.97360000000000002</c:v>
                      </c:pt>
                      <c:pt idx="752">
                        <c:v>0.97529999999999994</c:v>
                      </c:pt>
                      <c:pt idx="753">
                        <c:v>0.97850000000000004</c:v>
                      </c:pt>
                      <c:pt idx="754">
                        <c:v>0.97450000000000003</c:v>
                      </c:pt>
                      <c:pt idx="755">
                        <c:v>0.97270000000000001</c:v>
                      </c:pt>
                      <c:pt idx="756">
                        <c:v>0.97750000000000004</c:v>
                      </c:pt>
                      <c:pt idx="757">
                        <c:v>0.9758</c:v>
                      </c:pt>
                      <c:pt idx="758">
                        <c:v>0.97170000000000001</c:v>
                      </c:pt>
                      <c:pt idx="759">
                        <c:v>0.97529999999999994</c:v>
                      </c:pt>
                      <c:pt idx="760">
                        <c:v>0.97209999999999996</c:v>
                      </c:pt>
                      <c:pt idx="761">
                        <c:v>0.96940000000000004</c:v>
                      </c:pt>
                      <c:pt idx="762">
                        <c:v>0.95950000000000002</c:v>
                      </c:pt>
                      <c:pt idx="763">
                        <c:v>0.95850000000000002</c:v>
                      </c:pt>
                      <c:pt idx="764">
                        <c:v>0.95760000000000001</c:v>
                      </c:pt>
                      <c:pt idx="765">
                        <c:v>0.95830000000000004</c:v>
                      </c:pt>
                      <c:pt idx="766">
                        <c:v>0.95779999999999998</c:v>
                      </c:pt>
                      <c:pt idx="767">
                        <c:v>0.95779999999999998</c:v>
                      </c:pt>
                      <c:pt idx="768">
                        <c:v>0.95369999999999999</c:v>
                      </c:pt>
                      <c:pt idx="769">
                        <c:v>0.97060000000000002</c:v>
                      </c:pt>
                      <c:pt idx="770">
                        <c:v>0.97929999999999995</c:v>
                      </c:pt>
                      <c:pt idx="771">
                        <c:v>0.98209999999999997</c:v>
                      </c:pt>
                      <c:pt idx="772">
                        <c:v>0.98319999999999996</c:v>
                      </c:pt>
                      <c:pt idx="773">
                        <c:v>0.98580000000000001</c:v>
                      </c:pt>
                      <c:pt idx="774">
                        <c:v>0.98089999999999999</c:v>
                      </c:pt>
                      <c:pt idx="775">
                        <c:v>0.98089999999999999</c:v>
                      </c:pt>
                      <c:pt idx="776">
                        <c:v>0.98089999999999999</c:v>
                      </c:pt>
                      <c:pt idx="777">
                        <c:v>0.98089999999999999</c:v>
                      </c:pt>
                      <c:pt idx="778">
                        <c:v>0.9849</c:v>
                      </c:pt>
                      <c:pt idx="779">
                        <c:v>0.98009999999999997</c:v>
                      </c:pt>
                      <c:pt idx="780">
                        <c:v>0.98709999999999998</c:v>
                      </c:pt>
                      <c:pt idx="781">
                        <c:v>0.98709999999999998</c:v>
                      </c:pt>
                      <c:pt idx="782">
                        <c:v>0.98870000000000002</c:v>
                      </c:pt>
                      <c:pt idx="783">
                        <c:v>0.98860000000000003</c:v>
                      </c:pt>
                      <c:pt idx="784">
                        <c:v>0.99170000000000003</c:v>
                      </c:pt>
                      <c:pt idx="785">
                        <c:v>0.99350000000000005</c:v>
                      </c:pt>
                      <c:pt idx="786">
                        <c:v>0.98660000000000003</c:v>
                      </c:pt>
                      <c:pt idx="787">
                        <c:v>0.99150000000000005</c:v>
                      </c:pt>
                      <c:pt idx="788">
                        <c:v>0.99160000000000004</c:v>
                      </c:pt>
                      <c:pt idx="789">
                        <c:v>0.98839999999999995</c:v>
                      </c:pt>
                      <c:pt idx="790">
                        <c:v>0.99850000000000005</c:v>
                      </c:pt>
                      <c:pt idx="791">
                        <c:v>0.99680000000000002</c:v>
                      </c:pt>
                      <c:pt idx="792">
                        <c:v>0.99890000000000001</c:v>
                      </c:pt>
                      <c:pt idx="793">
                        <c:v>0.99639999999999995</c:v>
                      </c:pt>
                      <c:pt idx="794">
                        <c:v>0.99280000000000002</c:v>
                      </c:pt>
                      <c:pt idx="795">
                        <c:v>0.99739999999999995</c:v>
                      </c:pt>
                      <c:pt idx="796">
                        <c:v>0.99239999999999995</c:v>
                      </c:pt>
                      <c:pt idx="797">
                        <c:v>0.99280000000000002</c:v>
                      </c:pt>
                      <c:pt idx="798">
                        <c:v>0.995</c:v>
                      </c:pt>
                      <c:pt idx="799">
                        <c:v>0.99639999999999995</c:v>
                      </c:pt>
                      <c:pt idx="800">
                        <c:v>0.99890000000000001</c:v>
                      </c:pt>
                      <c:pt idx="801">
                        <c:v>1.0044999999999999</c:v>
                      </c:pt>
                      <c:pt idx="802">
                        <c:v>0.99639999999999995</c:v>
                      </c:pt>
                      <c:pt idx="803">
                        <c:v>0.99270000000000003</c:v>
                      </c:pt>
                      <c:pt idx="804">
                        <c:v>0.99729999999999996</c:v>
                      </c:pt>
                      <c:pt idx="805">
                        <c:v>0.98960000000000004</c:v>
                      </c:pt>
                      <c:pt idx="806">
                        <c:v>0.99209999999999998</c:v>
                      </c:pt>
                      <c:pt idx="807">
                        <c:v>0.99339999999999995</c:v>
                      </c:pt>
                      <c:pt idx="808">
                        <c:v>0.9909</c:v>
                      </c:pt>
                      <c:pt idx="809">
                        <c:v>0.98760000000000003</c:v>
                      </c:pt>
                      <c:pt idx="810">
                        <c:v>0.98970000000000002</c:v>
                      </c:pt>
                      <c:pt idx="811">
                        <c:v>0.99219999999999997</c:v>
                      </c:pt>
                      <c:pt idx="812">
                        <c:v>0.99550000000000005</c:v>
                      </c:pt>
                      <c:pt idx="813">
                        <c:v>0.99780000000000002</c:v>
                      </c:pt>
                      <c:pt idx="814">
                        <c:v>0.9909</c:v>
                      </c:pt>
                      <c:pt idx="815">
                        <c:v>0.99209999999999998</c:v>
                      </c:pt>
                      <c:pt idx="816">
                        <c:v>0.99399999999999999</c:v>
                      </c:pt>
                      <c:pt idx="817">
                        <c:v>0.99038000000000004</c:v>
                      </c:pt>
                      <c:pt idx="818">
                        <c:v>0.98880000000000001</c:v>
                      </c:pt>
                      <c:pt idx="819">
                        <c:v>0.98397000000000001</c:v>
                      </c:pt>
                      <c:pt idx="820">
                        <c:v>0.97941</c:v>
                      </c:pt>
                      <c:pt idx="821">
                        <c:v>0.97716000000000003</c:v>
                      </c:pt>
                      <c:pt idx="822">
                        <c:v>0.97809000000000001</c:v>
                      </c:pt>
                      <c:pt idx="823">
                        <c:v>0.97597999999999996</c:v>
                      </c:pt>
                      <c:pt idx="824">
                        <c:v>0.97589999999999999</c:v>
                      </c:pt>
                      <c:pt idx="825">
                        <c:v>0.97831000000000001</c:v>
                      </c:pt>
                      <c:pt idx="826">
                        <c:v>0.98336999999999997</c:v>
                      </c:pt>
                      <c:pt idx="827">
                        <c:v>0.98302999999999996</c:v>
                      </c:pt>
                      <c:pt idx="828">
                        <c:v>0.98146999999999995</c:v>
                      </c:pt>
                      <c:pt idx="829">
                        <c:v>0.98248000000000002</c:v>
                      </c:pt>
                      <c:pt idx="830">
                        <c:v>0.98451999999999995</c:v>
                      </c:pt>
                      <c:pt idx="831">
                        <c:v>0.9778</c:v>
                      </c:pt>
                      <c:pt idx="832">
                        <c:v>0.97433999999999998</c:v>
                      </c:pt>
                      <c:pt idx="833">
                        <c:v>0.97496000000000005</c:v>
                      </c:pt>
                      <c:pt idx="834">
                        <c:v>0.97885</c:v>
                      </c:pt>
                      <c:pt idx="835">
                        <c:v>0.97802999999999995</c:v>
                      </c:pt>
                      <c:pt idx="836">
                        <c:v>0.97933999999999999</c:v>
                      </c:pt>
                      <c:pt idx="837">
                        <c:v>0.97826999999999997</c:v>
                      </c:pt>
                      <c:pt idx="838">
                        <c:v>0.98158999999999996</c:v>
                      </c:pt>
                      <c:pt idx="839">
                        <c:v>0.98453999999999997</c:v>
                      </c:pt>
                      <c:pt idx="840">
                        <c:v>0.98153999999999997</c:v>
                      </c:pt>
                      <c:pt idx="841">
                        <c:v>0.98724999999999996</c:v>
                      </c:pt>
                      <c:pt idx="842">
                        <c:v>0.98512</c:v>
                      </c:pt>
                      <c:pt idx="843">
                        <c:v>0.98489000000000004</c:v>
                      </c:pt>
                      <c:pt idx="844">
                        <c:v>0.98512999999999995</c:v>
                      </c:pt>
                      <c:pt idx="845">
                        <c:v>0.98512999999999995</c:v>
                      </c:pt>
                      <c:pt idx="846">
                        <c:v>0.98512999999999995</c:v>
                      </c:pt>
                      <c:pt idx="847">
                        <c:v>0.98714999999999997</c:v>
                      </c:pt>
                      <c:pt idx="848">
                        <c:v>0.99287999999999998</c:v>
                      </c:pt>
                      <c:pt idx="849">
                        <c:v>0.99121999999999999</c:v>
                      </c:pt>
                      <c:pt idx="850">
                        <c:v>0.99260999999999999</c:v>
                      </c:pt>
                      <c:pt idx="851">
                        <c:v>0.98938999999999999</c:v>
                      </c:pt>
                      <c:pt idx="852">
                        <c:v>0.98814000000000002</c:v>
                      </c:pt>
                      <c:pt idx="853">
                        <c:v>0.98858999999999997</c:v>
                      </c:pt>
                      <c:pt idx="854">
                        <c:v>0.99251</c:v>
                      </c:pt>
                      <c:pt idx="855">
                        <c:v>0.99851999999999996</c:v>
                      </c:pt>
                      <c:pt idx="856">
                        <c:v>0.99417999999999995</c:v>
                      </c:pt>
                      <c:pt idx="857">
                        <c:v>0.99661999999999995</c:v>
                      </c:pt>
                      <c:pt idx="858">
                        <c:v>0.99856999999999996</c:v>
                      </c:pt>
                      <c:pt idx="859">
                        <c:v>0.99143999999999999</c:v>
                      </c:pt>
                      <c:pt idx="860">
                        <c:v>0.99141999999999997</c:v>
                      </c:pt>
                      <c:pt idx="861">
                        <c:v>0.99002000000000001</c:v>
                      </c:pt>
                      <c:pt idx="862">
                        <c:v>0.98909000000000002</c:v>
                      </c:pt>
                      <c:pt idx="863">
                        <c:v>0.99058000000000002</c:v>
                      </c:pt>
                      <c:pt idx="864">
                        <c:v>0.99360000000000004</c:v>
                      </c:pt>
                      <c:pt idx="865">
                        <c:v>0.99200999999999995</c:v>
                      </c:pt>
                      <c:pt idx="866">
                        <c:v>0.99163999999999997</c:v>
                      </c:pt>
                      <c:pt idx="867">
                        <c:v>0.99475000000000002</c:v>
                      </c:pt>
                      <c:pt idx="868">
                        <c:v>0.99475000000000002</c:v>
                      </c:pt>
                      <c:pt idx="869">
                        <c:v>0.98641000000000001</c:v>
                      </c:pt>
                      <c:pt idx="870">
                        <c:v>0.99417</c:v>
                      </c:pt>
                      <c:pt idx="871">
                        <c:v>0.99646000000000001</c:v>
                      </c:pt>
                      <c:pt idx="872">
                        <c:v>0.99855000000000005</c:v>
                      </c:pt>
                      <c:pt idx="873">
                        <c:v>0.99795999999999996</c:v>
                      </c:pt>
                      <c:pt idx="874">
                        <c:v>0.99795999999999996</c:v>
                      </c:pt>
                      <c:pt idx="875">
                        <c:v>1.0011099999999999</c:v>
                      </c:pt>
                      <c:pt idx="876">
                        <c:v>1.0017100000000001</c:v>
                      </c:pt>
                      <c:pt idx="877">
                        <c:v>1.0040199999999999</c:v>
                      </c:pt>
                      <c:pt idx="878">
                        <c:v>1.00224</c:v>
                      </c:pt>
                      <c:pt idx="879">
                        <c:v>0.99787000000000003</c:v>
                      </c:pt>
                      <c:pt idx="880">
                        <c:v>1.0018899999999999</c:v>
                      </c:pt>
                      <c:pt idx="881">
                        <c:v>1.0001</c:v>
                      </c:pt>
                      <c:pt idx="882">
                        <c:v>0.99983</c:v>
                      </c:pt>
                      <c:pt idx="883">
                        <c:v>1.0041</c:v>
                      </c:pt>
                      <c:pt idx="884">
                        <c:v>1.0065999999999999</c:v>
                      </c:pt>
                      <c:pt idx="885">
                        <c:v>1.00902</c:v>
                      </c:pt>
                      <c:pt idx="886">
                        <c:v>1.01095</c:v>
                      </c:pt>
                      <c:pt idx="887">
                        <c:v>1.0051699999999999</c:v>
                      </c:pt>
                      <c:pt idx="888">
                        <c:v>1.00915</c:v>
                      </c:pt>
                      <c:pt idx="889">
                        <c:v>1.0081500000000001</c:v>
                      </c:pt>
                      <c:pt idx="890">
                        <c:v>1.0033399999999999</c:v>
                      </c:pt>
                      <c:pt idx="891">
                        <c:v>1.00132</c:v>
                      </c:pt>
                      <c:pt idx="892">
                        <c:v>0.99012</c:v>
                      </c:pt>
                      <c:pt idx="893">
                        <c:v>0.98714999999999997</c:v>
                      </c:pt>
                      <c:pt idx="894">
                        <c:v>0.98714999999999997</c:v>
                      </c:pt>
                      <c:pt idx="895">
                        <c:v>0.98441999999999996</c:v>
                      </c:pt>
                      <c:pt idx="896">
                        <c:v>0.98445000000000005</c:v>
                      </c:pt>
                      <c:pt idx="897">
                        <c:v>0.97874000000000005</c:v>
                      </c:pt>
                      <c:pt idx="898">
                        <c:v>0.97968</c:v>
                      </c:pt>
                      <c:pt idx="899">
                        <c:v>0.98158999999999996</c:v>
                      </c:pt>
                      <c:pt idx="900">
                        <c:v>0.98865000000000003</c:v>
                      </c:pt>
                      <c:pt idx="901">
                        <c:v>0.98321999999999998</c:v>
                      </c:pt>
                      <c:pt idx="902">
                        <c:v>0.98314000000000001</c:v>
                      </c:pt>
                      <c:pt idx="903">
                        <c:v>0.98767000000000005</c:v>
                      </c:pt>
                      <c:pt idx="904">
                        <c:v>0.99172000000000005</c:v>
                      </c:pt>
                      <c:pt idx="905">
                        <c:v>0.99172000000000005</c:v>
                      </c:pt>
                      <c:pt idx="906">
                        <c:v>0.99175999999999997</c:v>
                      </c:pt>
                      <c:pt idx="907">
                        <c:v>0.99107999999999996</c:v>
                      </c:pt>
                      <c:pt idx="908">
                        <c:v>0.99204000000000003</c:v>
                      </c:pt>
                      <c:pt idx="909">
                        <c:v>0.99473999999999996</c:v>
                      </c:pt>
                      <c:pt idx="910">
                        <c:v>0.99675000000000002</c:v>
                      </c:pt>
                      <c:pt idx="911">
                        <c:v>0.99439999999999995</c:v>
                      </c:pt>
                      <c:pt idx="912">
                        <c:v>0.99456</c:v>
                      </c:pt>
                      <c:pt idx="913">
                        <c:v>0.99238000000000004</c:v>
                      </c:pt>
                      <c:pt idx="914">
                        <c:v>0.99439</c:v>
                      </c:pt>
                      <c:pt idx="915">
                        <c:v>0.99236000000000002</c:v>
                      </c:pt>
                      <c:pt idx="916">
                        <c:v>0.99328000000000005</c:v>
                      </c:pt>
                      <c:pt idx="917">
                        <c:v>0.99417</c:v>
                      </c:pt>
                      <c:pt idx="918">
                        <c:v>0.98280999999999996</c:v>
                      </c:pt>
                      <c:pt idx="919">
                        <c:v>0.97828000000000004</c:v>
                      </c:pt>
                      <c:pt idx="920">
                        <c:v>0.98240000000000005</c:v>
                      </c:pt>
                      <c:pt idx="921">
                        <c:v>0.98224999999999996</c:v>
                      </c:pt>
                      <c:pt idx="922">
                        <c:v>0.98072999999999999</c:v>
                      </c:pt>
                      <c:pt idx="923">
                        <c:v>0.97882000000000002</c:v>
                      </c:pt>
                      <c:pt idx="924">
                        <c:v>0.98177000000000003</c:v>
                      </c:pt>
                      <c:pt idx="925">
                        <c:v>0.98177999999999999</c:v>
                      </c:pt>
                      <c:pt idx="926">
                        <c:v>0.97592000000000001</c:v>
                      </c:pt>
                      <c:pt idx="927">
                        <c:v>0.97575999999999996</c:v>
                      </c:pt>
                      <c:pt idx="928">
                        <c:v>0.97868999999999995</c:v>
                      </c:pt>
                      <c:pt idx="929">
                        <c:v>0.97446999999999995</c:v>
                      </c:pt>
                      <c:pt idx="930">
                        <c:v>0.98287000000000002</c:v>
                      </c:pt>
                      <c:pt idx="931">
                        <c:v>0.98414000000000001</c:v>
                      </c:pt>
                      <c:pt idx="932">
                        <c:v>0.98297000000000001</c:v>
                      </c:pt>
                      <c:pt idx="933">
                        <c:v>0.98265000000000002</c:v>
                      </c:pt>
                      <c:pt idx="934">
                        <c:v>0.98089000000000004</c:v>
                      </c:pt>
                      <c:pt idx="935">
                        <c:v>0.97109999999999996</c:v>
                      </c:pt>
                      <c:pt idx="936">
                        <c:v>0.95237000000000005</c:v>
                      </c:pt>
                      <c:pt idx="937">
                        <c:v>0.96321000000000001</c:v>
                      </c:pt>
                      <c:pt idx="938">
                        <c:v>0.96965000000000001</c:v>
                      </c:pt>
                      <c:pt idx="939">
                        <c:v>0.96743000000000001</c:v>
                      </c:pt>
                      <c:pt idx="940">
                        <c:v>0.97177000000000002</c:v>
                      </c:pt>
                      <c:pt idx="941">
                        <c:v>0.97613000000000005</c:v>
                      </c:pt>
                      <c:pt idx="942">
                        <c:v>0.97533000000000003</c:v>
                      </c:pt>
                      <c:pt idx="943">
                        <c:v>0.97602</c:v>
                      </c:pt>
                      <c:pt idx="944">
                        <c:v>0.98024999999999995</c:v>
                      </c:pt>
                      <c:pt idx="945">
                        <c:v>0.97672999999999999</c:v>
                      </c:pt>
                      <c:pt idx="946">
                        <c:v>0.97892000000000001</c:v>
                      </c:pt>
                      <c:pt idx="947">
                        <c:v>0.97431999999999996</c:v>
                      </c:pt>
                      <c:pt idx="948">
                        <c:v>0.97389000000000003</c:v>
                      </c:pt>
                      <c:pt idx="949">
                        <c:v>0.96801000000000004</c:v>
                      </c:pt>
                      <c:pt idx="950">
                        <c:v>0.96894999999999998</c:v>
                      </c:pt>
                      <c:pt idx="951">
                        <c:v>0.96811999999999998</c:v>
                      </c:pt>
                      <c:pt idx="952">
                        <c:v>0.97038000000000002</c:v>
                      </c:pt>
                      <c:pt idx="953">
                        <c:v>0.96780999999999995</c:v>
                      </c:pt>
                      <c:pt idx="954">
                        <c:v>0.97462000000000004</c:v>
                      </c:pt>
                      <c:pt idx="955">
                        <c:v>0.97199999999999998</c:v>
                      </c:pt>
                      <c:pt idx="956">
                        <c:v>0.96769000000000005</c:v>
                      </c:pt>
                      <c:pt idx="957">
                        <c:v>0.96650999999999998</c:v>
                      </c:pt>
                      <c:pt idx="958">
                        <c:v>0.96662000000000003</c:v>
                      </c:pt>
                      <c:pt idx="959">
                        <c:v>0.96692</c:v>
                      </c:pt>
                      <c:pt idx="960">
                        <c:v>0.96342000000000005</c:v>
                      </c:pt>
                      <c:pt idx="961">
                        <c:v>0.95933999999999997</c:v>
                      </c:pt>
                      <c:pt idx="962">
                        <c:v>0.96079999999999999</c:v>
                      </c:pt>
                      <c:pt idx="963">
                        <c:v>0.95794999999999997</c:v>
                      </c:pt>
                      <c:pt idx="964">
                        <c:v>0.95643</c:v>
                      </c:pt>
                      <c:pt idx="965">
                        <c:v>0.95899000000000001</c:v>
                      </c:pt>
                      <c:pt idx="966">
                        <c:v>0.96091000000000004</c:v>
                      </c:pt>
                      <c:pt idx="967">
                        <c:v>0.96064000000000005</c:v>
                      </c:pt>
                      <c:pt idx="968">
                        <c:v>0.96167000000000002</c:v>
                      </c:pt>
                      <c:pt idx="969">
                        <c:v>0.96997999999999995</c:v>
                      </c:pt>
                      <c:pt idx="970">
                        <c:v>0.97</c:v>
                      </c:pt>
                      <c:pt idx="971">
                        <c:v>0.97226999999999997</c:v>
                      </c:pt>
                      <c:pt idx="972">
                        <c:v>0.97257000000000005</c:v>
                      </c:pt>
                      <c:pt idx="973">
                        <c:v>0.96808000000000005</c:v>
                      </c:pt>
                      <c:pt idx="974">
                        <c:v>0.95872000000000002</c:v>
                      </c:pt>
                      <c:pt idx="975">
                        <c:v>0.95879000000000003</c:v>
                      </c:pt>
                      <c:pt idx="976">
                        <c:v>0.96052000000000004</c:v>
                      </c:pt>
                      <c:pt idx="977">
                        <c:v>0.96453999999999995</c:v>
                      </c:pt>
                      <c:pt idx="978">
                        <c:v>0.97223999999999999</c:v>
                      </c:pt>
                      <c:pt idx="979">
                        <c:v>0.96940999999999999</c:v>
                      </c:pt>
                      <c:pt idx="980">
                        <c:v>0.97030000000000005</c:v>
                      </c:pt>
                      <c:pt idx="981">
                        <c:v>0.97511999999999999</c:v>
                      </c:pt>
                      <c:pt idx="982">
                        <c:v>0.97108000000000005</c:v>
                      </c:pt>
                      <c:pt idx="983">
                        <c:v>0.96403000000000005</c:v>
                      </c:pt>
                      <c:pt idx="984">
                        <c:v>0.96382999999999996</c:v>
                      </c:pt>
                      <c:pt idx="985">
                        <c:v>0.96718000000000004</c:v>
                      </c:pt>
                      <c:pt idx="986">
                        <c:v>0.96825000000000006</c:v>
                      </c:pt>
                      <c:pt idx="987">
                        <c:v>0.96048</c:v>
                      </c:pt>
                      <c:pt idx="988">
                        <c:v>0.96140000000000003</c:v>
                      </c:pt>
                      <c:pt idx="989">
                        <c:v>0.96164000000000005</c:v>
                      </c:pt>
                      <c:pt idx="990">
                        <c:v>0.96689999999999998</c:v>
                      </c:pt>
                      <c:pt idx="991">
                        <c:v>0.96531999999999996</c:v>
                      </c:pt>
                      <c:pt idx="992">
                        <c:v>0.96426000000000001</c:v>
                      </c:pt>
                      <c:pt idx="993">
                        <c:v>0.96282999999999996</c:v>
                      </c:pt>
                      <c:pt idx="994">
                        <c:v>0.96643999999999997</c:v>
                      </c:pt>
                      <c:pt idx="995">
                        <c:v>0.96853</c:v>
                      </c:pt>
                      <c:pt idx="996">
                        <c:v>0.96297999999999995</c:v>
                      </c:pt>
                      <c:pt idx="997">
                        <c:v>0.97260000000000002</c:v>
                      </c:pt>
                      <c:pt idx="998">
                        <c:v>0.97369000000000006</c:v>
                      </c:pt>
                      <c:pt idx="999">
                        <c:v>0.97423000000000004</c:v>
                      </c:pt>
                      <c:pt idx="1000">
                        <c:v>0.97085999999999995</c:v>
                      </c:pt>
                      <c:pt idx="1001">
                        <c:v>0.97472000000000003</c:v>
                      </c:pt>
                      <c:pt idx="1002">
                        <c:v>0.97545999999999999</c:v>
                      </c:pt>
                      <c:pt idx="1003">
                        <c:v>0.97838000000000003</c:v>
                      </c:pt>
                      <c:pt idx="1004">
                        <c:v>0.98726999999999998</c:v>
                      </c:pt>
                      <c:pt idx="1005">
                        <c:v>0.98441000000000001</c:v>
                      </c:pt>
                      <c:pt idx="1006">
                        <c:v>0.98350000000000004</c:v>
                      </c:pt>
                      <c:pt idx="1007">
                        <c:v>0.98326000000000002</c:v>
                      </c:pt>
                      <c:pt idx="1008">
                        <c:v>0.98512</c:v>
                      </c:pt>
                      <c:pt idx="1009">
                        <c:v>0.98673</c:v>
                      </c:pt>
                      <c:pt idx="1010">
                        <c:v>0.99073</c:v>
                      </c:pt>
                      <c:pt idx="1011">
                        <c:v>0.99000999999999995</c:v>
                      </c:pt>
                      <c:pt idx="1012">
                        <c:v>0.99351999999999996</c:v>
                      </c:pt>
                      <c:pt idx="1013">
                        <c:v>0.99665000000000004</c:v>
                      </c:pt>
                      <c:pt idx="1014">
                        <c:v>0.99887999999999999</c:v>
                      </c:pt>
                      <c:pt idx="1015">
                        <c:v>0.99870000000000003</c:v>
                      </c:pt>
                      <c:pt idx="1016">
                        <c:v>0.99278999999999995</c:v>
                      </c:pt>
                      <c:pt idx="1017">
                        <c:v>0.98643000000000003</c:v>
                      </c:pt>
                      <c:pt idx="1018">
                        <c:v>0.98623000000000005</c:v>
                      </c:pt>
                      <c:pt idx="1019">
                        <c:v>0.98914999999999997</c:v>
                      </c:pt>
                      <c:pt idx="1020">
                        <c:v>0.98609000000000002</c:v>
                      </c:pt>
                      <c:pt idx="1021">
                        <c:v>0.98868</c:v>
                      </c:pt>
                      <c:pt idx="1022">
                        <c:v>0.99539999999999995</c:v>
                      </c:pt>
                      <c:pt idx="1023">
                        <c:v>0.99375999999999998</c:v>
                      </c:pt>
                      <c:pt idx="1024">
                        <c:v>0.98709000000000002</c:v>
                      </c:pt>
                      <c:pt idx="1025">
                        <c:v>0.98114000000000001</c:v>
                      </c:pt>
                      <c:pt idx="1026">
                        <c:v>0.98233000000000004</c:v>
                      </c:pt>
                      <c:pt idx="1027">
                        <c:v>0.98311999999999999</c:v>
                      </c:pt>
                      <c:pt idx="1028">
                        <c:v>0.98331000000000002</c:v>
                      </c:pt>
                      <c:pt idx="1029">
                        <c:v>0.98678999999999994</c:v>
                      </c:pt>
                      <c:pt idx="1030">
                        <c:v>0.98623000000000005</c:v>
                      </c:pt>
                      <c:pt idx="1031">
                        <c:v>0.97765000000000002</c:v>
                      </c:pt>
                      <c:pt idx="1032">
                        <c:v>0.97521999999999998</c:v>
                      </c:pt>
                      <c:pt idx="1033">
                        <c:v>0.97682999999999998</c:v>
                      </c:pt>
                      <c:pt idx="1034">
                        <c:v>0.97021999999999997</c:v>
                      </c:pt>
                      <c:pt idx="1035">
                        <c:v>0.96692999999999996</c:v>
                      </c:pt>
                      <c:pt idx="1036">
                        <c:v>0.97263999999999995</c:v>
                      </c:pt>
                      <c:pt idx="1037">
                        <c:v>0.97263999999999995</c:v>
                      </c:pt>
                      <c:pt idx="1038">
                        <c:v>0.97263999999999995</c:v>
                      </c:pt>
                      <c:pt idx="1039">
                        <c:v>0.97263999999999995</c:v>
                      </c:pt>
                      <c:pt idx="1040">
                        <c:v>0.96926999999999996</c:v>
                      </c:pt>
                      <c:pt idx="1041">
                        <c:v>0.96969000000000005</c:v>
                      </c:pt>
                      <c:pt idx="1042">
                        <c:v>0.96969000000000005</c:v>
                      </c:pt>
                      <c:pt idx="1043">
                        <c:v>0.96969000000000005</c:v>
                      </c:pt>
                      <c:pt idx="1044">
                        <c:v>0.97482000000000002</c:v>
                      </c:pt>
                      <c:pt idx="1045">
                        <c:v>0.97665000000000002</c:v>
                      </c:pt>
                      <c:pt idx="1046">
                        <c:v>0.97665000000000002</c:v>
                      </c:pt>
                      <c:pt idx="1047">
                        <c:v>0.97755000000000003</c:v>
                      </c:pt>
                      <c:pt idx="1048">
                        <c:v>0.98079000000000005</c:v>
                      </c:pt>
                      <c:pt idx="1049">
                        <c:v>0.97738000000000003</c:v>
                      </c:pt>
                      <c:pt idx="1050">
                        <c:v>0.97789000000000004</c:v>
                      </c:pt>
                      <c:pt idx="1051">
                        <c:v>0.98262000000000005</c:v>
                      </c:pt>
                      <c:pt idx="1052">
                        <c:v>0.98229</c:v>
                      </c:pt>
                      <c:pt idx="1053">
                        <c:v>0.98273999999999995</c:v>
                      </c:pt>
                      <c:pt idx="1054">
                        <c:v>0.98192000000000002</c:v>
                      </c:pt>
                      <c:pt idx="1055">
                        <c:v>0.97848000000000002</c:v>
                      </c:pt>
                      <c:pt idx="1056">
                        <c:v>0.97687999999999997</c:v>
                      </c:pt>
                      <c:pt idx="1057">
                        <c:v>0.97106000000000003</c:v>
                      </c:pt>
                      <c:pt idx="1058">
                        <c:v>0.97570999999999997</c:v>
                      </c:pt>
                      <c:pt idx="1059">
                        <c:v>0.97767000000000004</c:v>
                      </c:pt>
                      <c:pt idx="1060">
                        <c:v>0.97528000000000004</c:v>
                      </c:pt>
                      <c:pt idx="1061">
                        <c:v>0.97345000000000004</c:v>
                      </c:pt>
                      <c:pt idx="1062">
                        <c:v>0.97448999999999997</c:v>
                      </c:pt>
                      <c:pt idx="1063">
                        <c:v>0.97258</c:v>
                      </c:pt>
                      <c:pt idx="1064">
                        <c:v>0.97521999999999998</c:v>
                      </c:pt>
                      <c:pt idx="1065">
                        <c:v>0.97757000000000005</c:v>
                      </c:pt>
                      <c:pt idx="1066">
                        <c:v>0.98012999999999995</c:v>
                      </c:pt>
                      <c:pt idx="1067">
                        <c:v>0.97414999999999996</c:v>
                      </c:pt>
                      <c:pt idx="1068">
                        <c:v>0.97335000000000005</c:v>
                      </c:pt>
                      <c:pt idx="1069">
                        <c:v>0.97104999999999997</c:v>
                      </c:pt>
                      <c:pt idx="1070">
                        <c:v>0.97087999999999997</c:v>
                      </c:pt>
                      <c:pt idx="1071">
                        <c:v>0.97424999999999995</c:v>
                      </c:pt>
                      <c:pt idx="1072">
                        <c:v>0.97209999999999996</c:v>
                      </c:pt>
                      <c:pt idx="1073">
                        <c:v>0.96806000000000003</c:v>
                      </c:pt>
                      <c:pt idx="1074">
                        <c:v>0.96304000000000001</c:v>
                      </c:pt>
                      <c:pt idx="1075">
                        <c:v>0.96506999999999998</c:v>
                      </c:pt>
                      <c:pt idx="1076">
                        <c:v>0.96345000000000003</c:v>
                      </c:pt>
                      <c:pt idx="1077">
                        <c:v>0.96162000000000003</c:v>
                      </c:pt>
                      <c:pt idx="1078">
                        <c:v>0.96431</c:v>
                      </c:pt>
                      <c:pt idx="1079">
                        <c:v>0.96184000000000003</c:v>
                      </c:pt>
                      <c:pt idx="1080">
                        <c:v>0.95816000000000001</c:v>
                      </c:pt>
                      <c:pt idx="1081">
                        <c:v>0.95852999999999999</c:v>
                      </c:pt>
                      <c:pt idx="1082">
                        <c:v>0.95555999999999996</c:v>
                      </c:pt>
                      <c:pt idx="1083">
                        <c:v>0.95325000000000004</c:v>
                      </c:pt>
                      <c:pt idx="1084">
                        <c:v>0.95364000000000004</c:v>
                      </c:pt>
                      <c:pt idx="1085">
                        <c:v>0.95423999999999998</c:v>
                      </c:pt>
                      <c:pt idx="1086">
                        <c:v>0.95340000000000003</c:v>
                      </c:pt>
                      <c:pt idx="1087">
                        <c:v>0.94</c:v>
                      </c:pt>
                      <c:pt idx="1088">
                        <c:v>0.93167999999999995</c:v>
                      </c:pt>
                      <c:pt idx="1089">
                        <c:v>0.93564000000000003</c:v>
                      </c:pt>
                      <c:pt idx="1090">
                        <c:v>0.93303000000000003</c:v>
                      </c:pt>
                      <c:pt idx="1091">
                        <c:v>0.93993000000000004</c:v>
                      </c:pt>
                      <c:pt idx="1092">
                        <c:v>0.94391000000000003</c:v>
                      </c:pt>
                      <c:pt idx="1093">
                        <c:v>0.94555999999999996</c:v>
                      </c:pt>
                      <c:pt idx="1094">
                        <c:v>0.95452000000000004</c:v>
                      </c:pt>
                      <c:pt idx="1095">
                        <c:v>0.95126999999999995</c:v>
                      </c:pt>
                      <c:pt idx="1096">
                        <c:v>0.95613000000000004</c:v>
                      </c:pt>
                      <c:pt idx="1097">
                        <c:v>0.95394000000000001</c:v>
                      </c:pt>
                      <c:pt idx="1098">
                        <c:v>0.95631999999999995</c:v>
                      </c:pt>
                      <c:pt idx="1099">
                        <c:v>0.95887999999999995</c:v>
                      </c:pt>
                      <c:pt idx="1100">
                        <c:v>0.95894999999999997</c:v>
                      </c:pt>
                      <c:pt idx="1101">
                        <c:v>0.96287</c:v>
                      </c:pt>
                      <c:pt idx="1102">
                        <c:v>0.95477000000000001</c:v>
                      </c:pt>
                      <c:pt idx="1103">
                        <c:v>0.95430999999999999</c:v>
                      </c:pt>
                      <c:pt idx="1104">
                        <c:v>0.95416000000000001</c:v>
                      </c:pt>
                      <c:pt idx="1105">
                        <c:v>0.95803000000000005</c:v>
                      </c:pt>
                      <c:pt idx="1106">
                        <c:v>0.95057999999999998</c:v>
                      </c:pt>
                      <c:pt idx="1107">
                        <c:v>0.95565</c:v>
                      </c:pt>
                      <c:pt idx="1108">
                        <c:v>0.95472000000000001</c:v>
                      </c:pt>
                      <c:pt idx="1109">
                        <c:v>0.93845999999999996</c:v>
                      </c:pt>
                      <c:pt idx="1110">
                        <c:v>0.93942999999999999</c:v>
                      </c:pt>
                      <c:pt idx="1111">
                        <c:v>0.92667999999999995</c:v>
                      </c:pt>
                      <c:pt idx="1112">
                        <c:v>0.91857999999999995</c:v>
                      </c:pt>
                      <c:pt idx="1113">
                        <c:v>0.91352999999999995</c:v>
                      </c:pt>
                      <c:pt idx="1114">
                        <c:v>0.91966999999999999</c:v>
                      </c:pt>
                      <c:pt idx="1115">
                        <c:v>0.91895000000000004</c:v>
                      </c:pt>
                      <c:pt idx="1116">
                        <c:v>0.91564000000000001</c:v>
                      </c:pt>
                      <c:pt idx="1117">
                        <c:v>0.92386999999999997</c:v>
                      </c:pt>
                      <c:pt idx="1118">
                        <c:v>0.92400000000000004</c:v>
                      </c:pt>
                      <c:pt idx="1119">
                        <c:v>0.92162999999999995</c:v>
                      </c:pt>
                      <c:pt idx="1120">
                        <c:v>0.92162999999999995</c:v>
                      </c:pt>
                      <c:pt idx="1121">
                        <c:v>0.92162999999999995</c:v>
                      </c:pt>
                      <c:pt idx="1122">
                        <c:v>0.91813999999999996</c:v>
                      </c:pt>
                      <c:pt idx="1123">
                        <c:v>0.91998000000000002</c:v>
                      </c:pt>
                      <c:pt idx="1124">
                        <c:v>0.92242999999999997</c:v>
                      </c:pt>
                      <c:pt idx="1125">
                        <c:v>0.92906</c:v>
                      </c:pt>
                      <c:pt idx="1126">
                        <c:v>0.92712000000000006</c:v>
                      </c:pt>
                      <c:pt idx="1127">
                        <c:v>0.92862999999999996</c:v>
                      </c:pt>
                      <c:pt idx="1128">
                        <c:v>0.92908000000000002</c:v>
                      </c:pt>
                      <c:pt idx="1129">
                        <c:v>0.92908000000000002</c:v>
                      </c:pt>
                      <c:pt idx="1130">
                        <c:v>0.93018000000000001</c:v>
                      </c:pt>
                      <c:pt idx="1131">
                        <c:v>0.92764000000000002</c:v>
                      </c:pt>
                      <c:pt idx="1132">
                        <c:v>0.92979999999999996</c:v>
                      </c:pt>
                      <c:pt idx="1133">
                        <c:v>0.93415999999999999</c:v>
                      </c:pt>
                      <c:pt idx="1134">
                        <c:v>0.93284</c:v>
                      </c:pt>
                      <c:pt idx="1135">
                        <c:v>0.93552999999999997</c:v>
                      </c:pt>
                      <c:pt idx="1136">
                        <c:v>0.93864000000000003</c:v>
                      </c:pt>
                      <c:pt idx="1137">
                        <c:v>0.93539000000000005</c:v>
                      </c:pt>
                      <c:pt idx="1138">
                        <c:v>0.93798999999999999</c:v>
                      </c:pt>
                      <c:pt idx="1139">
                        <c:v>0.93454999999999999</c:v>
                      </c:pt>
                      <c:pt idx="1140">
                        <c:v>0.93964000000000003</c:v>
                      </c:pt>
                      <c:pt idx="1141">
                        <c:v>0.94015000000000004</c:v>
                      </c:pt>
                      <c:pt idx="1142">
                        <c:v>0.93859999999999999</c:v>
                      </c:pt>
                      <c:pt idx="1143">
                        <c:v>0.94430999999999998</c:v>
                      </c:pt>
                      <c:pt idx="1144">
                        <c:v>0.94208000000000003</c:v>
                      </c:pt>
                      <c:pt idx="1145">
                        <c:v>0.94035999999999997</c:v>
                      </c:pt>
                      <c:pt idx="1146">
                        <c:v>0.94335999999999998</c:v>
                      </c:pt>
                      <c:pt idx="1147">
                        <c:v>0.94545999999999997</c:v>
                      </c:pt>
                      <c:pt idx="1148">
                        <c:v>0.94596999999999998</c:v>
                      </c:pt>
                      <c:pt idx="1149">
                        <c:v>0.94596999999999998</c:v>
                      </c:pt>
                      <c:pt idx="1150">
                        <c:v>0.94218000000000002</c:v>
                      </c:pt>
                      <c:pt idx="1151">
                        <c:v>0.94296000000000002</c:v>
                      </c:pt>
                      <c:pt idx="1152">
                        <c:v>0.94723999999999997</c:v>
                      </c:pt>
                      <c:pt idx="1153">
                        <c:v>0.95043</c:v>
                      </c:pt>
                      <c:pt idx="1154">
                        <c:v>0.94938</c:v>
                      </c:pt>
                      <c:pt idx="1155">
                        <c:v>0.94938</c:v>
                      </c:pt>
                      <c:pt idx="1156">
                        <c:v>0.95316999999999996</c:v>
                      </c:pt>
                      <c:pt idx="1157">
                        <c:v>0.95121999999999995</c:v>
                      </c:pt>
                      <c:pt idx="1158">
                        <c:v>0.94972000000000001</c:v>
                      </c:pt>
                      <c:pt idx="1159">
                        <c:v>0.94482999999999995</c:v>
                      </c:pt>
                      <c:pt idx="1160">
                        <c:v>0.95804999999999996</c:v>
                      </c:pt>
                      <c:pt idx="1161">
                        <c:v>0.95591999999999999</c:v>
                      </c:pt>
                      <c:pt idx="1162">
                        <c:v>0.95887999999999995</c:v>
                      </c:pt>
                      <c:pt idx="1163">
                        <c:v>0.96360000000000001</c:v>
                      </c:pt>
                      <c:pt idx="1164">
                        <c:v>0.95972000000000002</c:v>
                      </c:pt>
                      <c:pt idx="1165">
                        <c:v>0.95972000000000002</c:v>
                      </c:pt>
                      <c:pt idx="1166">
                        <c:v>0.95713000000000004</c:v>
                      </c:pt>
                      <c:pt idx="1167">
                        <c:v>0.94450999999999996</c:v>
                      </c:pt>
                      <c:pt idx="1168">
                        <c:v>0.93872</c:v>
                      </c:pt>
                      <c:pt idx="1169">
                        <c:v>0.93891999999999998</c:v>
                      </c:pt>
                      <c:pt idx="1170">
                        <c:v>0.94286999999999999</c:v>
                      </c:pt>
                      <c:pt idx="1171">
                        <c:v>0.94186000000000003</c:v>
                      </c:pt>
                      <c:pt idx="1172">
                        <c:v>0.94213000000000002</c:v>
                      </c:pt>
                      <c:pt idx="1173">
                        <c:v>0.94296000000000002</c:v>
                      </c:pt>
                      <c:pt idx="1174">
                        <c:v>0.94749000000000005</c:v>
                      </c:pt>
                      <c:pt idx="1175">
                        <c:v>0.94964999999999999</c:v>
                      </c:pt>
                      <c:pt idx="1176">
                        <c:v>0.94013000000000002</c:v>
                      </c:pt>
                      <c:pt idx="1177">
                        <c:v>0.94420999999999999</c:v>
                      </c:pt>
                      <c:pt idx="1178">
                        <c:v>0.94374000000000002</c:v>
                      </c:pt>
                      <c:pt idx="1179">
                        <c:v>0.94484000000000001</c:v>
                      </c:pt>
                      <c:pt idx="1180">
                        <c:v>0.94230999999999998</c:v>
                      </c:pt>
                      <c:pt idx="1181">
                        <c:v>0.94933000000000001</c:v>
                      </c:pt>
                      <c:pt idx="1182">
                        <c:v>0.94933000000000001</c:v>
                      </c:pt>
                      <c:pt idx="1183">
                        <c:v>0.94755999999999996</c:v>
                      </c:pt>
                      <c:pt idx="1184">
                        <c:v>0.94513999999999998</c:v>
                      </c:pt>
                      <c:pt idx="1185">
                        <c:v>0.95072999999999996</c:v>
                      </c:pt>
                      <c:pt idx="1186">
                        <c:v>0.94488000000000005</c:v>
                      </c:pt>
                      <c:pt idx="1187">
                        <c:v>0.94333</c:v>
                      </c:pt>
                      <c:pt idx="1188">
                        <c:v>0.94279000000000002</c:v>
                      </c:pt>
                      <c:pt idx="1189">
                        <c:v>0.94177999999999995</c:v>
                      </c:pt>
                      <c:pt idx="1190">
                        <c:v>0.93840000000000001</c:v>
                      </c:pt>
                      <c:pt idx="1191">
                        <c:v>0.94032000000000004</c:v>
                      </c:pt>
                      <c:pt idx="1192">
                        <c:v>0.94410000000000005</c:v>
                      </c:pt>
                      <c:pt idx="1193">
                        <c:v>0.94601000000000002</c:v>
                      </c:pt>
                      <c:pt idx="1194">
                        <c:v>0.94764000000000004</c:v>
                      </c:pt>
                      <c:pt idx="1195">
                        <c:v>0.94782999999999995</c:v>
                      </c:pt>
                      <c:pt idx="1196">
                        <c:v>0.94172</c:v>
                      </c:pt>
                      <c:pt idx="1197">
                        <c:v>0.94230999999999998</c:v>
                      </c:pt>
                      <c:pt idx="1198">
                        <c:v>0.94464999999999999</c:v>
                      </c:pt>
                      <c:pt idx="1199">
                        <c:v>0.94147999999999998</c:v>
                      </c:pt>
                      <c:pt idx="1200">
                        <c:v>0.93508000000000002</c:v>
                      </c:pt>
                      <c:pt idx="1201">
                        <c:v>0.93927000000000005</c:v>
                      </c:pt>
                      <c:pt idx="1202">
                        <c:v>0.94098999999999999</c:v>
                      </c:pt>
                      <c:pt idx="1203">
                        <c:v>0.93415000000000004</c:v>
                      </c:pt>
                      <c:pt idx="1204">
                        <c:v>0.93796999999999997</c:v>
                      </c:pt>
                      <c:pt idx="1205">
                        <c:v>0.93959999999999999</c:v>
                      </c:pt>
                      <c:pt idx="1206">
                        <c:v>0.93883000000000005</c:v>
                      </c:pt>
                      <c:pt idx="1207">
                        <c:v>0.93545</c:v>
                      </c:pt>
                      <c:pt idx="1208">
                        <c:v>0.93527000000000005</c:v>
                      </c:pt>
                      <c:pt idx="1209">
                        <c:v>0.94206999999999996</c:v>
                      </c:pt>
                      <c:pt idx="1210">
                        <c:v>0.94464000000000004</c:v>
                      </c:pt>
                      <c:pt idx="1211">
                        <c:v>0.94291999999999998</c:v>
                      </c:pt>
                      <c:pt idx="1212">
                        <c:v>0.94259000000000004</c:v>
                      </c:pt>
                      <c:pt idx="1213">
                        <c:v>0.94315000000000004</c:v>
                      </c:pt>
                      <c:pt idx="1214">
                        <c:v>0.94259000000000004</c:v>
                      </c:pt>
                      <c:pt idx="1215">
                        <c:v>0.94113000000000002</c:v>
                      </c:pt>
                      <c:pt idx="1216">
                        <c:v>0.93867</c:v>
                      </c:pt>
                      <c:pt idx="1217">
                        <c:v>0.94252000000000002</c:v>
                      </c:pt>
                      <c:pt idx="1218">
                        <c:v>0.94030000000000002</c:v>
                      </c:pt>
                      <c:pt idx="1219">
                        <c:v>0.93750999999999995</c:v>
                      </c:pt>
                      <c:pt idx="1220">
                        <c:v>0.93622000000000005</c:v>
                      </c:pt>
                      <c:pt idx="1221">
                        <c:v>0.93920999999999999</c:v>
                      </c:pt>
                      <c:pt idx="1222">
                        <c:v>0.93947999999999998</c:v>
                      </c:pt>
                      <c:pt idx="1223">
                        <c:v>0.94247000000000003</c:v>
                      </c:pt>
                      <c:pt idx="1224">
                        <c:v>0.94311999999999996</c:v>
                      </c:pt>
                      <c:pt idx="1225">
                        <c:v>0.94510000000000005</c:v>
                      </c:pt>
                      <c:pt idx="1226">
                        <c:v>0.94418999999999997</c:v>
                      </c:pt>
                      <c:pt idx="1227">
                        <c:v>0.94310000000000005</c:v>
                      </c:pt>
                      <c:pt idx="1228">
                        <c:v>0.94301999999999997</c:v>
                      </c:pt>
                      <c:pt idx="1229">
                        <c:v>0.94916999999999996</c:v>
                      </c:pt>
                      <c:pt idx="1230">
                        <c:v>0.94859000000000004</c:v>
                      </c:pt>
                      <c:pt idx="1231">
                        <c:v>0.94420000000000004</c:v>
                      </c:pt>
                      <c:pt idx="1232">
                        <c:v>0.94145999999999996</c:v>
                      </c:pt>
                      <c:pt idx="1233">
                        <c:v>0.94413000000000002</c:v>
                      </c:pt>
                      <c:pt idx="1234">
                        <c:v>0.94520000000000004</c:v>
                      </c:pt>
                      <c:pt idx="1235">
                        <c:v>0.94249000000000005</c:v>
                      </c:pt>
                      <c:pt idx="1236">
                        <c:v>0.94455</c:v>
                      </c:pt>
                      <c:pt idx="1237">
                        <c:v>0.94286000000000003</c:v>
                      </c:pt>
                      <c:pt idx="1238">
                        <c:v>0.9466</c:v>
                      </c:pt>
                      <c:pt idx="1239">
                        <c:v>0.94240000000000002</c:v>
                      </c:pt>
                      <c:pt idx="1240">
                        <c:v>0.94247999999999998</c:v>
                      </c:pt>
                      <c:pt idx="1241">
                        <c:v>0.94552999999999998</c:v>
                      </c:pt>
                      <c:pt idx="1242">
                        <c:v>0.94372</c:v>
                      </c:pt>
                      <c:pt idx="1243">
                        <c:v>0.94411</c:v>
                      </c:pt>
                      <c:pt idx="1244">
                        <c:v>0.94520000000000004</c:v>
                      </c:pt>
                      <c:pt idx="1245">
                        <c:v>0.94267000000000001</c:v>
                      </c:pt>
                      <c:pt idx="1246">
                        <c:v>0.94296999999999997</c:v>
                      </c:pt>
                      <c:pt idx="1247">
                        <c:v>0.93761000000000005</c:v>
                      </c:pt>
                      <c:pt idx="1248">
                        <c:v>0.94003000000000003</c:v>
                      </c:pt>
                      <c:pt idx="1249">
                        <c:v>0.93855</c:v>
                      </c:pt>
                      <c:pt idx="1250">
                        <c:v>0.94037999999999999</c:v>
                      </c:pt>
                      <c:pt idx="1251">
                        <c:v>0.93600000000000005</c:v>
                      </c:pt>
                      <c:pt idx="1252">
                        <c:v>0.93703000000000003</c:v>
                      </c:pt>
                      <c:pt idx="1253">
                        <c:v>0.93755999999999995</c:v>
                      </c:pt>
                      <c:pt idx="1254">
                        <c:v>0.92122999999999999</c:v>
                      </c:pt>
                      <c:pt idx="1255">
                        <c:v>0.9385</c:v>
                      </c:pt>
                      <c:pt idx="1256">
                        <c:v>0.93810000000000004</c:v>
                      </c:pt>
                      <c:pt idx="1257">
                        <c:v>0.93874999999999997</c:v>
                      </c:pt>
                      <c:pt idx="1258">
                        <c:v>0.93620000000000003</c:v>
                      </c:pt>
                      <c:pt idx="1259">
                        <c:v>0.93786000000000003</c:v>
                      </c:pt>
                      <c:pt idx="1260">
                        <c:v>0.93789</c:v>
                      </c:pt>
                      <c:pt idx="1261">
                        <c:v>0.93879000000000001</c:v>
                      </c:pt>
                      <c:pt idx="1262">
                        <c:v>0.93689999999999996</c:v>
                      </c:pt>
                      <c:pt idx="1263">
                        <c:v>0.93774000000000002</c:v>
                      </c:pt>
                      <c:pt idx="1264">
                        <c:v>0.93718999999999997</c:v>
                      </c:pt>
                      <c:pt idx="1265">
                        <c:v>0.93769000000000002</c:v>
                      </c:pt>
                      <c:pt idx="1266">
                        <c:v>0.93998000000000004</c:v>
                      </c:pt>
                      <c:pt idx="1267">
                        <c:v>0.94103999999999999</c:v>
                      </c:pt>
                      <c:pt idx="1268">
                        <c:v>0.93905000000000005</c:v>
                      </c:pt>
                      <c:pt idx="1269">
                        <c:v>0.93716999999999995</c:v>
                      </c:pt>
                      <c:pt idx="1270">
                        <c:v>0.93647999999999998</c:v>
                      </c:pt>
                      <c:pt idx="1271">
                        <c:v>0.93701000000000001</c:v>
                      </c:pt>
                      <c:pt idx="1272">
                        <c:v>0.93725000000000003</c:v>
                      </c:pt>
                      <c:pt idx="1273">
                        <c:v>0.93564999999999998</c:v>
                      </c:pt>
                      <c:pt idx="1274">
                        <c:v>0.93689</c:v>
                      </c:pt>
                      <c:pt idx="1275">
                        <c:v>0.93488000000000004</c:v>
                      </c:pt>
                      <c:pt idx="1276">
                        <c:v>0.93315000000000003</c:v>
                      </c:pt>
                      <c:pt idx="1277">
                        <c:v>0.93247999999999998</c:v>
                      </c:pt>
                      <c:pt idx="1278">
                        <c:v>0.93142999999999998</c:v>
                      </c:pt>
                      <c:pt idx="1279">
                        <c:v>0.93149999999999999</c:v>
                      </c:pt>
                      <c:pt idx="1280">
                        <c:v>0.93242000000000003</c:v>
                      </c:pt>
                      <c:pt idx="1281">
                        <c:v>0.93135999999999997</c:v>
                      </c:pt>
                      <c:pt idx="1282">
                        <c:v>0.93193000000000004</c:v>
                      </c:pt>
                      <c:pt idx="1283">
                        <c:v>0.93171000000000004</c:v>
                      </c:pt>
                      <c:pt idx="1284">
                        <c:v>0.93083000000000005</c:v>
                      </c:pt>
                      <c:pt idx="1285">
                        <c:v>0.93228</c:v>
                      </c:pt>
                      <c:pt idx="1286">
                        <c:v>0.92903000000000002</c:v>
                      </c:pt>
                      <c:pt idx="1287">
                        <c:v>0.92506999999999995</c:v>
                      </c:pt>
                      <c:pt idx="1288">
                        <c:v>0.91947000000000001</c:v>
                      </c:pt>
                      <c:pt idx="1289">
                        <c:v>0.91712000000000005</c:v>
                      </c:pt>
                      <c:pt idx="1290">
                        <c:v>0.91822999999999999</c:v>
                      </c:pt>
                      <c:pt idx="1291">
                        <c:v>0.91669</c:v>
                      </c:pt>
                      <c:pt idx="1292">
                        <c:v>0.91296999999999995</c:v>
                      </c:pt>
                      <c:pt idx="1293">
                        <c:v>0.91241000000000005</c:v>
                      </c:pt>
                      <c:pt idx="1294">
                        <c:v>0.91191999999999995</c:v>
                      </c:pt>
                      <c:pt idx="1295">
                        <c:v>0.91515000000000002</c:v>
                      </c:pt>
                      <c:pt idx="1296">
                        <c:v>0.91322999999999999</c:v>
                      </c:pt>
                      <c:pt idx="1297">
                        <c:v>0.91315999999999997</c:v>
                      </c:pt>
                      <c:pt idx="1298">
                        <c:v>0.91315999999999997</c:v>
                      </c:pt>
                      <c:pt idx="1299">
                        <c:v>0.91315999999999997</c:v>
                      </c:pt>
                      <c:pt idx="1300">
                        <c:v>0.91315999999999997</c:v>
                      </c:pt>
                      <c:pt idx="1301">
                        <c:v>0.91452</c:v>
                      </c:pt>
                      <c:pt idx="1302">
                        <c:v>0.91476000000000002</c:v>
                      </c:pt>
                      <c:pt idx="1303">
                        <c:v>0.91476000000000002</c:v>
                      </c:pt>
                    </c:numCache>
                  </c:numRef>
                </c:val>
                <c:smooth val="0"/>
                <c:extLst>
                  <c:ext xmlns:c16="http://schemas.microsoft.com/office/drawing/2014/chart" uri="{C3380CC4-5D6E-409C-BE32-E72D297353CC}">
                    <c16:uniqueId val="{0000000E-6353-45A4-A2C9-46AD4CA61480}"/>
                  </c:ext>
                </c:extLst>
              </c15:ser>
            </c15:filteredLineSeries>
          </c:ext>
        </c:extLst>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1"/>
        <c:lblOffset val="100"/>
        <c:baseTimeUnit val="days"/>
        <c:majorUnit val="1"/>
        <c:majorTimeUnit val="years"/>
      </c:dateAx>
      <c:valAx>
        <c:axId val="81242368"/>
        <c:scaling>
          <c:orientation val="minMax"/>
          <c:min val="8"/>
        </c:scaling>
        <c:delete val="0"/>
        <c:axPos val="l"/>
        <c:numFmt formatCode="General"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valAx>
        <c:axId val="976759472"/>
        <c:scaling>
          <c:orientation val="minMax"/>
          <c:min val="0.85000000000000009"/>
        </c:scaling>
        <c:delete val="1"/>
        <c:axPos val="r"/>
        <c:numFmt formatCode="General" sourceLinked="1"/>
        <c:majorTickMark val="out"/>
        <c:minorTickMark val="none"/>
        <c:tickLblPos val="nextTo"/>
        <c:crossAx val="976754792"/>
        <c:crosses val="max"/>
        <c:crossBetween val="between"/>
      </c:valAx>
      <c:catAx>
        <c:axId val="976754792"/>
        <c:scaling>
          <c:orientation val="minMax"/>
        </c:scaling>
        <c:delete val="1"/>
        <c:axPos val="b"/>
        <c:majorTickMark val="out"/>
        <c:minorTickMark val="none"/>
        <c:tickLblPos val="nextTo"/>
        <c:crossAx val="976759472"/>
        <c:crosses val="autoZero"/>
        <c:auto val="1"/>
        <c:lblAlgn val="ctr"/>
        <c:lblOffset val="100"/>
        <c:noMultiLvlLbl val="0"/>
      </c:catAx>
      <c:spPr>
        <a:noFill/>
        <a:ln w="3175">
          <a:solidFill>
            <a:srgbClr val="000000"/>
          </a:solidFill>
          <a:prstDash val="solid"/>
        </a:ln>
      </c:spPr>
    </c:plotArea>
    <c:legend>
      <c:legendPos val="l"/>
      <c:layout>
        <c:manualLayout>
          <c:xMode val="edge"/>
          <c:yMode val="edge"/>
          <c:x val="0.10852976089537053"/>
          <c:y val="8.649062738125475E-2"/>
          <c:w val="0.23004971165105975"/>
          <c:h val="0.21798608077216156"/>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2"/>
          <c:order val="2"/>
          <c:tx>
            <c:strRef>
              <c:f>Statsformat!$D$8</c:f>
              <c:strCache>
                <c:ptCount val="1"/>
                <c:pt idx="0">
                  <c:v>Utestående volym realskuld</c:v>
                </c:pt>
              </c:strCache>
            </c:strRef>
          </c:tx>
          <c:marker>
            <c:symbol val="none"/>
          </c:marker>
          <c:cat>
            <c:numRef>
              <c:f>Statsformat!$A$9:$A$68</c:f>
              <c:numCache>
                <c:formatCode>m/d/yyyy</c:formatCode>
                <c:ptCount val="60"/>
                <c:pt idx="0">
                  <c:v>44225</c:v>
                </c:pt>
                <c:pt idx="1">
                  <c:v>44253</c:v>
                </c:pt>
                <c:pt idx="2">
                  <c:v>44286</c:v>
                </c:pt>
                <c:pt idx="3">
                  <c:v>44316</c:v>
                </c:pt>
                <c:pt idx="4">
                  <c:v>44347</c:v>
                </c:pt>
                <c:pt idx="5">
                  <c:v>44377</c:v>
                </c:pt>
                <c:pt idx="6">
                  <c:v>44407</c:v>
                </c:pt>
                <c:pt idx="7">
                  <c:v>44439</c:v>
                </c:pt>
                <c:pt idx="8">
                  <c:v>44469</c:v>
                </c:pt>
                <c:pt idx="9">
                  <c:v>44498</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45322</c:v>
                </c:pt>
                <c:pt idx="37">
                  <c:v>45351</c:v>
                </c:pt>
                <c:pt idx="38">
                  <c:v>45379</c:v>
                </c:pt>
                <c:pt idx="39">
                  <c:v>45412</c:v>
                </c:pt>
                <c:pt idx="40">
                  <c:v>45443</c:v>
                </c:pt>
                <c:pt idx="41">
                  <c:v>45471</c:v>
                </c:pt>
                <c:pt idx="42">
                  <c:v>45504</c:v>
                </c:pt>
                <c:pt idx="43">
                  <c:v>45534</c:v>
                </c:pt>
                <c:pt idx="44">
                  <c:v>45565</c:v>
                </c:pt>
                <c:pt idx="45">
                  <c:v>45596</c:v>
                </c:pt>
                <c:pt idx="46">
                  <c:v>45625</c:v>
                </c:pt>
                <c:pt idx="47">
                  <c:v>45656</c:v>
                </c:pt>
                <c:pt idx="48">
                  <c:v>45688</c:v>
                </c:pt>
                <c:pt idx="49">
                  <c:v>45716</c:v>
                </c:pt>
                <c:pt idx="50">
                  <c:v>45747</c:v>
                </c:pt>
                <c:pt idx="51">
                  <c:v>45777</c:v>
                </c:pt>
                <c:pt idx="52">
                  <c:v>45807</c:v>
                </c:pt>
                <c:pt idx="53">
                  <c:v>45838</c:v>
                </c:pt>
                <c:pt idx="54">
                  <c:v>45869</c:v>
                </c:pt>
                <c:pt idx="55">
                  <c:v>45898</c:v>
                </c:pt>
                <c:pt idx="56">
                  <c:v>45930</c:v>
                </c:pt>
                <c:pt idx="57">
                  <c:v>45961</c:v>
                </c:pt>
                <c:pt idx="58">
                  <c:v>45989</c:v>
                </c:pt>
                <c:pt idx="59">
                  <c:v>46021</c:v>
                </c:pt>
              </c:numCache>
            </c:numRef>
          </c:cat>
          <c:val>
            <c:numRef>
              <c:f>Statsformat!$D$9:$D$68</c:f>
              <c:numCache>
                <c:formatCode>General</c:formatCode>
                <c:ptCount val="60"/>
                <c:pt idx="0">
                  <c:v>163.86528999999999</c:v>
                </c:pt>
                <c:pt idx="1">
                  <c:v>167.37728999999999</c:v>
                </c:pt>
                <c:pt idx="2">
                  <c:v>165.92229</c:v>
                </c:pt>
                <c:pt idx="3">
                  <c:v>168.42229</c:v>
                </c:pt>
                <c:pt idx="4">
                  <c:v>169.28328999999999</c:v>
                </c:pt>
                <c:pt idx="5">
                  <c:v>170.59828999999999</c:v>
                </c:pt>
                <c:pt idx="6">
                  <c:v>170.85229000000001</c:v>
                </c:pt>
                <c:pt idx="7">
                  <c:v>173.07029</c:v>
                </c:pt>
                <c:pt idx="8">
                  <c:v>176.71229</c:v>
                </c:pt>
                <c:pt idx="9">
                  <c:v>179.48278999999999</c:v>
                </c:pt>
                <c:pt idx="10">
                  <c:v>182.26078999999999</c:v>
                </c:pt>
                <c:pt idx="11">
                  <c:v>182.28379000000001</c:v>
                </c:pt>
                <c:pt idx="12">
                  <c:v>182.66979000000001</c:v>
                </c:pt>
                <c:pt idx="13">
                  <c:v>184.54729</c:v>
                </c:pt>
                <c:pt idx="14">
                  <c:v>185.54729</c:v>
                </c:pt>
                <c:pt idx="15">
                  <c:v>186.04729</c:v>
                </c:pt>
                <c:pt idx="16">
                  <c:v>164.05229</c:v>
                </c:pt>
                <c:pt idx="17">
                  <c:v>164.55229</c:v>
                </c:pt>
                <c:pt idx="18">
                  <c:v>164.55229</c:v>
                </c:pt>
                <c:pt idx="19">
                  <c:v>164.83528999999999</c:v>
                </c:pt>
                <c:pt idx="20">
                  <c:v>166.47529</c:v>
                </c:pt>
                <c:pt idx="21">
                  <c:v>167.47529</c:v>
                </c:pt>
                <c:pt idx="22">
                  <c:v>168.41029</c:v>
                </c:pt>
                <c:pt idx="23">
                  <c:v>168.91029</c:v>
                </c:pt>
                <c:pt idx="24">
                  <c:v>169.41029</c:v>
                </c:pt>
                <c:pt idx="25">
                  <c:v>169.91029</c:v>
                </c:pt>
                <c:pt idx="26">
                  <c:v>170.91029</c:v>
                </c:pt>
                <c:pt idx="27">
                  <c:v>171.41029</c:v>
                </c:pt>
                <c:pt idx="28">
                  <c:v>171.91029</c:v>
                </c:pt>
                <c:pt idx="29">
                  <c:v>172.91029</c:v>
                </c:pt>
                <c:pt idx="30">
                  <c:v>172.91029</c:v>
                </c:pt>
                <c:pt idx="31">
                  <c:v>173.91029</c:v>
                </c:pt>
                <c:pt idx="32">
                  <c:v>174.91029</c:v>
                </c:pt>
                <c:pt idx="33">
                  <c:v>175.91029</c:v>
                </c:pt>
                <c:pt idx="34">
                  <c:v>176.91029</c:v>
                </c:pt>
                <c:pt idx="35">
                  <c:v>177.41029</c:v>
                </c:pt>
                <c:pt idx="36">
                  <c:v>177.41029</c:v>
                </c:pt>
                <c:pt idx="37">
                  <c:v>178.41029</c:v>
                </c:pt>
                <c:pt idx="38">
                  <c:v>179.53228999999999</c:v>
                </c:pt>
                <c:pt idx="39">
                  <c:v>180.03228999999999</c:v>
                </c:pt>
                <c:pt idx="40">
                  <c:v>181.53228999999999</c:v>
                </c:pt>
                <c:pt idx="41">
                  <c:v>182.03228999999999</c:v>
                </c:pt>
                <c:pt idx="42">
                  <c:v>181.91729000000001</c:v>
                </c:pt>
                <c:pt idx="43">
                  <c:v>182.41729000000001</c:v>
                </c:pt>
                <c:pt idx="44">
                  <c:v>183.41729000000001</c:v>
                </c:pt>
                <c:pt idx="45">
                  <c:v>184.41729000000001</c:v>
                </c:pt>
                <c:pt idx="46">
                  <c:v>185.41729000000001</c:v>
                </c:pt>
                <c:pt idx="47">
                  <c:v>185.91729000000001</c:v>
                </c:pt>
                <c:pt idx="48">
                  <c:v>185.91729000000001</c:v>
                </c:pt>
                <c:pt idx="49">
                  <c:v>186.23129</c:v>
                </c:pt>
                <c:pt idx="50">
                  <c:v>186.98729</c:v>
                </c:pt>
                <c:pt idx="51">
                  <c:v>186.98729</c:v>
                </c:pt>
                <c:pt idx="52">
                  <c:v>154.73829000000001</c:v>
                </c:pt>
                <c:pt idx="53">
                  <c:v>155.48829000000001</c:v>
                </c:pt>
                <c:pt idx="54">
                  <c:v>155.48829000000001</c:v>
                </c:pt>
                <c:pt idx="55">
                  <c:v>156.23829000000001</c:v>
                </c:pt>
                <c:pt idx="56">
                  <c:v>156.50429</c:v>
                </c:pt>
                <c:pt idx="57">
                  <c:v>157.27229</c:v>
                </c:pt>
                <c:pt idx="58">
                  <c:v>156.79729</c:v>
                </c:pt>
                <c:pt idx="59">
                  <c:v>157.54729</c:v>
                </c:pt>
              </c:numCache>
            </c:numRef>
          </c:val>
          <c:smooth val="0"/>
          <c:extLst>
            <c:ext xmlns:c16="http://schemas.microsoft.com/office/drawing/2014/chart" uri="{C3380CC4-5D6E-409C-BE32-E72D297353CC}">
              <c16:uniqueId val="{00000000-0899-424C-92DA-6AFF33E603AA}"/>
            </c:ext>
          </c:extLst>
        </c:ser>
        <c:dLbls>
          <c:showLegendKey val="0"/>
          <c:showVal val="0"/>
          <c:showCatName val="0"/>
          <c:showSerName val="0"/>
          <c:showPercent val="0"/>
          <c:showBubbleSize val="0"/>
        </c:dLbls>
        <c:marker val="1"/>
        <c:smooth val="0"/>
        <c:axId val="81240832"/>
        <c:axId val="81242368"/>
      </c:lineChart>
      <c:lineChart>
        <c:grouping val="standard"/>
        <c:varyColors val="0"/>
        <c:ser>
          <c:idx val="0"/>
          <c:order val="0"/>
          <c:tx>
            <c:strRef>
              <c:f>Statsformat!$B$8</c:f>
              <c:strCache>
                <c:ptCount val="1"/>
                <c:pt idx="0">
                  <c:v>Andel realskuld (höger axel)</c:v>
                </c:pt>
              </c:strCache>
            </c:strRef>
          </c:tx>
          <c:spPr>
            <a:ln w="15875">
              <a:solidFill>
                <a:srgbClr val="000000"/>
              </a:solidFill>
              <a:prstDash val="solid"/>
            </a:ln>
          </c:spPr>
          <c:marker>
            <c:symbol val="none"/>
          </c:marker>
          <c:dPt>
            <c:idx val="0"/>
            <c:bubble3D val="0"/>
            <c:extLst>
              <c:ext xmlns:c16="http://schemas.microsoft.com/office/drawing/2014/chart" uri="{C3380CC4-5D6E-409C-BE32-E72D297353CC}">
                <c16:uniqueId val="{00000001-0899-424C-92DA-6AFF33E603AA}"/>
              </c:ext>
            </c:extLst>
          </c:dPt>
          <c:dPt>
            <c:idx val="1"/>
            <c:bubble3D val="0"/>
            <c:extLst>
              <c:ext xmlns:c16="http://schemas.microsoft.com/office/drawing/2014/chart" uri="{C3380CC4-5D6E-409C-BE32-E72D297353CC}">
                <c16:uniqueId val="{00000002-0899-424C-92DA-6AFF33E603AA}"/>
              </c:ext>
            </c:extLst>
          </c:dPt>
          <c:dPt>
            <c:idx val="2"/>
            <c:bubble3D val="0"/>
            <c:extLst>
              <c:ext xmlns:c16="http://schemas.microsoft.com/office/drawing/2014/chart" uri="{C3380CC4-5D6E-409C-BE32-E72D297353CC}">
                <c16:uniqueId val="{00000003-0899-424C-92DA-6AFF33E603AA}"/>
              </c:ext>
            </c:extLst>
          </c:dPt>
          <c:dPt>
            <c:idx val="3"/>
            <c:bubble3D val="0"/>
            <c:extLst>
              <c:ext xmlns:c16="http://schemas.microsoft.com/office/drawing/2014/chart" uri="{C3380CC4-5D6E-409C-BE32-E72D297353CC}">
                <c16:uniqueId val="{00000004-0899-424C-92DA-6AFF33E603AA}"/>
              </c:ext>
            </c:extLst>
          </c:dPt>
          <c:dPt>
            <c:idx val="4"/>
            <c:bubble3D val="0"/>
            <c:extLst>
              <c:ext xmlns:c16="http://schemas.microsoft.com/office/drawing/2014/chart" uri="{C3380CC4-5D6E-409C-BE32-E72D297353CC}">
                <c16:uniqueId val="{00000005-0899-424C-92DA-6AFF33E603AA}"/>
              </c:ext>
            </c:extLst>
          </c:dPt>
          <c:dPt>
            <c:idx val="5"/>
            <c:bubble3D val="0"/>
            <c:extLst>
              <c:ext xmlns:c16="http://schemas.microsoft.com/office/drawing/2014/chart" uri="{C3380CC4-5D6E-409C-BE32-E72D297353CC}">
                <c16:uniqueId val="{00000006-0899-424C-92DA-6AFF33E603AA}"/>
              </c:ext>
            </c:extLst>
          </c:dPt>
          <c:dPt>
            <c:idx val="6"/>
            <c:bubble3D val="0"/>
            <c:extLst>
              <c:ext xmlns:c16="http://schemas.microsoft.com/office/drawing/2014/chart" uri="{C3380CC4-5D6E-409C-BE32-E72D297353CC}">
                <c16:uniqueId val="{00000007-0899-424C-92DA-6AFF33E603AA}"/>
              </c:ext>
            </c:extLst>
          </c:dPt>
          <c:dPt>
            <c:idx val="7"/>
            <c:bubble3D val="0"/>
            <c:extLst>
              <c:ext xmlns:c16="http://schemas.microsoft.com/office/drawing/2014/chart" uri="{C3380CC4-5D6E-409C-BE32-E72D297353CC}">
                <c16:uniqueId val="{00000008-0899-424C-92DA-6AFF33E603AA}"/>
              </c:ext>
            </c:extLst>
          </c:dPt>
          <c:dPt>
            <c:idx val="8"/>
            <c:bubble3D val="0"/>
            <c:extLst>
              <c:ext xmlns:c16="http://schemas.microsoft.com/office/drawing/2014/chart" uri="{C3380CC4-5D6E-409C-BE32-E72D297353CC}">
                <c16:uniqueId val="{00000009-0899-424C-92DA-6AFF33E603AA}"/>
              </c:ext>
            </c:extLst>
          </c:dPt>
          <c:dPt>
            <c:idx val="9"/>
            <c:bubble3D val="0"/>
            <c:extLst>
              <c:ext xmlns:c16="http://schemas.microsoft.com/office/drawing/2014/chart" uri="{C3380CC4-5D6E-409C-BE32-E72D297353CC}">
                <c16:uniqueId val="{0000000A-0899-424C-92DA-6AFF33E603AA}"/>
              </c:ext>
            </c:extLst>
          </c:dPt>
          <c:dPt>
            <c:idx val="10"/>
            <c:bubble3D val="0"/>
            <c:extLst>
              <c:ext xmlns:c16="http://schemas.microsoft.com/office/drawing/2014/chart" uri="{C3380CC4-5D6E-409C-BE32-E72D297353CC}">
                <c16:uniqueId val="{0000000B-0899-424C-92DA-6AFF33E603AA}"/>
              </c:ext>
            </c:extLst>
          </c:dPt>
          <c:cat>
            <c:numRef>
              <c:f>Statsformat!$A$9:$A$68</c:f>
              <c:numCache>
                <c:formatCode>m/d/yyyy</c:formatCode>
                <c:ptCount val="60"/>
                <c:pt idx="0">
                  <c:v>44225</c:v>
                </c:pt>
                <c:pt idx="1">
                  <c:v>44253</c:v>
                </c:pt>
                <c:pt idx="2">
                  <c:v>44286</c:v>
                </c:pt>
                <c:pt idx="3">
                  <c:v>44316</c:v>
                </c:pt>
                <c:pt idx="4">
                  <c:v>44347</c:v>
                </c:pt>
                <c:pt idx="5">
                  <c:v>44377</c:v>
                </c:pt>
                <c:pt idx="6">
                  <c:v>44407</c:v>
                </c:pt>
                <c:pt idx="7">
                  <c:v>44439</c:v>
                </c:pt>
                <c:pt idx="8">
                  <c:v>44469</c:v>
                </c:pt>
                <c:pt idx="9">
                  <c:v>44498</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45322</c:v>
                </c:pt>
                <c:pt idx="37">
                  <c:v>45351</c:v>
                </c:pt>
                <c:pt idx="38">
                  <c:v>45379</c:v>
                </c:pt>
                <c:pt idx="39">
                  <c:v>45412</c:v>
                </c:pt>
                <c:pt idx="40">
                  <c:v>45443</c:v>
                </c:pt>
                <c:pt idx="41">
                  <c:v>45471</c:v>
                </c:pt>
                <c:pt idx="42">
                  <c:v>45504</c:v>
                </c:pt>
                <c:pt idx="43">
                  <c:v>45534</c:v>
                </c:pt>
                <c:pt idx="44">
                  <c:v>45565</c:v>
                </c:pt>
                <c:pt idx="45">
                  <c:v>45596</c:v>
                </c:pt>
                <c:pt idx="46">
                  <c:v>45625</c:v>
                </c:pt>
                <c:pt idx="47">
                  <c:v>45656</c:v>
                </c:pt>
                <c:pt idx="48">
                  <c:v>45688</c:v>
                </c:pt>
                <c:pt idx="49">
                  <c:v>45716</c:v>
                </c:pt>
                <c:pt idx="50">
                  <c:v>45747</c:v>
                </c:pt>
                <c:pt idx="51">
                  <c:v>45777</c:v>
                </c:pt>
                <c:pt idx="52">
                  <c:v>45807</c:v>
                </c:pt>
                <c:pt idx="53">
                  <c:v>45838</c:v>
                </c:pt>
                <c:pt idx="54">
                  <c:v>45869</c:v>
                </c:pt>
                <c:pt idx="55">
                  <c:v>45898</c:v>
                </c:pt>
                <c:pt idx="56">
                  <c:v>45930</c:v>
                </c:pt>
                <c:pt idx="57">
                  <c:v>45961</c:v>
                </c:pt>
                <c:pt idx="58">
                  <c:v>45989</c:v>
                </c:pt>
                <c:pt idx="59">
                  <c:v>46021</c:v>
                </c:pt>
              </c:numCache>
            </c:numRef>
          </c:cat>
          <c:val>
            <c:numRef>
              <c:f>Statsformat!$B$9:$B$68</c:f>
              <c:numCache>
                <c:formatCode>0.00%</c:formatCode>
                <c:ptCount val="60"/>
                <c:pt idx="0">
                  <c:v>0.1679825973965148</c:v>
                </c:pt>
                <c:pt idx="1">
                  <c:v>0.18011579529413807</c:v>
                </c:pt>
                <c:pt idx="2">
                  <c:v>0.18359937724581116</c:v>
                </c:pt>
                <c:pt idx="3">
                  <c:v>0.17890305954743183</c:v>
                </c:pt>
                <c:pt idx="4">
                  <c:v>0.18514570998451468</c:v>
                </c:pt>
                <c:pt idx="5">
                  <c:v>0.18356048121244484</c:v>
                </c:pt>
                <c:pt idx="6">
                  <c:v>0.18409058608609796</c:v>
                </c:pt>
                <c:pt idx="7">
                  <c:v>0.1895688117446882</c:v>
                </c:pt>
                <c:pt idx="8">
                  <c:v>0.1983409910745543</c:v>
                </c:pt>
                <c:pt idx="9">
                  <c:v>0.19890754890483245</c:v>
                </c:pt>
                <c:pt idx="10">
                  <c:v>0.20692661280618155</c:v>
                </c:pt>
                <c:pt idx="11">
                  <c:v>0.19924370747415179</c:v>
                </c:pt>
                <c:pt idx="12">
                  <c:v>0.19600277381224429</c:v>
                </c:pt>
                <c:pt idx="13">
                  <c:v>0.20808583827986865</c:v>
                </c:pt>
                <c:pt idx="14">
                  <c:v>0.21644109228073333</c:v>
                </c:pt>
                <c:pt idx="15">
                  <c:v>0.21408507007669678</c:v>
                </c:pt>
                <c:pt idx="16">
                  <c:v>0.22409921810592745</c:v>
                </c:pt>
                <c:pt idx="17">
                  <c:v>0.20371334815152431</c:v>
                </c:pt>
                <c:pt idx="18">
                  <c:v>0.20467485880604605</c:v>
                </c:pt>
                <c:pt idx="19">
                  <c:v>0.2130138159424638</c:v>
                </c:pt>
                <c:pt idx="20">
                  <c:v>0.22253537539345747</c:v>
                </c:pt>
                <c:pt idx="21">
                  <c:v>0.22201193345164252</c:v>
                </c:pt>
                <c:pt idx="22">
                  <c:v>0.23263749718894267</c:v>
                </c:pt>
                <c:pt idx="23">
                  <c:v>0.22451555742107293</c:v>
                </c:pt>
                <c:pt idx="24">
                  <c:v>0.21280964590327325</c:v>
                </c:pt>
                <c:pt idx="25">
                  <c:v>0.22668435367389045</c:v>
                </c:pt>
                <c:pt idx="26">
                  <c:v>0.23057294127417699</c:v>
                </c:pt>
                <c:pt idx="27">
                  <c:v>0.22399828605532396</c:v>
                </c:pt>
                <c:pt idx="28">
                  <c:v>0.23406799103379344</c:v>
                </c:pt>
                <c:pt idx="29">
                  <c:v>0.23247102580912787</c:v>
                </c:pt>
                <c:pt idx="30">
                  <c:v>0.23090402172380242</c:v>
                </c:pt>
                <c:pt idx="31">
                  <c:v>0.23768309950338626</c:v>
                </c:pt>
                <c:pt idx="32">
                  <c:v>0.24455070951639862</c:v>
                </c:pt>
                <c:pt idx="33">
                  <c:v>0.24460858951773226</c:v>
                </c:pt>
                <c:pt idx="34">
                  <c:v>0.25419474323056673</c:v>
                </c:pt>
                <c:pt idx="35">
                  <c:v>0.23951476949554595</c:v>
                </c:pt>
                <c:pt idx="36">
                  <c:v>0.22658395810026746</c:v>
                </c:pt>
                <c:pt idx="37">
                  <c:v>0.23890985118811628</c:v>
                </c:pt>
                <c:pt idx="38">
                  <c:v>0.24621459359390738</c:v>
                </c:pt>
                <c:pt idx="39">
                  <c:v>0.23795977098846738</c:v>
                </c:pt>
                <c:pt idx="40">
                  <c:v>0.24716538216305167</c:v>
                </c:pt>
                <c:pt idx="41">
                  <c:v>0.24264032898255666</c:v>
                </c:pt>
                <c:pt idx="42">
                  <c:v>0.23945809003749688</c:v>
                </c:pt>
                <c:pt idx="43">
                  <c:v>0.24519182834192443</c:v>
                </c:pt>
                <c:pt idx="44">
                  <c:v>0.25133616176630785</c:v>
                </c:pt>
                <c:pt idx="45">
                  <c:v>0.2437788407589736</c:v>
                </c:pt>
                <c:pt idx="46">
                  <c:v>0.24728403312864577</c:v>
                </c:pt>
                <c:pt idx="47">
                  <c:v>0.23178815387460289</c:v>
                </c:pt>
                <c:pt idx="48">
                  <c:v>0.21921686180830616</c:v>
                </c:pt>
                <c:pt idx="49">
                  <c:v>0.22974735887759207</c:v>
                </c:pt>
                <c:pt idx="50">
                  <c:v>0.23614157605217623</c:v>
                </c:pt>
                <c:pt idx="51">
                  <c:v>0.22718021255435414</c:v>
                </c:pt>
                <c:pt idx="52">
                  <c:v>0.23025626812686167</c:v>
                </c:pt>
                <c:pt idx="53">
                  <c:v>0.18867236902364459</c:v>
                </c:pt>
                <c:pt idx="54">
                  <c:v>0.18412028130004848</c:v>
                </c:pt>
                <c:pt idx="55">
                  <c:v>0.19112380625034031</c:v>
                </c:pt>
                <c:pt idx="56">
                  <c:v>0.1972084517186897</c:v>
                </c:pt>
                <c:pt idx="57">
                  <c:v>0.19574240163392134</c:v>
                </c:pt>
                <c:pt idx="58">
                  <c:v>0.19542163368849974</c:v>
                </c:pt>
                <c:pt idx="59">
                  <c:v>0.18201559852436167</c:v>
                </c:pt>
              </c:numCache>
            </c:numRef>
          </c:val>
          <c:smooth val="0"/>
          <c:extLst>
            <c:ext xmlns:c16="http://schemas.microsoft.com/office/drawing/2014/chart" uri="{C3380CC4-5D6E-409C-BE32-E72D297353CC}">
              <c16:uniqueId val="{0000000C-0899-424C-92DA-6AFF33E603AA}"/>
            </c:ext>
          </c:extLst>
        </c:ser>
        <c:ser>
          <c:idx val="1"/>
          <c:order val="1"/>
          <c:tx>
            <c:strRef>
              <c:f>Statsformat!$C$8</c:f>
              <c:strCache>
                <c:ptCount val="1"/>
                <c:pt idx="0">
                  <c:v>Riktvärde (höger axel)</c:v>
                </c:pt>
              </c:strCache>
            </c:strRef>
          </c:tx>
          <c:spPr>
            <a:ln w="19050">
              <a:solidFill>
                <a:srgbClr val="000000"/>
              </a:solidFill>
              <a:prstDash val="dash"/>
            </a:ln>
          </c:spPr>
          <c:marker>
            <c:symbol val="none"/>
          </c:marker>
          <c:cat>
            <c:numRef>
              <c:f>Statsformat!$A$9:$A$68</c:f>
              <c:numCache>
                <c:formatCode>m/d/yyyy</c:formatCode>
                <c:ptCount val="60"/>
                <c:pt idx="0">
                  <c:v>44225</c:v>
                </c:pt>
                <c:pt idx="1">
                  <c:v>44253</c:v>
                </c:pt>
                <c:pt idx="2">
                  <c:v>44286</c:v>
                </c:pt>
                <c:pt idx="3">
                  <c:v>44316</c:v>
                </c:pt>
                <c:pt idx="4">
                  <c:v>44347</c:v>
                </c:pt>
                <c:pt idx="5">
                  <c:v>44377</c:v>
                </c:pt>
                <c:pt idx="6">
                  <c:v>44407</c:v>
                </c:pt>
                <c:pt idx="7">
                  <c:v>44439</c:v>
                </c:pt>
                <c:pt idx="8">
                  <c:v>44469</c:v>
                </c:pt>
                <c:pt idx="9">
                  <c:v>44498</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45322</c:v>
                </c:pt>
                <c:pt idx="37">
                  <c:v>45351</c:v>
                </c:pt>
                <c:pt idx="38">
                  <c:v>45379</c:v>
                </c:pt>
                <c:pt idx="39">
                  <c:v>45412</c:v>
                </c:pt>
                <c:pt idx="40">
                  <c:v>45443</c:v>
                </c:pt>
                <c:pt idx="41">
                  <c:v>45471</c:v>
                </c:pt>
                <c:pt idx="42">
                  <c:v>45504</c:v>
                </c:pt>
                <c:pt idx="43">
                  <c:v>45534</c:v>
                </c:pt>
                <c:pt idx="44">
                  <c:v>45565</c:v>
                </c:pt>
                <c:pt idx="45">
                  <c:v>45596</c:v>
                </c:pt>
                <c:pt idx="46">
                  <c:v>45625</c:v>
                </c:pt>
                <c:pt idx="47">
                  <c:v>45656</c:v>
                </c:pt>
                <c:pt idx="48">
                  <c:v>45688</c:v>
                </c:pt>
                <c:pt idx="49">
                  <c:v>45716</c:v>
                </c:pt>
                <c:pt idx="50">
                  <c:v>45747</c:v>
                </c:pt>
                <c:pt idx="51">
                  <c:v>45777</c:v>
                </c:pt>
                <c:pt idx="52">
                  <c:v>45807</c:v>
                </c:pt>
                <c:pt idx="53">
                  <c:v>45838</c:v>
                </c:pt>
                <c:pt idx="54">
                  <c:v>45869</c:v>
                </c:pt>
                <c:pt idx="55">
                  <c:v>45898</c:v>
                </c:pt>
                <c:pt idx="56">
                  <c:v>45930</c:v>
                </c:pt>
                <c:pt idx="57">
                  <c:v>45961</c:v>
                </c:pt>
                <c:pt idx="58">
                  <c:v>45989</c:v>
                </c:pt>
                <c:pt idx="59">
                  <c:v>46021</c:v>
                </c:pt>
              </c:numCache>
            </c:numRef>
          </c:cat>
          <c:val>
            <c:numRef>
              <c:f>Statsformat!$C$9:$C$68</c:f>
              <c:numCache>
                <c:formatCode>0%</c:formatCode>
                <c:ptCount val="60"/>
                <c:pt idx="0">
                  <c:v>0.2</c:v>
                </c:pt>
                <c:pt idx="1">
                  <c:v>0.2</c:v>
                </c:pt>
                <c:pt idx="2">
                  <c:v>0.2</c:v>
                </c:pt>
                <c:pt idx="3">
                  <c:v>0.2</c:v>
                </c:pt>
                <c:pt idx="4">
                  <c:v>0.2</c:v>
                </c:pt>
                <c:pt idx="5">
                  <c:v>0.2</c:v>
                </c:pt>
                <c:pt idx="6">
                  <c:v>0.2</c:v>
                </c:pt>
                <c:pt idx="7">
                  <c:v>0.2</c:v>
                </c:pt>
                <c:pt idx="8">
                  <c:v>0.2</c:v>
                </c:pt>
                <c:pt idx="9">
                  <c:v>0.2</c:v>
                </c:pt>
                <c:pt idx="10">
                  <c:v>0.2</c:v>
                </c:pt>
                <c:pt idx="11">
                  <c:v>0.2</c:v>
                </c:pt>
                <c:pt idx="12">
                  <c:v>0.2</c:v>
                </c:pt>
                <c:pt idx="13">
                  <c:v>0.2</c:v>
                </c:pt>
                <c:pt idx="14">
                  <c:v>0.2</c:v>
                </c:pt>
                <c:pt idx="15">
                  <c:v>0.2</c:v>
                </c:pt>
                <c:pt idx="16">
                  <c:v>0.2</c:v>
                </c:pt>
                <c:pt idx="17">
                  <c:v>0.2</c:v>
                </c:pt>
                <c:pt idx="18">
                  <c:v>0.2</c:v>
                </c:pt>
                <c:pt idx="19">
                  <c:v>0.2</c:v>
                </c:pt>
                <c:pt idx="20">
                  <c:v>0.2</c:v>
                </c:pt>
                <c:pt idx="21">
                  <c:v>0.2</c:v>
                </c:pt>
                <c:pt idx="22">
                  <c:v>0.2</c:v>
                </c:pt>
                <c:pt idx="23">
                  <c:v>0.2</c:v>
                </c:pt>
                <c:pt idx="24">
                  <c:v>0.2</c:v>
                </c:pt>
                <c:pt idx="25">
                  <c:v>0.2</c:v>
                </c:pt>
                <c:pt idx="26">
                  <c:v>0.2</c:v>
                </c:pt>
                <c:pt idx="27">
                  <c:v>0.2</c:v>
                </c:pt>
                <c:pt idx="28">
                  <c:v>0.2</c:v>
                </c:pt>
                <c:pt idx="29">
                  <c:v>0.2</c:v>
                </c:pt>
                <c:pt idx="30">
                  <c:v>0.2</c:v>
                </c:pt>
                <c:pt idx="31">
                  <c:v>0.2</c:v>
                </c:pt>
                <c:pt idx="32">
                  <c:v>0.2</c:v>
                </c:pt>
                <c:pt idx="33">
                  <c:v>0.2</c:v>
                </c:pt>
                <c:pt idx="34">
                  <c:v>0.2</c:v>
                </c:pt>
                <c:pt idx="35">
                  <c:v>0.2</c:v>
                </c:pt>
                <c:pt idx="36">
                  <c:v>0.2</c:v>
                </c:pt>
                <c:pt idx="37">
                  <c:v>0.2</c:v>
                </c:pt>
                <c:pt idx="38">
                  <c:v>0.2</c:v>
                </c:pt>
                <c:pt idx="39">
                  <c:v>0.2</c:v>
                </c:pt>
                <c:pt idx="40">
                  <c:v>0.2</c:v>
                </c:pt>
                <c:pt idx="41">
                  <c:v>0.2</c:v>
                </c:pt>
                <c:pt idx="42">
                  <c:v>0.2</c:v>
                </c:pt>
                <c:pt idx="43">
                  <c:v>0.2</c:v>
                </c:pt>
                <c:pt idx="44">
                  <c:v>0.2</c:v>
                </c:pt>
                <c:pt idx="45">
                  <c:v>0.2</c:v>
                </c:pt>
                <c:pt idx="46">
                  <c:v>0.2</c:v>
                </c:pt>
                <c:pt idx="47">
                  <c:v>0.2</c:v>
                </c:pt>
              </c:numCache>
            </c:numRef>
          </c:val>
          <c:smooth val="0"/>
          <c:extLst>
            <c:ext xmlns:c16="http://schemas.microsoft.com/office/drawing/2014/chart" uri="{C3380CC4-5D6E-409C-BE32-E72D297353CC}">
              <c16:uniqueId val="{0000000D-0899-424C-92DA-6AFF33E603AA}"/>
            </c:ext>
          </c:extLst>
        </c:ser>
        <c:dLbls>
          <c:showLegendKey val="0"/>
          <c:showVal val="0"/>
          <c:showCatName val="0"/>
          <c:showSerName val="0"/>
          <c:showPercent val="0"/>
          <c:showBubbleSize val="0"/>
        </c:dLbls>
        <c:marker val="1"/>
        <c:smooth val="0"/>
        <c:axId val="194048671"/>
        <c:axId val="194049031"/>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0"/>
        <c:lblOffset val="100"/>
        <c:baseTimeUnit val="months"/>
        <c:majorUnit val="1"/>
        <c:majorTimeUnit val="years"/>
        <c:minorUnit val="12"/>
        <c:minorTimeUnit val="months"/>
      </c:dateAx>
      <c:valAx>
        <c:axId val="81242368"/>
        <c:scaling>
          <c:orientation val="minMax"/>
          <c:max val="300"/>
          <c:min val="80"/>
        </c:scaling>
        <c:delete val="0"/>
        <c:axPos val="l"/>
        <c:numFmt formatCode="General"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valAx>
        <c:axId val="194049031"/>
        <c:scaling>
          <c:orientation val="minMax"/>
        </c:scaling>
        <c:delete val="0"/>
        <c:axPos val="r"/>
        <c:numFmt formatCode="0%" sourceLinked="0"/>
        <c:majorTickMark val="out"/>
        <c:minorTickMark val="none"/>
        <c:tickLblPos val="nextTo"/>
        <c:crossAx val="194048671"/>
        <c:crosses val="max"/>
        <c:crossBetween val="between"/>
      </c:valAx>
      <c:dateAx>
        <c:axId val="194048671"/>
        <c:scaling>
          <c:orientation val="minMax"/>
        </c:scaling>
        <c:delete val="1"/>
        <c:axPos val="b"/>
        <c:numFmt formatCode="m/d/yyyy" sourceLinked="1"/>
        <c:majorTickMark val="out"/>
        <c:minorTickMark val="none"/>
        <c:tickLblPos val="nextTo"/>
        <c:crossAx val="194049031"/>
        <c:crosses val="autoZero"/>
        <c:auto val="1"/>
        <c:lblOffset val="100"/>
        <c:baseTimeUnit val="months"/>
      </c:dateAx>
      <c:spPr>
        <a:noFill/>
        <a:ln w="3175">
          <a:solidFill>
            <a:srgbClr val="000000"/>
          </a:solidFill>
          <a:prstDash val="solid"/>
        </a:ln>
      </c:spPr>
    </c:plotArea>
    <c:legend>
      <c:legendPos val="r"/>
      <c:layout>
        <c:manualLayout>
          <c:xMode val="edge"/>
          <c:yMode val="edge"/>
          <c:x val="0.10659817683888378"/>
          <c:y val="0.63070114300228597"/>
          <c:w val="0.38676011691518042"/>
          <c:h val="0.254051714503429"/>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0"/>
          <c:order val="0"/>
          <c:tx>
            <c:strRef>
              <c:f>Statsformat!$B$8</c:f>
              <c:strCache>
                <c:ptCount val="1"/>
                <c:pt idx="0">
                  <c:v>Valutaskuld till aktuell valutakurs, mdkr</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0-105C-4F0F-B569-AB1B0C5E893A}"/>
              </c:ext>
            </c:extLst>
          </c:dPt>
          <c:dPt>
            <c:idx val="1"/>
            <c:bubble3D val="0"/>
            <c:extLst>
              <c:ext xmlns:c16="http://schemas.microsoft.com/office/drawing/2014/chart" uri="{C3380CC4-5D6E-409C-BE32-E72D297353CC}">
                <c16:uniqueId val="{00000001-105C-4F0F-B569-AB1B0C5E893A}"/>
              </c:ext>
            </c:extLst>
          </c:dPt>
          <c:dPt>
            <c:idx val="2"/>
            <c:bubble3D val="0"/>
            <c:extLst>
              <c:ext xmlns:c16="http://schemas.microsoft.com/office/drawing/2014/chart" uri="{C3380CC4-5D6E-409C-BE32-E72D297353CC}">
                <c16:uniqueId val="{00000002-105C-4F0F-B569-AB1B0C5E893A}"/>
              </c:ext>
            </c:extLst>
          </c:dPt>
          <c:dPt>
            <c:idx val="3"/>
            <c:bubble3D val="0"/>
            <c:extLst>
              <c:ext xmlns:c16="http://schemas.microsoft.com/office/drawing/2014/chart" uri="{C3380CC4-5D6E-409C-BE32-E72D297353CC}">
                <c16:uniqueId val="{00000003-105C-4F0F-B569-AB1B0C5E893A}"/>
              </c:ext>
            </c:extLst>
          </c:dPt>
          <c:dPt>
            <c:idx val="4"/>
            <c:bubble3D val="0"/>
            <c:extLst>
              <c:ext xmlns:c16="http://schemas.microsoft.com/office/drawing/2014/chart" uri="{C3380CC4-5D6E-409C-BE32-E72D297353CC}">
                <c16:uniqueId val="{00000004-105C-4F0F-B569-AB1B0C5E893A}"/>
              </c:ext>
            </c:extLst>
          </c:dPt>
          <c:dPt>
            <c:idx val="5"/>
            <c:bubble3D val="0"/>
            <c:extLst>
              <c:ext xmlns:c16="http://schemas.microsoft.com/office/drawing/2014/chart" uri="{C3380CC4-5D6E-409C-BE32-E72D297353CC}">
                <c16:uniqueId val="{00000005-105C-4F0F-B569-AB1B0C5E893A}"/>
              </c:ext>
            </c:extLst>
          </c:dPt>
          <c:dPt>
            <c:idx val="6"/>
            <c:bubble3D val="0"/>
            <c:extLst>
              <c:ext xmlns:c16="http://schemas.microsoft.com/office/drawing/2014/chart" uri="{C3380CC4-5D6E-409C-BE32-E72D297353CC}">
                <c16:uniqueId val="{00000006-105C-4F0F-B569-AB1B0C5E893A}"/>
              </c:ext>
            </c:extLst>
          </c:dPt>
          <c:dPt>
            <c:idx val="7"/>
            <c:bubble3D val="0"/>
            <c:extLst>
              <c:ext xmlns:c16="http://schemas.microsoft.com/office/drawing/2014/chart" uri="{C3380CC4-5D6E-409C-BE32-E72D297353CC}">
                <c16:uniqueId val="{00000007-105C-4F0F-B569-AB1B0C5E893A}"/>
              </c:ext>
            </c:extLst>
          </c:dPt>
          <c:dPt>
            <c:idx val="8"/>
            <c:bubble3D val="0"/>
            <c:extLst>
              <c:ext xmlns:c16="http://schemas.microsoft.com/office/drawing/2014/chart" uri="{C3380CC4-5D6E-409C-BE32-E72D297353CC}">
                <c16:uniqueId val="{00000008-105C-4F0F-B569-AB1B0C5E893A}"/>
              </c:ext>
            </c:extLst>
          </c:dPt>
          <c:dPt>
            <c:idx val="9"/>
            <c:bubble3D val="0"/>
            <c:extLst>
              <c:ext xmlns:c16="http://schemas.microsoft.com/office/drawing/2014/chart" uri="{C3380CC4-5D6E-409C-BE32-E72D297353CC}">
                <c16:uniqueId val="{00000009-105C-4F0F-B569-AB1B0C5E893A}"/>
              </c:ext>
            </c:extLst>
          </c:dPt>
          <c:dPt>
            <c:idx val="10"/>
            <c:bubble3D val="0"/>
            <c:extLst>
              <c:ext xmlns:c16="http://schemas.microsoft.com/office/drawing/2014/chart" uri="{C3380CC4-5D6E-409C-BE32-E72D297353CC}">
                <c16:uniqueId val="{0000000A-105C-4F0F-B569-AB1B0C5E893A}"/>
              </c:ext>
            </c:extLst>
          </c:dPt>
          <c:cat>
            <c:numRef>
              <c:f>Statsformat!$A$9:$A$68</c:f>
              <c:numCache>
                <c:formatCode>m/d/yyyy</c:formatCode>
                <c:ptCount val="60"/>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numCache>
            </c:numRef>
          </c:cat>
          <c:val>
            <c:numRef>
              <c:f>Statsformat!$B$9:$B$68</c:f>
              <c:numCache>
                <c:formatCode>0</c:formatCode>
                <c:ptCount val="60"/>
                <c:pt idx="0">
                  <c:v>103.21</c:v>
                </c:pt>
                <c:pt idx="1">
                  <c:v>97.48</c:v>
                </c:pt>
                <c:pt idx="2">
                  <c:v>93.24</c:v>
                </c:pt>
                <c:pt idx="3">
                  <c:v>94.29</c:v>
                </c:pt>
                <c:pt idx="4">
                  <c:v>94.36</c:v>
                </c:pt>
                <c:pt idx="5">
                  <c:v>93.69</c:v>
                </c:pt>
                <c:pt idx="6">
                  <c:v>94.55</c:v>
                </c:pt>
                <c:pt idx="7">
                  <c:v>92.74</c:v>
                </c:pt>
                <c:pt idx="8">
                  <c:v>91.94</c:v>
                </c:pt>
                <c:pt idx="9">
                  <c:v>93.56</c:v>
                </c:pt>
                <c:pt idx="10">
                  <c:v>94.99</c:v>
                </c:pt>
                <c:pt idx="11">
                  <c:v>100.13</c:v>
                </c:pt>
                <c:pt idx="12">
                  <c:v>103.56</c:v>
                </c:pt>
                <c:pt idx="13">
                  <c:v>100.9</c:v>
                </c:pt>
                <c:pt idx="14">
                  <c:v>100.45</c:v>
                </c:pt>
                <c:pt idx="15">
                  <c:v>102.48</c:v>
                </c:pt>
                <c:pt idx="16">
                  <c:v>104.13</c:v>
                </c:pt>
                <c:pt idx="17">
                  <c:v>104.59</c:v>
                </c:pt>
                <c:pt idx="18">
                  <c:v>104.95</c:v>
                </c:pt>
                <c:pt idx="19">
                  <c:v>106.66</c:v>
                </c:pt>
                <c:pt idx="20">
                  <c:v>111.4</c:v>
                </c:pt>
                <c:pt idx="21">
                  <c:v>112.26</c:v>
                </c:pt>
                <c:pt idx="22">
                  <c:v>111.26</c:v>
                </c:pt>
                <c:pt idx="23">
                  <c:v>113.99</c:v>
                </c:pt>
                <c:pt idx="24">
                  <c:v>116.06</c:v>
                </c:pt>
                <c:pt idx="25">
                  <c:v>106.33</c:v>
                </c:pt>
                <c:pt idx="26">
                  <c:v>99.6</c:v>
                </c:pt>
                <c:pt idx="27">
                  <c:v>98.15</c:v>
                </c:pt>
                <c:pt idx="28">
                  <c:v>97</c:v>
                </c:pt>
                <c:pt idx="29">
                  <c:v>96.19</c:v>
                </c:pt>
                <c:pt idx="30">
                  <c:v>94.01</c:v>
                </c:pt>
                <c:pt idx="31">
                  <c:v>94.69</c:v>
                </c:pt>
                <c:pt idx="32">
                  <c:v>90.78</c:v>
                </c:pt>
                <c:pt idx="33">
                  <c:v>87.52</c:v>
                </c:pt>
                <c:pt idx="34">
                  <c:v>84.56</c:v>
                </c:pt>
                <c:pt idx="35">
                  <c:v>83.34</c:v>
                </c:pt>
                <c:pt idx="36">
                  <c:v>82.29</c:v>
                </c:pt>
                <c:pt idx="37">
                  <c:v>73.989999999999995</c:v>
                </c:pt>
                <c:pt idx="38">
                  <c:v>71.13</c:v>
                </c:pt>
                <c:pt idx="39">
                  <c:v>74.069999999999993</c:v>
                </c:pt>
                <c:pt idx="40">
                  <c:v>71.17</c:v>
                </c:pt>
                <c:pt idx="41">
                  <c:v>69.3</c:v>
                </c:pt>
                <c:pt idx="42">
                  <c:v>71.73</c:v>
                </c:pt>
                <c:pt idx="43">
                  <c:v>69.41</c:v>
                </c:pt>
                <c:pt idx="44">
                  <c:v>65.95</c:v>
                </c:pt>
                <c:pt idx="45">
                  <c:v>65.38</c:v>
                </c:pt>
                <c:pt idx="46">
                  <c:v>65.7</c:v>
                </c:pt>
                <c:pt idx="47">
                  <c:v>68.94</c:v>
                </c:pt>
                <c:pt idx="48">
                  <c:v>75.319999999999993</c:v>
                </c:pt>
                <c:pt idx="49">
                  <c:v>66.5</c:v>
                </c:pt>
                <c:pt idx="50">
                  <c:v>61.12</c:v>
                </c:pt>
                <c:pt idx="51">
                  <c:v>66.44</c:v>
                </c:pt>
                <c:pt idx="52">
                  <c:v>66.37</c:v>
                </c:pt>
                <c:pt idx="53">
                  <c:v>64.55</c:v>
                </c:pt>
                <c:pt idx="54">
                  <c:v>58.63</c:v>
                </c:pt>
                <c:pt idx="55">
                  <c:v>47.58</c:v>
                </c:pt>
                <c:pt idx="56">
                  <c:v>44.61</c:v>
                </c:pt>
                <c:pt idx="57">
                  <c:v>41.59</c:v>
                </c:pt>
                <c:pt idx="58">
                  <c:v>40.78</c:v>
                </c:pt>
                <c:pt idx="59">
                  <c:v>42.31</c:v>
                </c:pt>
              </c:numCache>
            </c:numRef>
          </c:val>
          <c:smooth val="0"/>
          <c:extLst>
            <c:ext xmlns:c16="http://schemas.microsoft.com/office/drawing/2014/chart" uri="{C3380CC4-5D6E-409C-BE32-E72D297353CC}">
              <c16:uniqueId val="{0000000B-105C-4F0F-B569-AB1B0C5E893A}"/>
            </c:ext>
          </c:extLst>
        </c:ser>
        <c:dLbls>
          <c:showLegendKey val="0"/>
          <c:showVal val="0"/>
          <c:showCatName val="0"/>
          <c:showSerName val="0"/>
          <c:showPercent val="0"/>
          <c:showBubbleSize val="0"/>
        </c:dLbls>
        <c:marker val="1"/>
        <c:smooth val="0"/>
        <c:axId val="81240832"/>
        <c:axId val="81242368"/>
      </c:lineChart>
      <c:lineChart>
        <c:grouping val="standard"/>
        <c:varyColors val="0"/>
        <c:ser>
          <c:idx val="1"/>
          <c:order val="1"/>
          <c:tx>
            <c:strRef>
              <c:f>Statsformat!$C$8</c:f>
              <c:strCache>
                <c:ptCount val="1"/>
                <c:pt idx="0">
                  <c:v>Valutaskuldens andel av statsskulden, %  (höger)</c:v>
                </c:pt>
              </c:strCache>
            </c:strRef>
          </c:tx>
          <c:spPr>
            <a:ln w="25400">
              <a:solidFill>
                <a:srgbClr val="000000"/>
              </a:solidFill>
              <a:prstDash val="solid"/>
            </a:ln>
          </c:spPr>
          <c:marker>
            <c:symbol val="none"/>
          </c:marker>
          <c:cat>
            <c:numRef>
              <c:f>Statsformat!$A$9:$A$68</c:f>
              <c:numCache>
                <c:formatCode>m/d/yyyy</c:formatCode>
                <c:ptCount val="60"/>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numCache>
            </c:numRef>
          </c:cat>
          <c:val>
            <c:numRef>
              <c:f>Statsformat!$C$9:$C$68</c:f>
              <c:numCache>
                <c:formatCode>0.00%</c:formatCode>
                <c:ptCount val="60"/>
                <c:pt idx="0">
                  <c:v>8.1261722092033459E-2</c:v>
                </c:pt>
                <c:pt idx="1">
                  <c:v>7.9792463448381853E-2</c:v>
                </c:pt>
                <c:pt idx="2">
                  <c:v>7.5242332107083448E-2</c:v>
                </c:pt>
                <c:pt idx="3">
                  <c:v>7.6914616512108736E-2</c:v>
                </c:pt>
                <c:pt idx="4">
                  <c:v>7.8657536074733317E-2</c:v>
                </c:pt>
                <c:pt idx="5">
                  <c:v>7.6379530605531806E-2</c:v>
                </c:pt>
                <c:pt idx="6">
                  <c:v>7.7877261897404237E-2</c:v>
                </c:pt>
                <c:pt idx="7">
                  <c:v>7.9093215300777064E-2</c:v>
                </c:pt>
                <c:pt idx="8">
                  <c:v>8.0687925570892896E-2</c:v>
                </c:pt>
                <c:pt idx="9">
                  <c:v>8.1605006547010472E-2</c:v>
                </c:pt>
                <c:pt idx="10">
                  <c:v>8.3586244836677398E-2</c:v>
                </c:pt>
                <c:pt idx="11">
                  <c:v>8.3146177325823675E-2</c:v>
                </c:pt>
                <c:pt idx="12">
                  <c:v>8.6077082381503509E-2</c:v>
                </c:pt>
                <c:pt idx="13">
                  <c:v>8.8493590515587028E-2</c:v>
                </c:pt>
                <c:pt idx="14">
                  <c:v>9.0560367208436771E-2</c:v>
                </c:pt>
                <c:pt idx="15">
                  <c:v>9.0492834882460918E-2</c:v>
                </c:pt>
                <c:pt idx="16">
                  <c:v>0.10073377455539972</c:v>
                </c:pt>
                <c:pt idx="17">
                  <c:v>9.5993847548818886E-2</c:v>
                </c:pt>
                <c:pt idx="18">
                  <c:v>9.7654540790177283E-2</c:v>
                </c:pt>
                <c:pt idx="19">
                  <c:v>9.9576758385241229E-2</c:v>
                </c:pt>
                <c:pt idx="20">
                  <c:v>0.10378526709398302</c:v>
                </c:pt>
                <c:pt idx="21">
                  <c:v>0.10757336424111665</c:v>
                </c:pt>
                <c:pt idx="22">
                  <c:v>0.10569939367197703</c:v>
                </c:pt>
                <c:pt idx="23">
                  <c:v>0.10432295081201801</c:v>
                </c:pt>
                <c:pt idx="24">
                  <c:v>0.10406081924118597</c:v>
                </c:pt>
                <c:pt idx="25">
                  <c:v>0.10354476215501762</c:v>
                </c:pt>
                <c:pt idx="26">
                  <c:v>9.4069127342637296E-2</c:v>
                </c:pt>
                <c:pt idx="27">
                  <c:v>9.6222177455746058E-2</c:v>
                </c:pt>
                <c:pt idx="28">
                  <c:v>9.8866642543584113E-2</c:v>
                </c:pt>
                <c:pt idx="29">
                  <c:v>9.4263801187875737E-2</c:v>
                </c:pt>
                <c:pt idx="30">
                  <c:v>9.3165215901225867E-2</c:v>
                </c:pt>
                <c:pt idx="31">
                  <c:v>9.7193627187983814E-2</c:v>
                </c:pt>
                <c:pt idx="32">
                  <c:v>9.311182473107045E-2</c:v>
                </c:pt>
                <c:pt idx="33">
                  <c:v>8.8601651205972465E-2</c:v>
                </c:pt>
                <c:pt idx="34">
                  <c:v>8.6366639425725047E-2</c:v>
                </c:pt>
                <c:pt idx="35">
                  <c:v>8.1104777433739061E-2</c:v>
                </c:pt>
                <c:pt idx="36">
                  <c:v>7.4615856428540364E-2</c:v>
                </c:pt>
                <c:pt idx="37">
                  <c:v>7.305205762581754E-2</c:v>
                </c:pt>
                <c:pt idx="38">
                  <c:v>6.9904937400305248E-2</c:v>
                </c:pt>
                <c:pt idx="39">
                  <c:v>7.1060623903510409E-2</c:v>
                </c:pt>
                <c:pt idx="40">
                  <c:v>7.0348757179857307E-2</c:v>
                </c:pt>
                <c:pt idx="41">
                  <c:v>6.5512086631168864E-2</c:v>
                </c:pt>
                <c:pt idx="42">
                  <c:v>6.8600789059362191E-2</c:v>
                </c:pt>
                <c:pt idx="43">
                  <c:v>6.8917617115903815E-2</c:v>
                </c:pt>
                <c:pt idx="44">
                  <c:v>6.3564405890336975E-2</c:v>
                </c:pt>
                <c:pt idx="45">
                  <c:v>6.1999501353841364E-2</c:v>
                </c:pt>
                <c:pt idx="46">
                  <c:v>6.2294155167193416E-2</c:v>
                </c:pt>
                <c:pt idx="47">
                  <c:v>5.9879179711100336E-2</c:v>
                </c:pt>
                <c:pt idx="48">
                  <c:v>6.407176134286259E-2</c:v>
                </c:pt>
                <c:pt idx="49">
                  <c:v>5.9919322807108967E-2</c:v>
                </c:pt>
                <c:pt idx="50">
                  <c:v>5.4843148270250934E-2</c:v>
                </c:pt>
                <c:pt idx="51">
                  <c:v>5.6421970936456262E-2</c:v>
                </c:pt>
                <c:pt idx="52">
                  <c:v>6.0022215117338268E-2</c:v>
                </c:pt>
                <c:pt idx="53">
                  <c:v>5.5100654677449207E-2</c:v>
                </c:pt>
                <c:pt idx="54">
                  <c:v>5.1127046096767839E-2</c:v>
                </c:pt>
                <c:pt idx="55">
                  <c:v>4.3193736288675656E-2</c:v>
                </c:pt>
                <c:pt idx="56">
                  <c:v>4.0427016954359615E-2</c:v>
                </c:pt>
                <c:pt idx="57">
                  <c:v>3.646449484278623E-2</c:v>
                </c:pt>
                <c:pt idx="58">
                  <c:v>3.3506001991495643E-2</c:v>
                </c:pt>
                <c:pt idx="59">
                  <c:v>3.4014589021582782E-2</c:v>
                </c:pt>
              </c:numCache>
            </c:numRef>
          </c:val>
          <c:smooth val="0"/>
          <c:extLst>
            <c:ext xmlns:c16="http://schemas.microsoft.com/office/drawing/2014/chart" uri="{C3380CC4-5D6E-409C-BE32-E72D297353CC}">
              <c16:uniqueId val="{0000000C-105C-4F0F-B569-AB1B0C5E893A}"/>
            </c:ext>
          </c:extLst>
        </c:ser>
        <c:dLbls>
          <c:showLegendKey val="0"/>
          <c:showVal val="0"/>
          <c:showCatName val="0"/>
          <c:showSerName val="0"/>
          <c:showPercent val="0"/>
          <c:showBubbleSize val="0"/>
        </c:dLbls>
        <c:marker val="1"/>
        <c:smooth val="0"/>
        <c:axId val="550376040"/>
        <c:axId val="550374600"/>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1"/>
        <c:lblOffset val="100"/>
        <c:baseTimeUnit val="months"/>
        <c:majorUnit val="1"/>
        <c:majorTimeUnit val="years"/>
        <c:minorUnit val="12"/>
        <c:minorTimeUnit val="months"/>
      </c:dateAx>
      <c:valAx>
        <c:axId val="81242368"/>
        <c:scaling>
          <c:orientation val="minMax"/>
          <c:max val="130"/>
          <c:min val="0"/>
        </c:scaling>
        <c:delete val="0"/>
        <c:axPos val="l"/>
        <c:numFmt formatCode="0"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valAx>
        <c:axId val="550374600"/>
        <c:scaling>
          <c:orientation val="minMax"/>
        </c:scaling>
        <c:delete val="0"/>
        <c:axPos val="r"/>
        <c:numFmt formatCode="0%" sourceLinked="0"/>
        <c:majorTickMark val="out"/>
        <c:minorTickMark val="none"/>
        <c:tickLblPos val="nextTo"/>
        <c:crossAx val="550376040"/>
        <c:crosses val="max"/>
        <c:crossBetween val="between"/>
      </c:valAx>
      <c:dateAx>
        <c:axId val="550376040"/>
        <c:scaling>
          <c:orientation val="minMax"/>
        </c:scaling>
        <c:delete val="1"/>
        <c:axPos val="b"/>
        <c:numFmt formatCode="m/d/yyyy" sourceLinked="1"/>
        <c:majorTickMark val="out"/>
        <c:minorTickMark val="none"/>
        <c:tickLblPos val="nextTo"/>
        <c:crossAx val="550374600"/>
        <c:crosses val="autoZero"/>
        <c:auto val="1"/>
        <c:lblOffset val="100"/>
        <c:baseTimeUnit val="months"/>
      </c:dateAx>
      <c:spPr>
        <a:noFill/>
        <a:ln w="3175">
          <a:solidFill>
            <a:srgbClr val="000000"/>
          </a:solidFill>
          <a:prstDash val="solid"/>
        </a:ln>
      </c:spPr>
    </c:plotArea>
    <c:legend>
      <c:legendPos val="tr"/>
      <c:layout>
        <c:manualLayout>
          <c:xMode val="edge"/>
          <c:yMode val="edge"/>
          <c:x val="0.22614061066684113"/>
          <c:y val="0.6338036068072137"/>
          <c:w val="0.55016764162746568"/>
          <c:h val="0.21240036231884057"/>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1669642857142858E-2"/>
          <c:y val="4.0608771135265703E-2"/>
          <c:w val="0.88324131944444439"/>
          <c:h val="0.89180706521739128"/>
        </c:manualLayout>
      </c:layout>
      <c:lineChart>
        <c:grouping val="standard"/>
        <c:varyColors val="0"/>
        <c:ser>
          <c:idx val="0"/>
          <c:order val="0"/>
          <c:tx>
            <c:strRef>
              <c:f>Statsformat!$B$8</c:f>
              <c:strCache>
                <c:ptCount val="1"/>
                <c:pt idx="0">
                  <c:v>Hela statsskulden</c:v>
                </c:pt>
              </c:strCache>
            </c:strRef>
          </c:tx>
          <c:spPr>
            <a:ln w="15875">
              <a:solidFill>
                <a:srgbClr val="000000"/>
              </a:solidFill>
              <a:prstDash val="lgDash"/>
            </a:ln>
          </c:spPr>
          <c:marker>
            <c:symbol val="none"/>
          </c:marker>
          <c:dPt>
            <c:idx val="0"/>
            <c:bubble3D val="0"/>
            <c:extLst>
              <c:ext xmlns:c16="http://schemas.microsoft.com/office/drawing/2014/chart" uri="{C3380CC4-5D6E-409C-BE32-E72D297353CC}">
                <c16:uniqueId val="{00000000-3471-4176-9B73-C0B0F6DB601F}"/>
              </c:ext>
            </c:extLst>
          </c:dPt>
          <c:dPt>
            <c:idx val="1"/>
            <c:bubble3D val="0"/>
            <c:extLst>
              <c:ext xmlns:c16="http://schemas.microsoft.com/office/drawing/2014/chart" uri="{C3380CC4-5D6E-409C-BE32-E72D297353CC}">
                <c16:uniqueId val="{00000001-3471-4176-9B73-C0B0F6DB601F}"/>
              </c:ext>
            </c:extLst>
          </c:dPt>
          <c:dPt>
            <c:idx val="2"/>
            <c:bubble3D val="0"/>
            <c:extLst>
              <c:ext xmlns:c16="http://schemas.microsoft.com/office/drawing/2014/chart" uri="{C3380CC4-5D6E-409C-BE32-E72D297353CC}">
                <c16:uniqueId val="{00000002-3471-4176-9B73-C0B0F6DB601F}"/>
              </c:ext>
            </c:extLst>
          </c:dPt>
          <c:dPt>
            <c:idx val="3"/>
            <c:bubble3D val="0"/>
            <c:extLst>
              <c:ext xmlns:c16="http://schemas.microsoft.com/office/drawing/2014/chart" uri="{C3380CC4-5D6E-409C-BE32-E72D297353CC}">
                <c16:uniqueId val="{00000003-3471-4176-9B73-C0B0F6DB601F}"/>
              </c:ext>
            </c:extLst>
          </c:dPt>
          <c:dPt>
            <c:idx val="4"/>
            <c:bubble3D val="0"/>
            <c:extLst>
              <c:ext xmlns:c16="http://schemas.microsoft.com/office/drawing/2014/chart" uri="{C3380CC4-5D6E-409C-BE32-E72D297353CC}">
                <c16:uniqueId val="{00000004-3471-4176-9B73-C0B0F6DB601F}"/>
              </c:ext>
            </c:extLst>
          </c:dPt>
          <c:dPt>
            <c:idx val="5"/>
            <c:bubble3D val="0"/>
            <c:extLst>
              <c:ext xmlns:c16="http://schemas.microsoft.com/office/drawing/2014/chart" uri="{C3380CC4-5D6E-409C-BE32-E72D297353CC}">
                <c16:uniqueId val="{00000005-3471-4176-9B73-C0B0F6DB601F}"/>
              </c:ext>
            </c:extLst>
          </c:dPt>
          <c:dPt>
            <c:idx val="6"/>
            <c:bubble3D val="0"/>
            <c:extLst>
              <c:ext xmlns:c16="http://schemas.microsoft.com/office/drawing/2014/chart" uri="{C3380CC4-5D6E-409C-BE32-E72D297353CC}">
                <c16:uniqueId val="{00000006-3471-4176-9B73-C0B0F6DB601F}"/>
              </c:ext>
            </c:extLst>
          </c:dPt>
          <c:dPt>
            <c:idx val="7"/>
            <c:bubble3D val="0"/>
            <c:extLst>
              <c:ext xmlns:c16="http://schemas.microsoft.com/office/drawing/2014/chart" uri="{C3380CC4-5D6E-409C-BE32-E72D297353CC}">
                <c16:uniqueId val="{00000007-3471-4176-9B73-C0B0F6DB601F}"/>
              </c:ext>
            </c:extLst>
          </c:dPt>
          <c:dPt>
            <c:idx val="8"/>
            <c:bubble3D val="0"/>
            <c:extLst>
              <c:ext xmlns:c16="http://schemas.microsoft.com/office/drawing/2014/chart" uri="{C3380CC4-5D6E-409C-BE32-E72D297353CC}">
                <c16:uniqueId val="{00000008-3471-4176-9B73-C0B0F6DB601F}"/>
              </c:ext>
            </c:extLst>
          </c:dPt>
          <c:dPt>
            <c:idx val="9"/>
            <c:bubble3D val="0"/>
            <c:extLst>
              <c:ext xmlns:c16="http://schemas.microsoft.com/office/drawing/2014/chart" uri="{C3380CC4-5D6E-409C-BE32-E72D297353CC}">
                <c16:uniqueId val="{00000009-3471-4176-9B73-C0B0F6DB601F}"/>
              </c:ext>
            </c:extLst>
          </c:dPt>
          <c:dPt>
            <c:idx val="10"/>
            <c:bubble3D val="0"/>
            <c:extLst>
              <c:ext xmlns:c16="http://schemas.microsoft.com/office/drawing/2014/chart" uri="{C3380CC4-5D6E-409C-BE32-E72D297353CC}">
                <c16:uniqueId val="{0000000A-3471-4176-9B73-C0B0F6DB601F}"/>
              </c:ext>
            </c:extLst>
          </c:dPt>
          <c:cat>
            <c:numRef>
              <c:f>Statsformat!$A$9:$A$68</c:f>
              <c:numCache>
                <c:formatCode>m/d/yyyy</c:formatCode>
                <c:ptCount val="60"/>
                <c:pt idx="0">
                  <c:v>44225</c:v>
                </c:pt>
                <c:pt idx="1">
                  <c:v>44253</c:v>
                </c:pt>
                <c:pt idx="2">
                  <c:v>44286</c:v>
                </c:pt>
                <c:pt idx="3">
                  <c:v>44316</c:v>
                </c:pt>
                <c:pt idx="4">
                  <c:v>44347</c:v>
                </c:pt>
                <c:pt idx="5">
                  <c:v>44377</c:v>
                </c:pt>
                <c:pt idx="6">
                  <c:v>44407</c:v>
                </c:pt>
                <c:pt idx="7">
                  <c:v>44439</c:v>
                </c:pt>
                <c:pt idx="8">
                  <c:v>44469</c:v>
                </c:pt>
                <c:pt idx="9">
                  <c:v>44498</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45322</c:v>
                </c:pt>
                <c:pt idx="37">
                  <c:v>45351</c:v>
                </c:pt>
                <c:pt idx="38">
                  <c:v>45379</c:v>
                </c:pt>
                <c:pt idx="39">
                  <c:v>45412</c:v>
                </c:pt>
                <c:pt idx="40">
                  <c:v>45443</c:v>
                </c:pt>
                <c:pt idx="41">
                  <c:v>45471</c:v>
                </c:pt>
                <c:pt idx="42">
                  <c:v>45504</c:v>
                </c:pt>
                <c:pt idx="43">
                  <c:v>45534</c:v>
                </c:pt>
                <c:pt idx="44">
                  <c:v>45565</c:v>
                </c:pt>
                <c:pt idx="45">
                  <c:v>45596</c:v>
                </c:pt>
                <c:pt idx="46">
                  <c:v>45625</c:v>
                </c:pt>
                <c:pt idx="47">
                  <c:v>45656</c:v>
                </c:pt>
                <c:pt idx="48">
                  <c:v>45688</c:v>
                </c:pt>
                <c:pt idx="49">
                  <c:v>45716</c:v>
                </c:pt>
                <c:pt idx="50">
                  <c:v>45747</c:v>
                </c:pt>
                <c:pt idx="51">
                  <c:v>45777</c:v>
                </c:pt>
                <c:pt idx="52">
                  <c:v>45807</c:v>
                </c:pt>
                <c:pt idx="53">
                  <c:v>45838</c:v>
                </c:pt>
                <c:pt idx="54">
                  <c:v>45869</c:v>
                </c:pt>
                <c:pt idx="55">
                  <c:v>45898</c:v>
                </c:pt>
                <c:pt idx="56">
                  <c:v>45930</c:v>
                </c:pt>
                <c:pt idx="57">
                  <c:v>45961</c:v>
                </c:pt>
                <c:pt idx="58">
                  <c:v>45989</c:v>
                </c:pt>
                <c:pt idx="59">
                  <c:v>46021</c:v>
                </c:pt>
              </c:numCache>
            </c:numRef>
          </c:cat>
          <c:val>
            <c:numRef>
              <c:f>Statsformat!$B$9:$B$68</c:f>
              <c:numCache>
                <c:formatCode>General</c:formatCode>
                <c:ptCount val="60"/>
                <c:pt idx="0">
                  <c:v>4.7339669999999998</c:v>
                </c:pt>
                <c:pt idx="1">
                  <c:v>4.928655</c:v>
                </c:pt>
                <c:pt idx="2">
                  <c:v>4.9772420000000004</c:v>
                </c:pt>
                <c:pt idx="3">
                  <c:v>4.8875710000000003</c:v>
                </c:pt>
                <c:pt idx="4">
                  <c:v>5.0254560000000001</c:v>
                </c:pt>
                <c:pt idx="5">
                  <c:v>5.1398419999999998</c:v>
                </c:pt>
                <c:pt idx="6">
                  <c:v>5.3140400000000003</c:v>
                </c:pt>
                <c:pt idx="7">
                  <c:v>5.3921599999999996</c:v>
                </c:pt>
                <c:pt idx="8">
                  <c:v>5.499288</c:v>
                </c:pt>
                <c:pt idx="9">
                  <c:v>5.3849109999999998</c:v>
                </c:pt>
                <c:pt idx="10">
                  <c:v>5.5419580000000002</c:v>
                </c:pt>
                <c:pt idx="11">
                  <c:v>5.312138</c:v>
                </c:pt>
                <c:pt idx="12">
                  <c:v>5.0649300000000004</c:v>
                </c:pt>
                <c:pt idx="13">
                  <c:v>5.2219110000000004</c:v>
                </c:pt>
                <c:pt idx="14">
                  <c:v>5.3026650000000002</c:v>
                </c:pt>
                <c:pt idx="15">
                  <c:v>5.0081030000000002</c:v>
                </c:pt>
                <c:pt idx="16">
                  <c:v>5.2570639999999997</c:v>
                </c:pt>
                <c:pt idx="17">
                  <c:v>5.2502700000000004</c:v>
                </c:pt>
                <c:pt idx="18">
                  <c:v>5.2843920000000004</c:v>
                </c:pt>
                <c:pt idx="19">
                  <c:v>5.366339</c:v>
                </c:pt>
                <c:pt idx="20">
                  <c:v>5.3943969999999997</c:v>
                </c:pt>
                <c:pt idx="21">
                  <c:v>5.2125269999999997</c:v>
                </c:pt>
                <c:pt idx="22">
                  <c:v>5.405977</c:v>
                </c:pt>
                <c:pt idx="23">
                  <c:v>5.1481089999999998</c:v>
                </c:pt>
                <c:pt idx="24">
                  <c:v>4.7931350000000004</c:v>
                </c:pt>
                <c:pt idx="25">
                  <c:v>4.917211</c:v>
                </c:pt>
                <c:pt idx="26">
                  <c:v>4.927918</c:v>
                </c:pt>
                <c:pt idx="27">
                  <c:v>4.6939570000000002</c:v>
                </c:pt>
                <c:pt idx="28">
                  <c:v>4.8502039999999997</c:v>
                </c:pt>
                <c:pt idx="29">
                  <c:v>4.7387379999999997</c:v>
                </c:pt>
                <c:pt idx="30">
                  <c:v>4.6323040000000004</c:v>
                </c:pt>
                <c:pt idx="31">
                  <c:v>4.6220350000000003</c:v>
                </c:pt>
                <c:pt idx="32">
                  <c:v>4.678528</c:v>
                </c:pt>
                <c:pt idx="33">
                  <c:v>4.6057759999999996</c:v>
                </c:pt>
                <c:pt idx="34">
                  <c:v>4.8262910000000003</c:v>
                </c:pt>
                <c:pt idx="35">
                  <c:v>4.623596</c:v>
                </c:pt>
                <c:pt idx="36">
                  <c:v>4.3038270000000001</c:v>
                </c:pt>
                <c:pt idx="37">
                  <c:v>4.4708319999999997</c:v>
                </c:pt>
                <c:pt idx="38">
                  <c:v>4.5977389999999998</c:v>
                </c:pt>
                <c:pt idx="39">
                  <c:v>4.4131289999999996</c:v>
                </c:pt>
                <c:pt idx="40">
                  <c:v>4.5873590000000002</c:v>
                </c:pt>
                <c:pt idx="41">
                  <c:v>4.4825330000000001</c:v>
                </c:pt>
                <c:pt idx="42">
                  <c:v>4.3880220000000003</c:v>
                </c:pt>
                <c:pt idx="43">
                  <c:v>4.4787759999999999</c:v>
                </c:pt>
                <c:pt idx="44">
                  <c:v>4.564603</c:v>
                </c:pt>
                <c:pt idx="45">
                  <c:v>4.3992829999999996</c:v>
                </c:pt>
                <c:pt idx="46">
                  <c:v>4.4611049999999999</c:v>
                </c:pt>
                <c:pt idx="47">
                  <c:v>4.1519589999999997</c:v>
                </c:pt>
                <c:pt idx="48">
                  <c:v>4.3793559999999996</c:v>
                </c:pt>
                <c:pt idx="49">
                  <c:v>4.5917219999999999</c:v>
                </c:pt>
                <c:pt idx="50">
                  <c:v>4.6974869999999997</c:v>
                </c:pt>
                <c:pt idx="51">
                  <c:v>4.515746</c:v>
                </c:pt>
                <c:pt idx="52">
                  <c:v>4.6577770000000003</c:v>
                </c:pt>
                <c:pt idx="53">
                  <c:v>4.6051630000000001</c:v>
                </c:pt>
                <c:pt idx="54">
                  <c:v>4.4906829999999998</c:v>
                </c:pt>
                <c:pt idx="55">
                  <c:v>4.6208999999999998</c:v>
                </c:pt>
                <c:pt idx="56">
                  <c:v>4.816058</c:v>
                </c:pt>
                <c:pt idx="57">
                  <c:v>4.8428100000000001</c:v>
                </c:pt>
                <c:pt idx="58">
                  <c:v>4.8935310000000003</c:v>
                </c:pt>
                <c:pt idx="59">
                  <c:v>4.5817519999999998</c:v>
                </c:pt>
              </c:numCache>
            </c:numRef>
          </c:val>
          <c:smooth val="0"/>
          <c:extLst>
            <c:ext xmlns:c16="http://schemas.microsoft.com/office/drawing/2014/chart" uri="{C3380CC4-5D6E-409C-BE32-E72D297353CC}">
              <c16:uniqueId val="{0000000B-3471-4176-9B73-C0B0F6DB601F}"/>
            </c:ext>
          </c:extLst>
        </c:ser>
        <c:ser>
          <c:idx val="1"/>
          <c:order val="1"/>
          <c:tx>
            <c:strRef>
              <c:f>Statsformat!$C$8</c:f>
              <c:strCache>
                <c:ptCount val="1"/>
                <c:pt idx="0">
                  <c:v>Nominell statsskuld</c:v>
                </c:pt>
              </c:strCache>
            </c:strRef>
          </c:tx>
          <c:spPr>
            <a:ln w="25400">
              <a:solidFill>
                <a:srgbClr val="000000"/>
              </a:solidFill>
              <a:prstDash val="solid"/>
            </a:ln>
          </c:spPr>
          <c:marker>
            <c:symbol val="none"/>
          </c:marker>
          <c:cat>
            <c:numRef>
              <c:f>Statsformat!$A$9:$A$68</c:f>
              <c:numCache>
                <c:formatCode>m/d/yyyy</c:formatCode>
                <c:ptCount val="60"/>
                <c:pt idx="0">
                  <c:v>44225</c:v>
                </c:pt>
                <c:pt idx="1">
                  <c:v>44253</c:v>
                </c:pt>
                <c:pt idx="2">
                  <c:v>44286</c:v>
                </c:pt>
                <c:pt idx="3">
                  <c:v>44316</c:v>
                </c:pt>
                <c:pt idx="4">
                  <c:v>44347</c:v>
                </c:pt>
                <c:pt idx="5">
                  <c:v>44377</c:v>
                </c:pt>
                <c:pt idx="6">
                  <c:v>44407</c:v>
                </c:pt>
                <c:pt idx="7">
                  <c:v>44439</c:v>
                </c:pt>
                <c:pt idx="8">
                  <c:v>44469</c:v>
                </c:pt>
                <c:pt idx="9">
                  <c:v>44498</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45322</c:v>
                </c:pt>
                <c:pt idx="37">
                  <c:v>45351</c:v>
                </c:pt>
                <c:pt idx="38">
                  <c:v>45379</c:v>
                </c:pt>
                <c:pt idx="39">
                  <c:v>45412</c:v>
                </c:pt>
                <c:pt idx="40">
                  <c:v>45443</c:v>
                </c:pt>
                <c:pt idx="41">
                  <c:v>45471</c:v>
                </c:pt>
                <c:pt idx="42">
                  <c:v>45504</c:v>
                </c:pt>
                <c:pt idx="43">
                  <c:v>45534</c:v>
                </c:pt>
                <c:pt idx="44">
                  <c:v>45565</c:v>
                </c:pt>
                <c:pt idx="45">
                  <c:v>45596</c:v>
                </c:pt>
                <c:pt idx="46">
                  <c:v>45625</c:v>
                </c:pt>
                <c:pt idx="47">
                  <c:v>45656</c:v>
                </c:pt>
                <c:pt idx="48">
                  <c:v>45688</c:v>
                </c:pt>
                <c:pt idx="49">
                  <c:v>45716</c:v>
                </c:pt>
                <c:pt idx="50">
                  <c:v>45747</c:v>
                </c:pt>
                <c:pt idx="51">
                  <c:v>45777</c:v>
                </c:pt>
                <c:pt idx="52">
                  <c:v>45807</c:v>
                </c:pt>
                <c:pt idx="53">
                  <c:v>45838</c:v>
                </c:pt>
                <c:pt idx="54">
                  <c:v>45869</c:v>
                </c:pt>
                <c:pt idx="55">
                  <c:v>45898</c:v>
                </c:pt>
                <c:pt idx="56">
                  <c:v>45930</c:v>
                </c:pt>
                <c:pt idx="57">
                  <c:v>45961</c:v>
                </c:pt>
                <c:pt idx="58">
                  <c:v>45989</c:v>
                </c:pt>
                <c:pt idx="59">
                  <c:v>46021</c:v>
                </c:pt>
              </c:numCache>
            </c:numRef>
          </c:cat>
          <c:val>
            <c:numRef>
              <c:f>Statsformat!$C$9:$C$68</c:f>
              <c:numCache>
                <c:formatCode>General</c:formatCode>
                <c:ptCount val="60"/>
                <c:pt idx="0">
                  <c:v>4.96</c:v>
                </c:pt>
                <c:pt idx="1">
                  <c:v>5.2</c:v>
                </c:pt>
                <c:pt idx="2">
                  <c:v>5.26</c:v>
                </c:pt>
                <c:pt idx="3">
                  <c:v>5.13</c:v>
                </c:pt>
                <c:pt idx="4">
                  <c:v>5.34</c:v>
                </c:pt>
                <c:pt idx="5">
                  <c:v>5.5</c:v>
                </c:pt>
                <c:pt idx="6">
                  <c:v>5.76</c:v>
                </c:pt>
                <c:pt idx="7">
                  <c:v>5.88</c:v>
                </c:pt>
                <c:pt idx="8">
                  <c:v>6.05</c:v>
                </c:pt>
                <c:pt idx="9">
                  <c:v>5.89</c:v>
                </c:pt>
                <c:pt idx="10">
                  <c:v>6.14</c:v>
                </c:pt>
                <c:pt idx="11">
                  <c:v>5.81</c:v>
                </c:pt>
                <c:pt idx="12">
                  <c:v>5.5190527643291283</c:v>
                </c:pt>
                <c:pt idx="13">
                  <c:v>5.7753845235668546</c:v>
                </c:pt>
                <c:pt idx="14">
                  <c:v>5.9379692247626323</c:v>
                </c:pt>
                <c:pt idx="15">
                  <c:v>5.5728431651372601</c:v>
                </c:pt>
                <c:pt idx="16">
                  <c:v>6.0021757463558867</c:v>
                </c:pt>
                <c:pt idx="17">
                  <c:v>5.8364499367903706</c:v>
                </c:pt>
                <c:pt idx="18">
                  <c:v>5.8929207267450661</c:v>
                </c:pt>
                <c:pt idx="19">
                  <c:v>6.0978658281896836</c:v>
                </c:pt>
                <c:pt idx="20">
                  <c:v>6.309274295044716</c:v>
                </c:pt>
                <c:pt idx="21">
                  <c:v>6.0598344820069538</c:v>
                </c:pt>
                <c:pt idx="22">
                  <c:v>6.3993075935455606</c:v>
                </c:pt>
                <c:pt idx="23">
                  <c:v>5.9790989854195118</c:v>
                </c:pt>
                <c:pt idx="24">
                  <c:v>5.42</c:v>
                </c:pt>
                <c:pt idx="25">
                  <c:v>5.62</c:v>
                </c:pt>
                <c:pt idx="26">
                  <c:v>5.62</c:v>
                </c:pt>
                <c:pt idx="27">
                  <c:v>5.27</c:v>
                </c:pt>
                <c:pt idx="28">
                  <c:v>5.55</c:v>
                </c:pt>
                <c:pt idx="29">
                  <c:v>5.38</c:v>
                </c:pt>
                <c:pt idx="30">
                  <c:v>5.22</c:v>
                </c:pt>
                <c:pt idx="31">
                  <c:v>5.27</c:v>
                </c:pt>
                <c:pt idx="32">
                  <c:v>5.38</c:v>
                </c:pt>
                <c:pt idx="33">
                  <c:v>5.26</c:v>
                </c:pt>
                <c:pt idx="34">
                  <c:v>5.62</c:v>
                </c:pt>
                <c:pt idx="35">
                  <c:v>5.2105468628682532</c:v>
                </c:pt>
                <c:pt idx="36">
                  <c:v>4.7188101086390546</c:v>
                </c:pt>
                <c:pt idx="37">
                  <c:v>4.9669128932569002</c:v>
                </c:pt>
                <c:pt idx="38">
                  <c:v>5.1715023328835663</c:v>
                </c:pt>
                <c:pt idx="39">
                  <c:v>4.9171450202061164</c:v>
                </c:pt>
                <c:pt idx="40">
                  <c:v>5.1908789243931848</c:v>
                </c:pt>
                <c:pt idx="41">
                  <c:v>5.0173829768907048</c:v>
                </c:pt>
                <c:pt idx="42">
                  <c:v>4.9035895537475636</c:v>
                </c:pt>
                <c:pt idx="43">
                  <c:v>5.0647858616895647</c:v>
                </c:pt>
                <c:pt idx="44">
                  <c:v>5.2035027946911638</c:v>
                </c:pt>
                <c:pt idx="45">
                  <c:v>4.9532741991211644</c:v>
                </c:pt>
                <c:pt idx="46">
                  <c:v>5.0828293951053114</c:v>
                </c:pt>
                <c:pt idx="47">
                  <c:v>4.6169653411796441</c:v>
                </c:pt>
                <c:pt idx="48">
                  <c:v>4.9252969999999996</c:v>
                </c:pt>
                <c:pt idx="49">
                  <c:v>5.2370780000000003</c:v>
                </c:pt>
                <c:pt idx="50">
                  <c:v>5.384029</c:v>
                </c:pt>
                <c:pt idx="51">
                  <c:v>5.141362</c:v>
                </c:pt>
                <c:pt idx="52">
                  <c:v>5.3742530000000004</c:v>
                </c:pt>
                <c:pt idx="53">
                  <c:v>5.0231149999999998</c:v>
                </c:pt>
                <c:pt idx="54">
                  <c:v>4.842733</c:v>
                </c:pt>
                <c:pt idx="55">
                  <c:v>4.9886819999999998</c:v>
                </c:pt>
                <c:pt idx="56">
                  <c:v>5.245565</c:v>
                </c:pt>
                <c:pt idx="57">
                  <c:v>5.2687039999999996</c:v>
                </c:pt>
                <c:pt idx="58">
                  <c:v>5.3471219999999997</c:v>
                </c:pt>
                <c:pt idx="59">
                  <c:v>4.9259230000000001</c:v>
                </c:pt>
              </c:numCache>
            </c:numRef>
          </c:val>
          <c:smooth val="0"/>
          <c:extLst>
            <c:ext xmlns:c16="http://schemas.microsoft.com/office/drawing/2014/chart" uri="{C3380CC4-5D6E-409C-BE32-E72D297353CC}">
              <c16:uniqueId val="{0000000C-3471-4176-9B73-C0B0F6DB601F}"/>
            </c:ext>
          </c:extLst>
        </c:ser>
        <c:ser>
          <c:idx val="4"/>
          <c:order val="2"/>
          <c:tx>
            <c:strRef>
              <c:f>Statsformat!$F$8</c:f>
              <c:strCache>
                <c:ptCount val="1"/>
                <c:pt idx="0">
                  <c:v>Övre gräns</c:v>
                </c:pt>
              </c:strCache>
            </c:strRef>
          </c:tx>
          <c:spPr>
            <a:ln w="22225"/>
          </c:spPr>
          <c:marker>
            <c:symbol val="none"/>
          </c:marker>
          <c:cat>
            <c:numRef>
              <c:f>Statsformat!$A$9:$A$68</c:f>
              <c:numCache>
                <c:formatCode>m/d/yyyy</c:formatCode>
                <c:ptCount val="60"/>
                <c:pt idx="0">
                  <c:v>44225</c:v>
                </c:pt>
                <c:pt idx="1">
                  <c:v>44253</c:v>
                </c:pt>
                <c:pt idx="2">
                  <c:v>44286</c:v>
                </c:pt>
                <c:pt idx="3">
                  <c:v>44316</c:v>
                </c:pt>
                <c:pt idx="4">
                  <c:v>44347</c:v>
                </c:pt>
                <c:pt idx="5">
                  <c:v>44377</c:v>
                </c:pt>
                <c:pt idx="6">
                  <c:v>44407</c:v>
                </c:pt>
                <c:pt idx="7">
                  <c:v>44439</c:v>
                </c:pt>
                <c:pt idx="8">
                  <c:v>44469</c:v>
                </c:pt>
                <c:pt idx="9">
                  <c:v>44498</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45322</c:v>
                </c:pt>
                <c:pt idx="37">
                  <c:v>45351</c:v>
                </c:pt>
                <c:pt idx="38">
                  <c:v>45379</c:v>
                </c:pt>
                <c:pt idx="39">
                  <c:v>45412</c:v>
                </c:pt>
                <c:pt idx="40">
                  <c:v>45443</c:v>
                </c:pt>
                <c:pt idx="41">
                  <c:v>45471</c:v>
                </c:pt>
                <c:pt idx="42">
                  <c:v>45504</c:v>
                </c:pt>
                <c:pt idx="43">
                  <c:v>45534</c:v>
                </c:pt>
                <c:pt idx="44">
                  <c:v>45565</c:v>
                </c:pt>
                <c:pt idx="45">
                  <c:v>45596</c:v>
                </c:pt>
                <c:pt idx="46">
                  <c:v>45625</c:v>
                </c:pt>
                <c:pt idx="47">
                  <c:v>45656</c:v>
                </c:pt>
                <c:pt idx="48">
                  <c:v>45688</c:v>
                </c:pt>
                <c:pt idx="49">
                  <c:v>45716</c:v>
                </c:pt>
                <c:pt idx="50">
                  <c:v>45747</c:v>
                </c:pt>
                <c:pt idx="51">
                  <c:v>45777</c:v>
                </c:pt>
                <c:pt idx="52">
                  <c:v>45807</c:v>
                </c:pt>
                <c:pt idx="53">
                  <c:v>45838</c:v>
                </c:pt>
                <c:pt idx="54">
                  <c:v>45869</c:v>
                </c:pt>
                <c:pt idx="55">
                  <c:v>45898</c:v>
                </c:pt>
                <c:pt idx="56">
                  <c:v>45930</c:v>
                </c:pt>
                <c:pt idx="57">
                  <c:v>45961</c:v>
                </c:pt>
                <c:pt idx="58">
                  <c:v>45989</c:v>
                </c:pt>
                <c:pt idx="59">
                  <c:v>46021</c:v>
                </c:pt>
              </c:numCache>
            </c:numRef>
          </c:cat>
          <c:val>
            <c:numRef>
              <c:f>Statsformat!$F$9:$F$68</c:f>
              <c:numCache>
                <c:formatCode>General</c:formatCode>
                <c:ptCount val="60"/>
                <c:pt idx="0">
                  <c:v>6</c:v>
                </c:pt>
                <c:pt idx="1">
                  <c:v>6</c:v>
                </c:pt>
                <c:pt idx="2">
                  <c:v>6</c:v>
                </c:pt>
                <c:pt idx="3">
                  <c:v>6</c:v>
                </c:pt>
                <c:pt idx="4">
                  <c:v>6</c:v>
                </c:pt>
                <c:pt idx="5">
                  <c:v>6</c:v>
                </c:pt>
                <c:pt idx="6">
                  <c:v>6</c:v>
                </c:pt>
                <c:pt idx="7">
                  <c:v>6</c:v>
                </c:pt>
                <c:pt idx="8">
                  <c:v>6</c:v>
                </c:pt>
                <c:pt idx="9">
                  <c:v>6</c:v>
                </c:pt>
                <c:pt idx="10">
                  <c:v>6</c:v>
                </c:pt>
                <c:pt idx="11">
                  <c:v>6</c:v>
                </c:pt>
                <c:pt idx="12">
                  <c:v>6</c:v>
                </c:pt>
                <c:pt idx="13">
                  <c:v>6</c:v>
                </c:pt>
                <c:pt idx="14">
                  <c:v>6</c:v>
                </c:pt>
                <c:pt idx="15">
                  <c:v>6</c:v>
                </c:pt>
                <c:pt idx="16">
                  <c:v>6</c:v>
                </c:pt>
                <c:pt idx="17">
                  <c:v>6</c:v>
                </c:pt>
                <c:pt idx="18">
                  <c:v>6</c:v>
                </c:pt>
                <c:pt idx="19">
                  <c:v>6</c:v>
                </c:pt>
                <c:pt idx="20">
                  <c:v>6</c:v>
                </c:pt>
                <c:pt idx="21">
                  <c:v>6</c:v>
                </c:pt>
                <c:pt idx="22">
                  <c:v>6</c:v>
                </c:pt>
                <c:pt idx="23">
                  <c:v>6</c:v>
                </c:pt>
                <c:pt idx="24">
                  <c:v>6</c:v>
                </c:pt>
                <c:pt idx="25">
                  <c:v>6</c:v>
                </c:pt>
                <c:pt idx="26">
                  <c:v>6</c:v>
                </c:pt>
                <c:pt idx="27">
                  <c:v>6</c:v>
                </c:pt>
                <c:pt idx="28">
                  <c:v>6</c:v>
                </c:pt>
                <c:pt idx="29">
                  <c:v>6</c:v>
                </c:pt>
                <c:pt idx="30">
                  <c:v>6</c:v>
                </c:pt>
                <c:pt idx="31">
                  <c:v>6</c:v>
                </c:pt>
                <c:pt idx="32">
                  <c:v>6</c:v>
                </c:pt>
                <c:pt idx="33">
                  <c:v>6</c:v>
                </c:pt>
                <c:pt idx="34">
                  <c:v>6</c:v>
                </c:pt>
                <c:pt idx="35">
                  <c:v>6</c:v>
                </c:pt>
                <c:pt idx="36">
                  <c:v>6</c:v>
                </c:pt>
                <c:pt idx="37">
                  <c:v>6</c:v>
                </c:pt>
                <c:pt idx="38">
                  <c:v>6</c:v>
                </c:pt>
                <c:pt idx="39">
                  <c:v>6</c:v>
                </c:pt>
                <c:pt idx="40">
                  <c:v>6</c:v>
                </c:pt>
                <c:pt idx="41">
                  <c:v>6</c:v>
                </c:pt>
                <c:pt idx="42">
                  <c:v>6</c:v>
                </c:pt>
                <c:pt idx="43">
                  <c:v>6</c:v>
                </c:pt>
                <c:pt idx="44">
                  <c:v>6</c:v>
                </c:pt>
                <c:pt idx="45">
                  <c:v>6</c:v>
                </c:pt>
                <c:pt idx="46">
                  <c:v>6</c:v>
                </c:pt>
                <c:pt idx="47">
                  <c:v>6</c:v>
                </c:pt>
                <c:pt idx="48">
                  <c:v>6</c:v>
                </c:pt>
                <c:pt idx="49">
                  <c:v>6</c:v>
                </c:pt>
                <c:pt idx="50">
                  <c:v>6</c:v>
                </c:pt>
                <c:pt idx="51">
                  <c:v>6</c:v>
                </c:pt>
                <c:pt idx="52">
                  <c:v>6</c:v>
                </c:pt>
                <c:pt idx="53">
                  <c:v>6</c:v>
                </c:pt>
                <c:pt idx="54">
                  <c:v>6</c:v>
                </c:pt>
                <c:pt idx="55">
                  <c:v>6</c:v>
                </c:pt>
                <c:pt idx="56">
                  <c:v>6</c:v>
                </c:pt>
                <c:pt idx="57">
                  <c:v>6</c:v>
                </c:pt>
                <c:pt idx="58">
                  <c:v>6</c:v>
                </c:pt>
                <c:pt idx="59">
                  <c:v>6</c:v>
                </c:pt>
              </c:numCache>
            </c:numRef>
          </c:val>
          <c:smooth val="0"/>
          <c:extLst>
            <c:ext xmlns:c16="http://schemas.microsoft.com/office/drawing/2014/chart" uri="{C3380CC4-5D6E-409C-BE32-E72D297353CC}">
              <c16:uniqueId val="{0000000D-3471-4176-9B73-C0B0F6DB601F}"/>
            </c:ext>
          </c:extLst>
        </c:ser>
        <c:ser>
          <c:idx val="5"/>
          <c:order val="3"/>
          <c:tx>
            <c:strRef>
              <c:f>Statsformat!$G$8</c:f>
              <c:strCache>
                <c:ptCount val="1"/>
                <c:pt idx="0">
                  <c:v>Undre gräns</c:v>
                </c:pt>
              </c:strCache>
            </c:strRef>
          </c:tx>
          <c:spPr>
            <a:ln w="22225"/>
          </c:spPr>
          <c:marker>
            <c:symbol val="none"/>
          </c:marker>
          <c:cat>
            <c:numRef>
              <c:f>Statsformat!$A$9:$A$68</c:f>
              <c:numCache>
                <c:formatCode>m/d/yyyy</c:formatCode>
                <c:ptCount val="60"/>
                <c:pt idx="0">
                  <c:v>44225</c:v>
                </c:pt>
                <c:pt idx="1">
                  <c:v>44253</c:v>
                </c:pt>
                <c:pt idx="2">
                  <c:v>44286</c:v>
                </c:pt>
                <c:pt idx="3">
                  <c:v>44316</c:v>
                </c:pt>
                <c:pt idx="4">
                  <c:v>44347</c:v>
                </c:pt>
                <c:pt idx="5">
                  <c:v>44377</c:v>
                </c:pt>
                <c:pt idx="6">
                  <c:v>44407</c:v>
                </c:pt>
                <c:pt idx="7">
                  <c:v>44439</c:v>
                </c:pt>
                <c:pt idx="8">
                  <c:v>44469</c:v>
                </c:pt>
                <c:pt idx="9">
                  <c:v>44498</c:v>
                </c:pt>
                <c:pt idx="10">
                  <c:v>44530</c:v>
                </c:pt>
                <c:pt idx="11">
                  <c:v>44560</c:v>
                </c:pt>
                <c:pt idx="12">
                  <c:v>44592</c:v>
                </c:pt>
                <c:pt idx="13">
                  <c:v>44620</c:v>
                </c:pt>
                <c:pt idx="14">
                  <c:v>44651</c:v>
                </c:pt>
                <c:pt idx="15">
                  <c:v>44680</c:v>
                </c:pt>
                <c:pt idx="16">
                  <c:v>44712</c:v>
                </c:pt>
                <c:pt idx="17">
                  <c:v>44742</c:v>
                </c:pt>
                <c:pt idx="18">
                  <c:v>44771</c:v>
                </c:pt>
                <c:pt idx="19">
                  <c:v>44804</c:v>
                </c:pt>
                <c:pt idx="20">
                  <c:v>44834</c:v>
                </c:pt>
                <c:pt idx="21">
                  <c:v>44865</c:v>
                </c:pt>
                <c:pt idx="22">
                  <c:v>44895</c:v>
                </c:pt>
                <c:pt idx="23">
                  <c:v>44925</c:v>
                </c:pt>
                <c:pt idx="24">
                  <c:v>44957</c:v>
                </c:pt>
                <c:pt idx="25">
                  <c:v>44985</c:v>
                </c:pt>
                <c:pt idx="26">
                  <c:v>45016</c:v>
                </c:pt>
                <c:pt idx="27">
                  <c:v>45044</c:v>
                </c:pt>
                <c:pt idx="28">
                  <c:v>45077</c:v>
                </c:pt>
                <c:pt idx="29">
                  <c:v>45107</c:v>
                </c:pt>
                <c:pt idx="30">
                  <c:v>45138</c:v>
                </c:pt>
                <c:pt idx="31">
                  <c:v>45169</c:v>
                </c:pt>
                <c:pt idx="32">
                  <c:v>45198</c:v>
                </c:pt>
                <c:pt idx="33">
                  <c:v>45230</c:v>
                </c:pt>
                <c:pt idx="34">
                  <c:v>45260</c:v>
                </c:pt>
                <c:pt idx="35">
                  <c:v>45289</c:v>
                </c:pt>
                <c:pt idx="36">
                  <c:v>45322</c:v>
                </c:pt>
                <c:pt idx="37">
                  <c:v>45351</c:v>
                </c:pt>
                <c:pt idx="38">
                  <c:v>45379</c:v>
                </c:pt>
                <c:pt idx="39">
                  <c:v>45412</c:v>
                </c:pt>
                <c:pt idx="40">
                  <c:v>45443</c:v>
                </c:pt>
                <c:pt idx="41">
                  <c:v>45471</c:v>
                </c:pt>
                <c:pt idx="42">
                  <c:v>45504</c:v>
                </c:pt>
                <c:pt idx="43">
                  <c:v>45534</c:v>
                </c:pt>
                <c:pt idx="44">
                  <c:v>45565</c:v>
                </c:pt>
                <c:pt idx="45">
                  <c:v>45596</c:v>
                </c:pt>
                <c:pt idx="46">
                  <c:v>45625</c:v>
                </c:pt>
                <c:pt idx="47">
                  <c:v>45656</c:v>
                </c:pt>
                <c:pt idx="48">
                  <c:v>45688</c:v>
                </c:pt>
                <c:pt idx="49">
                  <c:v>45716</c:v>
                </c:pt>
                <c:pt idx="50">
                  <c:v>45747</c:v>
                </c:pt>
                <c:pt idx="51">
                  <c:v>45777</c:v>
                </c:pt>
                <c:pt idx="52">
                  <c:v>45807</c:v>
                </c:pt>
                <c:pt idx="53">
                  <c:v>45838</c:v>
                </c:pt>
                <c:pt idx="54">
                  <c:v>45869</c:v>
                </c:pt>
                <c:pt idx="55">
                  <c:v>45898</c:v>
                </c:pt>
                <c:pt idx="56">
                  <c:v>45930</c:v>
                </c:pt>
                <c:pt idx="57">
                  <c:v>45961</c:v>
                </c:pt>
                <c:pt idx="58">
                  <c:v>45989</c:v>
                </c:pt>
                <c:pt idx="59">
                  <c:v>46021</c:v>
                </c:pt>
              </c:numCache>
            </c:numRef>
          </c:cat>
          <c:val>
            <c:numRef>
              <c:f>Statsformat!$G$9:$G$68</c:f>
              <c:numCache>
                <c:formatCode>General</c:formatCode>
                <c:ptCount val="60"/>
                <c:pt idx="0">
                  <c:v>3.5</c:v>
                </c:pt>
                <c:pt idx="1">
                  <c:v>3.5</c:v>
                </c:pt>
                <c:pt idx="2">
                  <c:v>3.5</c:v>
                </c:pt>
                <c:pt idx="3">
                  <c:v>3.5</c:v>
                </c:pt>
                <c:pt idx="4">
                  <c:v>3.5</c:v>
                </c:pt>
                <c:pt idx="5">
                  <c:v>3.5</c:v>
                </c:pt>
                <c:pt idx="6">
                  <c:v>3.5</c:v>
                </c:pt>
                <c:pt idx="7">
                  <c:v>3.5</c:v>
                </c:pt>
                <c:pt idx="8">
                  <c:v>3.5</c:v>
                </c:pt>
                <c:pt idx="9">
                  <c:v>3.5</c:v>
                </c:pt>
                <c:pt idx="10">
                  <c:v>3.5</c:v>
                </c:pt>
                <c:pt idx="11">
                  <c:v>3.5</c:v>
                </c:pt>
                <c:pt idx="12">
                  <c:v>3.5</c:v>
                </c:pt>
                <c:pt idx="13">
                  <c:v>3.5</c:v>
                </c:pt>
                <c:pt idx="14">
                  <c:v>3.5</c:v>
                </c:pt>
                <c:pt idx="15">
                  <c:v>3.5</c:v>
                </c:pt>
                <c:pt idx="16">
                  <c:v>3.5</c:v>
                </c:pt>
                <c:pt idx="17">
                  <c:v>3.5</c:v>
                </c:pt>
                <c:pt idx="18">
                  <c:v>3.5</c:v>
                </c:pt>
                <c:pt idx="19">
                  <c:v>3.5</c:v>
                </c:pt>
                <c:pt idx="20">
                  <c:v>3.5</c:v>
                </c:pt>
                <c:pt idx="21">
                  <c:v>3.5</c:v>
                </c:pt>
                <c:pt idx="22">
                  <c:v>3.5</c:v>
                </c:pt>
                <c:pt idx="23">
                  <c:v>3.5</c:v>
                </c:pt>
                <c:pt idx="24">
                  <c:v>3.5</c:v>
                </c:pt>
                <c:pt idx="25">
                  <c:v>3.5</c:v>
                </c:pt>
                <c:pt idx="26">
                  <c:v>3.5</c:v>
                </c:pt>
                <c:pt idx="27">
                  <c:v>3.5</c:v>
                </c:pt>
                <c:pt idx="28">
                  <c:v>3.5</c:v>
                </c:pt>
                <c:pt idx="29">
                  <c:v>3.5</c:v>
                </c:pt>
                <c:pt idx="30">
                  <c:v>3.5</c:v>
                </c:pt>
                <c:pt idx="31">
                  <c:v>3.5</c:v>
                </c:pt>
                <c:pt idx="32">
                  <c:v>3.5</c:v>
                </c:pt>
                <c:pt idx="33">
                  <c:v>3.5</c:v>
                </c:pt>
                <c:pt idx="34">
                  <c:v>3.5</c:v>
                </c:pt>
                <c:pt idx="35">
                  <c:v>3.5</c:v>
                </c:pt>
                <c:pt idx="36">
                  <c:v>3.5</c:v>
                </c:pt>
                <c:pt idx="37">
                  <c:v>3.5</c:v>
                </c:pt>
                <c:pt idx="38">
                  <c:v>3.5</c:v>
                </c:pt>
                <c:pt idx="39">
                  <c:v>3.5</c:v>
                </c:pt>
                <c:pt idx="40">
                  <c:v>3.5</c:v>
                </c:pt>
                <c:pt idx="41">
                  <c:v>3.5</c:v>
                </c:pt>
                <c:pt idx="42">
                  <c:v>3.5</c:v>
                </c:pt>
                <c:pt idx="43">
                  <c:v>3.5</c:v>
                </c:pt>
                <c:pt idx="44">
                  <c:v>3.5</c:v>
                </c:pt>
                <c:pt idx="45">
                  <c:v>3.5</c:v>
                </c:pt>
                <c:pt idx="46">
                  <c:v>3.5</c:v>
                </c:pt>
                <c:pt idx="47">
                  <c:v>3.5</c:v>
                </c:pt>
                <c:pt idx="48">
                  <c:v>3.5</c:v>
                </c:pt>
                <c:pt idx="49">
                  <c:v>3.5</c:v>
                </c:pt>
                <c:pt idx="50">
                  <c:v>3.5</c:v>
                </c:pt>
                <c:pt idx="51">
                  <c:v>3.5</c:v>
                </c:pt>
                <c:pt idx="52">
                  <c:v>3.5</c:v>
                </c:pt>
                <c:pt idx="53">
                  <c:v>3.5</c:v>
                </c:pt>
                <c:pt idx="54">
                  <c:v>3.5</c:v>
                </c:pt>
                <c:pt idx="55">
                  <c:v>3.5</c:v>
                </c:pt>
                <c:pt idx="56">
                  <c:v>3.5</c:v>
                </c:pt>
                <c:pt idx="57">
                  <c:v>3.5</c:v>
                </c:pt>
                <c:pt idx="58">
                  <c:v>3.5</c:v>
                </c:pt>
                <c:pt idx="59">
                  <c:v>3.5</c:v>
                </c:pt>
              </c:numCache>
            </c:numRef>
          </c:val>
          <c:smooth val="0"/>
          <c:extLst>
            <c:ext xmlns:c16="http://schemas.microsoft.com/office/drawing/2014/chart" uri="{C3380CC4-5D6E-409C-BE32-E72D297353CC}">
              <c16:uniqueId val="{0000000E-3471-4176-9B73-C0B0F6DB601F}"/>
            </c:ext>
          </c:extLst>
        </c:ser>
        <c:ser>
          <c:idx val="2"/>
          <c:order val="4"/>
          <c:tx>
            <c:strRef>
              <c:f>Statsformat!$E$8</c:f>
              <c:strCache>
                <c:ptCount val="1"/>
                <c:pt idx="0">
                  <c:v>Realskuld kronskuld</c:v>
                </c:pt>
              </c:strCache>
            </c:strRef>
          </c:tx>
          <c:marker>
            <c:symbol val="none"/>
          </c:marker>
          <c:val>
            <c:numRef>
              <c:f>Statsformat!$E$9:$E$68</c:f>
              <c:numCache>
                <c:formatCode>General</c:formatCode>
                <c:ptCount val="60"/>
                <c:pt idx="0">
                  <c:v>6.08</c:v>
                </c:pt>
                <c:pt idx="1">
                  <c:v>6.04</c:v>
                </c:pt>
                <c:pt idx="2">
                  <c:v>6.02</c:v>
                </c:pt>
                <c:pt idx="3">
                  <c:v>6.03</c:v>
                </c:pt>
                <c:pt idx="4">
                  <c:v>5.99</c:v>
                </c:pt>
                <c:pt idx="5">
                  <c:v>5.97</c:v>
                </c:pt>
                <c:pt idx="6">
                  <c:v>5.9</c:v>
                </c:pt>
                <c:pt idx="7">
                  <c:v>5.82</c:v>
                </c:pt>
                <c:pt idx="8">
                  <c:v>5.82</c:v>
                </c:pt>
                <c:pt idx="9">
                  <c:v>5.8</c:v>
                </c:pt>
                <c:pt idx="10">
                  <c:v>5.8</c:v>
                </c:pt>
                <c:pt idx="11">
                  <c:v>5.79</c:v>
                </c:pt>
                <c:pt idx="12">
                  <c:v>5.6666823557005106</c:v>
                </c:pt>
                <c:pt idx="13">
                  <c:v>5.6172852071856072</c:v>
                </c:pt>
                <c:pt idx="14">
                  <c:v>5.5864473484238104</c:v>
                </c:pt>
                <c:pt idx="15">
                  <c:v>5.4486135932567761</c:v>
                </c:pt>
                <c:pt idx="16">
                  <c:v>5.5039023351468517</c:v>
                </c:pt>
                <c:pt idx="17">
                  <c:v>5.9441558608582081</c:v>
                </c:pt>
                <c:pt idx="18">
                  <c:v>5.8808764477055497</c:v>
                </c:pt>
                <c:pt idx="19">
                  <c:v>5.7918104368703434</c:v>
                </c:pt>
                <c:pt idx="20">
                  <c:v>5.6397911111369252</c:v>
                </c:pt>
                <c:pt idx="21">
                  <c:v>5.5053406553658384</c:v>
                </c:pt>
                <c:pt idx="22">
                  <c:v>5.4636793056189994</c:v>
                </c:pt>
                <c:pt idx="23">
                  <c:v>5.4201037931551683</c:v>
                </c:pt>
                <c:pt idx="24">
                  <c:v>5.33</c:v>
                </c:pt>
                <c:pt idx="25">
                  <c:v>5.22</c:v>
                </c:pt>
                <c:pt idx="26">
                  <c:v>5.15</c:v>
                </c:pt>
                <c:pt idx="27">
                  <c:v>5.04</c:v>
                </c:pt>
                <c:pt idx="28">
                  <c:v>4.9800000000000004</c:v>
                </c:pt>
                <c:pt idx="29">
                  <c:v>4.93</c:v>
                </c:pt>
                <c:pt idx="30">
                  <c:v>4.8600000000000003</c:v>
                </c:pt>
                <c:pt idx="31">
                  <c:v>4.76</c:v>
                </c:pt>
                <c:pt idx="32">
                  <c:v>4.68</c:v>
                </c:pt>
                <c:pt idx="33">
                  <c:v>4.5999999999999996</c:v>
                </c:pt>
                <c:pt idx="34">
                  <c:v>4.55</c:v>
                </c:pt>
                <c:pt idx="35">
                  <c:v>4.5572187456529409</c:v>
                </c:pt>
                <c:pt idx="36">
                  <c:v>4.4784213002130038</c:v>
                </c:pt>
                <c:pt idx="37">
                  <c:v>4.3867623423358699</c:v>
                </c:pt>
                <c:pt idx="38">
                  <c:v>4.356495530099652</c:v>
                </c:pt>
                <c:pt idx="39">
                  <c:v>4.3024503582349727</c:v>
                </c:pt>
                <c:pt idx="40">
                  <c:v>4.2593484044400522</c:v>
                </c:pt>
                <c:pt idx="41">
                  <c:v>4.214804675979015</c:v>
                </c:pt>
                <c:pt idx="42">
                  <c:v>4.148196342384348</c:v>
                </c:pt>
                <c:pt idx="43">
                  <c:v>4.0792014996023216</c:v>
                </c:pt>
                <c:pt idx="44">
                  <c:v>4.0154097697134183</c:v>
                </c:pt>
                <c:pt idx="45">
                  <c:v>3.9601481895819668</c:v>
                </c:pt>
                <c:pt idx="46">
                  <c:v>3.8985656059754188</c:v>
                </c:pt>
                <c:pt idx="47">
                  <c:v>3.8605560358556401</c:v>
                </c:pt>
                <c:pt idx="48">
                  <c:v>3.859083</c:v>
                </c:pt>
                <c:pt idx="49">
                  <c:v>3.7924190000000002</c:v>
                </c:pt>
                <c:pt idx="50">
                  <c:v>3.747484</c:v>
                </c:pt>
                <c:pt idx="51">
                  <c:v>3.69408</c:v>
                </c:pt>
                <c:pt idx="52">
                  <c:v>3.698353</c:v>
                </c:pt>
                <c:pt idx="53">
                  <c:v>4.3165079999999998</c:v>
                </c:pt>
                <c:pt idx="54">
                  <c:v>4.2416369999999999</c:v>
                </c:pt>
                <c:pt idx="55">
                  <c:v>4.1685449999999999</c:v>
                </c:pt>
                <c:pt idx="56">
                  <c:v>4.135078</c:v>
                </c:pt>
                <c:pt idx="57">
                  <c:v>4.0914419999999998</c:v>
                </c:pt>
                <c:pt idx="58">
                  <c:v>4.0372120000000002</c:v>
                </c:pt>
                <c:pt idx="59">
                  <c:v>3.983212</c:v>
                </c:pt>
              </c:numCache>
            </c:numRef>
          </c:val>
          <c:smooth val="0"/>
          <c:extLst>
            <c:ext xmlns:c16="http://schemas.microsoft.com/office/drawing/2014/chart" uri="{C3380CC4-5D6E-409C-BE32-E72D297353CC}">
              <c16:uniqueId val="{0000000F-3471-4176-9B73-C0B0F6DB601F}"/>
            </c:ext>
          </c:extLst>
        </c:ser>
        <c:dLbls>
          <c:showLegendKey val="0"/>
          <c:showVal val="0"/>
          <c:showCatName val="0"/>
          <c:showSerName val="0"/>
          <c:showPercent val="0"/>
          <c:showBubbleSize val="0"/>
        </c:dLbls>
        <c:marker val="1"/>
        <c:smooth val="0"/>
        <c:axId val="81240832"/>
        <c:axId val="81242368"/>
      </c:lineChart>
      <c:lineChart>
        <c:grouping val="standard"/>
        <c:varyColors val="0"/>
        <c:ser>
          <c:idx val="3"/>
          <c:order val="5"/>
          <c:tx>
            <c:strRef>
              <c:f>Statsformat!$D$8</c:f>
              <c:strCache>
                <c:ptCount val="1"/>
                <c:pt idx="0">
                  <c:v>Valutaskulden (höger axel)</c:v>
                </c:pt>
              </c:strCache>
            </c:strRef>
          </c:tx>
          <c:marker>
            <c:symbol val="none"/>
          </c:marker>
          <c:val>
            <c:numRef>
              <c:f>Statsformat!$D$9:$D$68</c:f>
              <c:numCache>
                <c:formatCode>General</c:formatCode>
                <c:ptCount val="60"/>
                <c:pt idx="0">
                  <c:v>9.868629310423474E-2</c:v>
                </c:pt>
                <c:pt idx="1">
                  <c:v>0.10502373263679619</c:v>
                </c:pt>
                <c:pt idx="2">
                  <c:v>9.926464208355279E-2</c:v>
                </c:pt>
                <c:pt idx="3">
                  <c:v>0.1065748007184308</c:v>
                </c:pt>
                <c:pt idx="4">
                  <c:v>0.1013920892887253</c:v>
                </c:pt>
                <c:pt idx="5">
                  <c:v>9.3839177393171866E-2</c:v>
                </c:pt>
                <c:pt idx="6">
                  <c:v>9.1461393821460998E-2</c:v>
                </c:pt>
                <c:pt idx="7">
                  <c:v>9.4315540213633517E-2</c:v>
                </c:pt>
                <c:pt idx="8">
                  <c:v>0.1043373238237616</c:v>
                </c:pt>
                <c:pt idx="9">
                  <c:v>0.15295953551176389</c:v>
                </c:pt>
                <c:pt idx="10">
                  <c:v>0.15149078085490139</c:v>
                </c:pt>
                <c:pt idx="11">
                  <c:v>0.15709265357201019</c:v>
                </c:pt>
                <c:pt idx="12">
                  <c:v>0.1337451231856249</c:v>
                </c:pt>
                <c:pt idx="13">
                  <c:v>0.1203353095323873</c:v>
                </c:pt>
                <c:pt idx="14">
                  <c:v>0.12258222832991759</c:v>
                </c:pt>
                <c:pt idx="15">
                  <c:v>0.129133967484485</c:v>
                </c:pt>
                <c:pt idx="16">
                  <c:v>0.15012923688299429</c:v>
                </c:pt>
                <c:pt idx="17">
                  <c:v>0.15487733988480989</c:v>
                </c:pt>
                <c:pt idx="18">
                  <c:v>0.15372880231789909</c:v>
                </c:pt>
                <c:pt idx="19">
                  <c:v>0.1379482966716159</c:v>
                </c:pt>
                <c:pt idx="20">
                  <c:v>0.1418178642682906</c:v>
                </c:pt>
                <c:pt idx="21">
                  <c:v>0.1804404756841132</c:v>
                </c:pt>
                <c:pt idx="22">
                  <c:v>0.1957464255198306</c:v>
                </c:pt>
                <c:pt idx="23">
                  <c:v>0.18887403901570679</c:v>
                </c:pt>
                <c:pt idx="24">
                  <c:v>0.16</c:v>
                </c:pt>
                <c:pt idx="25">
                  <c:v>0.16</c:v>
                </c:pt>
                <c:pt idx="26">
                  <c:v>0.16</c:v>
                </c:pt>
                <c:pt idx="27">
                  <c:v>0.16</c:v>
                </c:pt>
                <c:pt idx="28">
                  <c:v>0.18</c:v>
                </c:pt>
                <c:pt idx="29">
                  <c:v>0.17</c:v>
                </c:pt>
                <c:pt idx="30">
                  <c:v>0.15</c:v>
                </c:pt>
                <c:pt idx="31">
                  <c:v>0.14000000000000001</c:v>
                </c:pt>
                <c:pt idx="32">
                  <c:v>0.13</c:v>
                </c:pt>
                <c:pt idx="33">
                  <c:v>0.15</c:v>
                </c:pt>
                <c:pt idx="34">
                  <c:v>0.18</c:v>
                </c:pt>
                <c:pt idx="35">
                  <c:v>0.22</c:v>
                </c:pt>
                <c:pt idx="36">
                  <c:v>0.18070079762725769</c:v>
                </c:pt>
                <c:pt idx="37">
                  <c:v>0.17414876097661791</c:v>
                </c:pt>
                <c:pt idx="38">
                  <c:v>0.17119023861914889</c:v>
                </c:pt>
                <c:pt idx="39">
                  <c:v>0.18210280032151821</c:v>
                </c:pt>
                <c:pt idx="40">
                  <c:v>0.16320086859586019</c:v>
                </c:pt>
                <c:pt idx="41">
                  <c:v>0.18710077161852751</c:v>
                </c:pt>
                <c:pt idx="42">
                  <c:v>0.2038224861518356</c:v>
                </c:pt>
                <c:pt idx="43">
                  <c:v>0.13509434168237491</c:v>
                </c:pt>
                <c:pt idx="44">
                  <c:v>0.14964575240830669</c:v>
                </c:pt>
                <c:pt idx="45">
                  <c:v>0.1837051365909774</c:v>
                </c:pt>
                <c:pt idx="46">
                  <c:v>0.1517397905070354</c:v>
                </c:pt>
                <c:pt idx="47">
                  <c:v>0.16062463805000629</c:v>
                </c:pt>
                <c:pt idx="48">
                  <c:v>0.195219</c:v>
                </c:pt>
                <c:pt idx="49">
                  <c:v>0.17456199999999999</c:v>
                </c:pt>
                <c:pt idx="50">
                  <c:v>0.20433499999999999</c:v>
                </c:pt>
                <c:pt idx="51">
                  <c:v>0.189168</c:v>
                </c:pt>
                <c:pt idx="52">
                  <c:v>0.14746899999999999</c:v>
                </c:pt>
                <c:pt idx="53">
                  <c:v>0.165991</c:v>
                </c:pt>
                <c:pt idx="54">
                  <c:v>0.17921200000000001</c:v>
                </c:pt>
                <c:pt idx="55">
                  <c:v>0.14233399999999999</c:v>
                </c:pt>
                <c:pt idx="56">
                  <c:v>0.22328899999999999</c:v>
                </c:pt>
                <c:pt idx="57">
                  <c:v>0.22075800000000001</c:v>
                </c:pt>
                <c:pt idx="58">
                  <c:v>0.16609099999999999</c:v>
                </c:pt>
                <c:pt idx="59">
                  <c:v>0.19739499999999999</c:v>
                </c:pt>
              </c:numCache>
            </c:numRef>
          </c:val>
          <c:smooth val="0"/>
          <c:extLst>
            <c:ext xmlns:c16="http://schemas.microsoft.com/office/drawing/2014/chart" uri="{C3380CC4-5D6E-409C-BE32-E72D297353CC}">
              <c16:uniqueId val="{00000010-3471-4176-9B73-C0B0F6DB601F}"/>
            </c:ext>
          </c:extLst>
        </c:ser>
        <c:dLbls>
          <c:showLegendKey val="0"/>
          <c:showVal val="0"/>
          <c:showCatName val="0"/>
          <c:showSerName val="0"/>
          <c:showPercent val="0"/>
          <c:showBubbleSize val="0"/>
        </c:dLbls>
        <c:marker val="1"/>
        <c:smooth val="0"/>
        <c:axId val="730085184"/>
        <c:axId val="730084464"/>
      </c:lineChart>
      <c:dateAx>
        <c:axId val="81240832"/>
        <c:scaling>
          <c:orientation val="minMax"/>
        </c:scaling>
        <c:delete val="0"/>
        <c:axPos val="b"/>
        <c:numFmt formatCode="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1"/>
        <c:lblOffset val="100"/>
        <c:baseTimeUnit val="months"/>
        <c:majorUnit val="1"/>
        <c:majorTimeUnit val="years"/>
        <c:minorUnit val="12"/>
        <c:minorTimeUnit val="months"/>
      </c:dateAx>
      <c:valAx>
        <c:axId val="81242368"/>
        <c:scaling>
          <c:orientation val="minMax"/>
        </c:scaling>
        <c:delete val="0"/>
        <c:axPos val="l"/>
        <c:numFmt formatCode="General"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midCat"/>
      </c:valAx>
      <c:valAx>
        <c:axId val="730084464"/>
        <c:scaling>
          <c:orientation val="minMax"/>
        </c:scaling>
        <c:delete val="0"/>
        <c:axPos val="r"/>
        <c:numFmt formatCode="General" sourceLinked="1"/>
        <c:majorTickMark val="out"/>
        <c:minorTickMark val="none"/>
        <c:tickLblPos val="nextTo"/>
        <c:crossAx val="730085184"/>
        <c:crosses val="max"/>
        <c:crossBetween val="between"/>
      </c:valAx>
      <c:catAx>
        <c:axId val="730085184"/>
        <c:scaling>
          <c:orientation val="minMax"/>
        </c:scaling>
        <c:delete val="1"/>
        <c:axPos val="b"/>
        <c:majorTickMark val="out"/>
        <c:minorTickMark val="none"/>
        <c:tickLblPos val="nextTo"/>
        <c:crossAx val="730084464"/>
        <c:crosses val="autoZero"/>
        <c:auto val="1"/>
        <c:lblAlgn val="ctr"/>
        <c:lblOffset val="100"/>
        <c:tickLblSkip val="1"/>
        <c:tickMarkSkip val="1"/>
        <c:noMultiLvlLbl val="0"/>
      </c:catAx>
      <c:spPr>
        <a:noFill/>
        <a:ln w="3175">
          <a:solidFill>
            <a:srgbClr val="000000"/>
          </a:solidFill>
          <a:prstDash val="solid"/>
        </a:ln>
      </c:spPr>
    </c:plotArea>
    <c:legend>
      <c:legendPos val="b"/>
      <c:layout>
        <c:manualLayout>
          <c:xMode val="edge"/>
          <c:yMode val="edge"/>
          <c:x val="0.12254166666666665"/>
          <c:y val="0.70409420289855063"/>
          <c:w val="0.74861706349206336"/>
          <c:h val="0.19524909420289854"/>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0"/>
          <c:order val="0"/>
          <c:tx>
            <c:strRef>
              <c:f>Statsformat!$B$8</c:f>
              <c:strCache>
                <c:ptCount val="1"/>
                <c:pt idx="0">
                  <c:v>Nominella statsobligationer</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0-CB9E-4DDD-B917-92AAD89244C9}"/>
              </c:ext>
            </c:extLst>
          </c:dPt>
          <c:dPt>
            <c:idx val="1"/>
            <c:bubble3D val="0"/>
            <c:extLst>
              <c:ext xmlns:c16="http://schemas.microsoft.com/office/drawing/2014/chart" uri="{C3380CC4-5D6E-409C-BE32-E72D297353CC}">
                <c16:uniqueId val="{00000001-CB9E-4DDD-B917-92AAD89244C9}"/>
              </c:ext>
            </c:extLst>
          </c:dPt>
          <c:dPt>
            <c:idx val="2"/>
            <c:bubble3D val="0"/>
            <c:extLst>
              <c:ext xmlns:c16="http://schemas.microsoft.com/office/drawing/2014/chart" uri="{C3380CC4-5D6E-409C-BE32-E72D297353CC}">
                <c16:uniqueId val="{00000002-CB9E-4DDD-B917-92AAD89244C9}"/>
              </c:ext>
            </c:extLst>
          </c:dPt>
          <c:dPt>
            <c:idx val="3"/>
            <c:bubble3D val="0"/>
            <c:extLst>
              <c:ext xmlns:c16="http://schemas.microsoft.com/office/drawing/2014/chart" uri="{C3380CC4-5D6E-409C-BE32-E72D297353CC}">
                <c16:uniqueId val="{00000003-CB9E-4DDD-B917-92AAD89244C9}"/>
              </c:ext>
            </c:extLst>
          </c:dPt>
          <c:dPt>
            <c:idx val="4"/>
            <c:bubble3D val="0"/>
            <c:extLst>
              <c:ext xmlns:c16="http://schemas.microsoft.com/office/drawing/2014/chart" uri="{C3380CC4-5D6E-409C-BE32-E72D297353CC}">
                <c16:uniqueId val="{00000004-CB9E-4DDD-B917-92AAD89244C9}"/>
              </c:ext>
            </c:extLst>
          </c:dPt>
          <c:dPt>
            <c:idx val="5"/>
            <c:bubble3D val="0"/>
            <c:extLst>
              <c:ext xmlns:c16="http://schemas.microsoft.com/office/drawing/2014/chart" uri="{C3380CC4-5D6E-409C-BE32-E72D297353CC}">
                <c16:uniqueId val="{00000005-CB9E-4DDD-B917-92AAD89244C9}"/>
              </c:ext>
            </c:extLst>
          </c:dPt>
          <c:dPt>
            <c:idx val="6"/>
            <c:bubble3D val="0"/>
            <c:extLst>
              <c:ext xmlns:c16="http://schemas.microsoft.com/office/drawing/2014/chart" uri="{C3380CC4-5D6E-409C-BE32-E72D297353CC}">
                <c16:uniqueId val="{00000006-CB9E-4DDD-B917-92AAD89244C9}"/>
              </c:ext>
            </c:extLst>
          </c:dPt>
          <c:dPt>
            <c:idx val="7"/>
            <c:bubble3D val="0"/>
            <c:extLst>
              <c:ext xmlns:c16="http://schemas.microsoft.com/office/drawing/2014/chart" uri="{C3380CC4-5D6E-409C-BE32-E72D297353CC}">
                <c16:uniqueId val="{00000007-CB9E-4DDD-B917-92AAD89244C9}"/>
              </c:ext>
            </c:extLst>
          </c:dPt>
          <c:dPt>
            <c:idx val="8"/>
            <c:bubble3D val="0"/>
            <c:extLst>
              <c:ext xmlns:c16="http://schemas.microsoft.com/office/drawing/2014/chart" uri="{C3380CC4-5D6E-409C-BE32-E72D297353CC}">
                <c16:uniqueId val="{00000008-CB9E-4DDD-B917-92AAD89244C9}"/>
              </c:ext>
            </c:extLst>
          </c:dPt>
          <c:dPt>
            <c:idx val="9"/>
            <c:bubble3D val="0"/>
            <c:extLst>
              <c:ext xmlns:c16="http://schemas.microsoft.com/office/drawing/2014/chart" uri="{C3380CC4-5D6E-409C-BE32-E72D297353CC}">
                <c16:uniqueId val="{00000009-CB9E-4DDD-B917-92AAD89244C9}"/>
              </c:ext>
            </c:extLst>
          </c:dPt>
          <c:dPt>
            <c:idx val="10"/>
            <c:bubble3D val="0"/>
            <c:extLst>
              <c:ext xmlns:c16="http://schemas.microsoft.com/office/drawing/2014/chart" uri="{C3380CC4-5D6E-409C-BE32-E72D297353CC}">
                <c16:uniqueId val="{0000000A-CB9E-4DDD-B917-92AAD89244C9}"/>
              </c:ext>
            </c:extLst>
          </c:dPt>
          <c:cat>
            <c:numRef>
              <c:f>Statsformat!$A$9:$A$14</c:f>
              <c:numCache>
                <c:formatCode>yyyy;@</c:formatCode>
                <c:ptCount val="5"/>
                <c:pt idx="0">
                  <c:v>44560</c:v>
                </c:pt>
                <c:pt idx="1">
                  <c:v>44925</c:v>
                </c:pt>
                <c:pt idx="2">
                  <c:v>45290</c:v>
                </c:pt>
                <c:pt idx="3">
                  <c:v>45656</c:v>
                </c:pt>
                <c:pt idx="4">
                  <c:v>46021</c:v>
                </c:pt>
              </c:numCache>
            </c:numRef>
          </c:cat>
          <c:val>
            <c:numRef>
              <c:f>Statsformat!$B$9:$B$14</c:f>
              <c:numCache>
                <c:formatCode>0.0</c:formatCode>
                <c:ptCount val="5"/>
                <c:pt idx="0">
                  <c:v>4.2175327891156469</c:v>
                </c:pt>
                <c:pt idx="1">
                  <c:v>4.016860317460317</c:v>
                </c:pt>
                <c:pt idx="2">
                  <c:v>3.518769696969696</c:v>
                </c:pt>
                <c:pt idx="3">
                  <c:v>3.0771015406162472</c:v>
                </c:pt>
                <c:pt idx="4">
                  <c:v>3.2380337990810348</c:v>
                </c:pt>
              </c:numCache>
            </c:numRef>
          </c:val>
          <c:smooth val="0"/>
          <c:extLst>
            <c:ext xmlns:c16="http://schemas.microsoft.com/office/drawing/2014/chart" uri="{C3380CC4-5D6E-409C-BE32-E72D297353CC}">
              <c16:uniqueId val="{0000000B-CB9E-4DDD-B917-92AAD89244C9}"/>
            </c:ext>
          </c:extLst>
        </c:ser>
        <c:ser>
          <c:idx val="1"/>
          <c:order val="1"/>
          <c:tx>
            <c:strRef>
              <c:f>Statsformat!$C$8</c:f>
              <c:strCache>
                <c:ptCount val="1"/>
                <c:pt idx="0">
                  <c:v>Realobligationer</c:v>
                </c:pt>
              </c:strCache>
            </c:strRef>
          </c:tx>
          <c:spPr>
            <a:ln w="25400">
              <a:solidFill>
                <a:srgbClr val="000000"/>
              </a:solidFill>
              <a:prstDash val="solid"/>
            </a:ln>
          </c:spPr>
          <c:marker>
            <c:symbol val="none"/>
          </c:marker>
          <c:cat>
            <c:numRef>
              <c:f>Statsformat!$A$9:$A$14</c:f>
              <c:numCache>
                <c:formatCode>yyyy;@</c:formatCode>
                <c:ptCount val="5"/>
                <c:pt idx="0">
                  <c:v>44560</c:v>
                </c:pt>
                <c:pt idx="1">
                  <c:v>44925</c:v>
                </c:pt>
                <c:pt idx="2">
                  <c:v>45290</c:v>
                </c:pt>
                <c:pt idx="3">
                  <c:v>45656</c:v>
                </c:pt>
                <c:pt idx="4">
                  <c:v>46021</c:v>
                </c:pt>
              </c:numCache>
            </c:numRef>
          </c:cat>
          <c:val>
            <c:numRef>
              <c:f>Statsformat!$C$9:$C$14</c:f>
              <c:numCache>
                <c:formatCode>0.0</c:formatCode>
                <c:ptCount val="5"/>
                <c:pt idx="0">
                  <c:v>2.8043440860215059</c:v>
                </c:pt>
                <c:pt idx="1">
                  <c:v>2.302823129251701</c:v>
                </c:pt>
                <c:pt idx="2">
                  <c:v>3.1061818181818182</c:v>
                </c:pt>
                <c:pt idx="3">
                  <c:v>4.7889411764705887</c:v>
                </c:pt>
                <c:pt idx="4">
                  <c:v>3.2608888888888892</c:v>
                </c:pt>
              </c:numCache>
            </c:numRef>
          </c:val>
          <c:smooth val="0"/>
          <c:extLst>
            <c:ext xmlns:c16="http://schemas.microsoft.com/office/drawing/2014/chart" uri="{C3380CC4-5D6E-409C-BE32-E72D297353CC}">
              <c16:uniqueId val="{0000000C-CB9E-4DDD-B917-92AAD89244C9}"/>
            </c:ext>
          </c:extLst>
        </c:ser>
        <c:ser>
          <c:idx val="2"/>
          <c:order val="2"/>
          <c:tx>
            <c:strRef>
              <c:f>Statsformat!$D$8</c:f>
              <c:strCache>
                <c:ptCount val="1"/>
                <c:pt idx="0">
                  <c:v>Statsskuldväxlar</c:v>
                </c:pt>
              </c:strCache>
            </c:strRef>
          </c:tx>
          <c:spPr>
            <a:ln w="12700">
              <a:solidFill>
                <a:srgbClr val="000000"/>
              </a:solidFill>
              <a:prstDash val="sysDash"/>
            </a:ln>
          </c:spPr>
          <c:marker>
            <c:symbol val="none"/>
          </c:marker>
          <c:cat>
            <c:numRef>
              <c:f>Statsformat!$A$9:$A$14</c:f>
              <c:numCache>
                <c:formatCode>yyyy;@</c:formatCode>
                <c:ptCount val="5"/>
                <c:pt idx="0">
                  <c:v>44560</c:v>
                </c:pt>
                <c:pt idx="1">
                  <c:v>44925</c:v>
                </c:pt>
                <c:pt idx="2">
                  <c:v>45290</c:v>
                </c:pt>
                <c:pt idx="3">
                  <c:v>45656</c:v>
                </c:pt>
                <c:pt idx="4">
                  <c:v>46021</c:v>
                </c:pt>
              </c:numCache>
            </c:numRef>
          </c:cat>
          <c:val>
            <c:numRef>
              <c:f>Statsformat!$D$9:$D$14</c:f>
              <c:numCache>
                <c:formatCode>0.0</c:formatCode>
                <c:ptCount val="5"/>
                <c:pt idx="0">
                  <c:v>2.596478095238095</c:v>
                </c:pt>
                <c:pt idx="1">
                  <c:v>2.3103933333333342</c:v>
                </c:pt>
                <c:pt idx="2">
                  <c:v>1.9062903225806449</c:v>
                </c:pt>
                <c:pt idx="3">
                  <c:v>2.8285326118326122</c:v>
                </c:pt>
                <c:pt idx="4">
                  <c:v>2.2749733333333331</c:v>
                </c:pt>
              </c:numCache>
            </c:numRef>
          </c:val>
          <c:smooth val="0"/>
          <c:extLst>
            <c:ext xmlns:c16="http://schemas.microsoft.com/office/drawing/2014/chart" uri="{C3380CC4-5D6E-409C-BE32-E72D297353CC}">
              <c16:uniqueId val="{0000000D-CB9E-4DDD-B917-92AAD89244C9}"/>
            </c:ext>
          </c:extLst>
        </c:ser>
        <c:dLbls>
          <c:showLegendKey val="0"/>
          <c:showVal val="0"/>
          <c:showCatName val="0"/>
          <c:showSerName val="0"/>
          <c:showPercent val="0"/>
          <c:showBubbleSize val="0"/>
        </c:dLbls>
        <c:smooth val="0"/>
        <c:axId val="81240832"/>
        <c:axId val="81242368"/>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1"/>
        <c:lblOffset val="100"/>
        <c:baseTimeUnit val="years"/>
      </c:dateAx>
      <c:valAx>
        <c:axId val="81242368"/>
        <c:scaling>
          <c:orientation val="minMax"/>
        </c:scaling>
        <c:delete val="0"/>
        <c:axPos val="l"/>
        <c:numFmt formatCode="0.0"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spPr>
        <a:noFill/>
        <a:ln w="3175">
          <a:solidFill>
            <a:srgbClr val="000000"/>
          </a:solidFill>
          <a:prstDash val="solid"/>
        </a:ln>
      </c:spPr>
    </c:plotArea>
    <c:legend>
      <c:legendPos val="b"/>
      <c:layout>
        <c:manualLayout>
          <c:xMode val="edge"/>
          <c:yMode val="edge"/>
          <c:x val="0.12554328561690525"/>
          <c:y val="7.8938640132669977E-2"/>
          <c:w val="0.79314723926380371"/>
          <c:h val="2.9397493927520248E-2"/>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2.2264826175869119E-2"/>
          <c:y val="2.0108356290174472E-2"/>
          <c:w val="0.96878902522154053"/>
          <c:h val="0.97891460055096424"/>
        </c:manualLayout>
      </c:layout>
      <c:barChart>
        <c:barDir val="col"/>
        <c:grouping val="clustered"/>
        <c:varyColors val="0"/>
        <c:ser>
          <c:idx val="0"/>
          <c:order val="0"/>
          <c:tx>
            <c:strRef>
              <c:f>Statsformat!$B$8</c:f>
              <c:strCache>
                <c:ptCount val="1"/>
                <c:pt idx="0">
                  <c:v>Riksbanken </c:v>
                </c:pt>
              </c:strCache>
            </c:strRef>
          </c:tx>
          <c:spPr>
            <a:solidFill>
              <a:srgbClr val="000000"/>
            </a:solidFill>
            <a:ln w="3175">
              <a:solidFill>
                <a:sysClr val="windowText" lastClr="000000"/>
              </a:solidFill>
            </a:ln>
          </c:spPr>
          <c:invertIfNegative val="0"/>
          <c:dPt>
            <c:idx val="0"/>
            <c:invertIfNegative val="0"/>
            <c:bubble3D val="0"/>
            <c:extLst>
              <c:ext xmlns:c16="http://schemas.microsoft.com/office/drawing/2014/chart" uri="{C3380CC4-5D6E-409C-BE32-E72D297353CC}">
                <c16:uniqueId val="{00000000-8133-4D94-8082-D624BF0FDC71}"/>
              </c:ext>
            </c:extLst>
          </c:dPt>
          <c:dPt>
            <c:idx val="1"/>
            <c:invertIfNegative val="0"/>
            <c:bubble3D val="0"/>
            <c:extLst>
              <c:ext xmlns:c16="http://schemas.microsoft.com/office/drawing/2014/chart" uri="{C3380CC4-5D6E-409C-BE32-E72D297353CC}">
                <c16:uniqueId val="{00000001-8133-4D94-8082-D624BF0FDC71}"/>
              </c:ext>
            </c:extLst>
          </c:dPt>
          <c:dPt>
            <c:idx val="2"/>
            <c:invertIfNegative val="0"/>
            <c:bubble3D val="0"/>
            <c:extLst>
              <c:ext xmlns:c16="http://schemas.microsoft.com/office/drawing/2014/chart" uri="{C3380CC4-5D6E-409C-BE32-E72D297353CC}">
                <c16:uniqueId val="{00000002-8133-4D94-8082-D624BF0FDC71}"/>
              </c:ext>
            </c:extLst>
          </c:dPt>
          <c:dPt>
            <c:idx val="3"/>
            <c:invertIfNegative val="0"/>
            <c:bubble3D val="0"/>
            <c:extLst>
              <c:ext xmlns:c16="http://schemas.microsoft.com/office/drawing/2014/chart" uri="{C3380CC4-5D6E-409C-BE32-E72D297353CC}">
                <c16:uniqueId val="{00000003-8133-4D94-8082-D624BF0FDC71}"/>
              </c:ext>
            </c:extLst>
          </c:dPt>
          <c:dPt>
            <c:idx val="4"/>
            <c:invertIfNegative val="0"/>
            <c:bubble3D val="0"/>
            <c:extLst>
              <c:ext xmlns:c16="http://schemas.microsoft.com/office/drawing/2014/chart" uri="{C3380CC4-5D6E-409C-BE32-E72D297353CC}">
                <c16:uniqueId val="{00000004-8133-4D94-8082-D624BF0FDC71}"/>
              </c:ext>
            </c:extLst>
          </c:dPt>
          <c:dPt>
            <c:idx val="5"/>
            <c:invertIfNegative val="0"/>
            <c:bubble3D val="0"/>
            <c:extLst>
              <c:ext xmlns:c16="http://schemas.microsoft.com/office/drawing/2014/chart" uri="{C3380CC4-5D6E-409C-BE32-E72D297353CC}">
                <c16:uniqueId val="{00000005-8133-4D94-8082-D624BF0FDC71}"/>
              </c:ext>
            </c:extLst>
          </c:dPt>
          <c:dPt>
            <c:idx val="6"/>
            <c:invertIfNegative val="0"/>
            <c:bubble3D val="0"/>
            <c:extLst>
              <c:ext xmlns:c16="http://schemas.microsoft.com/office/drawing/2014/chart" uri="{C3380CC4-5D6E-409C-BE32-E72D297353CC}">
                <c16:uniqueId val="{00000006-8133-4D94-8082-D624BF0FDC71}"/>
              </c:ext>
            </c:extLst>
          </c:dPt>
          <c:dPt>
            <c:idx val="7"/>
            <c:invertIfNegative val="0"/>
            <c:bubble3D val="0"/>
            <c:extLst>
              <c:ext xmlns:c16="http://schemas.microsoft.com/office/drawing/2014/chart" uri="{C3380CC4-5D6E-409C-BE32-E72D297353CC}">
                <c16:uniqueId val="{00000007-8133-4D94-8082-D624BF0FDC71}"/>
              </c:ext>
            </c:extLst>
          </c:dPt>
          <c:dPt>
            <c:idx val="8"/>
            <c:invertIfNegative val="0"/>
            <c:bubble3D val="0"/>
            <c:extLst>
              <c:ext xmlns:c16="http://schemas.microsoft.com/office/drawing/2014/chart" uri="{C3380CC4-5D6E-409C-BE32-E72D297353CC}">
                <c16:uniqueId val="{00000008-8133-4D94-8082-D624BF0FDC71}"/>
              </c:ext>
            </c:extLst>
          </c:dPt>
          <c:dPt>
            <c:idx val="9"/>
            <c:invertIfNegative val="0"/>
            <c:bubble3D val="0"/>
            <c:extLst>
              <c:ext xmlns:c16="http://schemas.microsoft.com/office/drawing/2014/chart" uri="{C3380CC4-5D6E-409C-BE32-E72D297353CC}">
                <c16:uniqueId val="{00000009-8133-4D94-8082-D624BF0FDC71}"/>
              </c:ext>
            </c:extLst>
          </c:dPt>
          <c:dPt>
            <c:idx val="10"/>
            <c:invertIfNegative val="0"/>
            <c:bubble3D val="0"/>
            <c:extLst>
              <c:ext xmlns:c16="http://schemas.microsoft.com/office/drawing/2014/chart" uri="{C3380CC4-5D6E-409C-BE32-E72D297353CC}">
                <c16:uniqueId val="{0000000A-8133-4D94-8082-D624BF0FDC71}"/>
              </c:ext>
            </c:extLst>
          </c:dPt>
          <c:cat>
            <c:strRef>
              <c:f>Statsformat!$A$9:$A$13</c:f>
              <c:strCache>
                <c:ptCount val="5"/>
                <c:pt idx="0">
                  <c:v>2021</c:v>
                </c:pt>
                <c:pt idx="1">
                  <c:v>2022</c:v>
                </c:pt>
                <c:pt idx="2">
                  <c:v>2023</c:v>
                </c:pt>
                <c:pt idx="3">
                  <c:v>2024</c:v>
                </c:pt>
                <c:pt idx="4">
                  <c:v>2025</c:v>
                </c:pt>
              </c:strCache>
            </c:strRef>
          </c:cat>
          <c:val>
            <c:numRef>
              <c:f>Statsformat!$A$20:$A$24</c:f>
              <c:numCache>
                <c:formatCode>0</c:formatCode>
                <c:ptCount val="5"/>
                <c:pt idx="0">
                  <c:v>55.390208880569702</c:v>
                </c:pt>
                <c:pt idx="1">
                  <c:v>54.388608103381131</c:v>
                </c:pt>
                <c:pt idx="2">
                  <c:v>47.433467310987197</c:v>
                </c:pt>
                <c:pt idx="3">
                  <c:v>30.502114670022422</c:v>
                </c:pt>
                <c:pt idx="4">
                  <c:v>18.447409862944262</c:v>
                </c:pt>
              </c:numCache>
            </c:numRef>
          </c:val>
          <c:extLst>
            <c:ext xmlns:c16="http://schemas.microsoft.com/office/drawing/2014/chart" uri="{C3380CC4-5D6E-409C-BE32-E72D297353CC}">
              <c16:uniqueId val="{0000000B-8133-4D94-8082-D624BF0FDC71}"/>
            </c:ext>
          </c:extLst>
        </c:ser>
        <c:ser>
          <c:idx val="1"/>
          <c:order val="1"/>
          <c:tx>
            <c:strRef>
              <c:f>Statsformat!$C$8</c:f>
              <c:strCache>
                <c:ptCount val="1"/>
                <c:pt idx="0">
                  <c:v>Försäkring- och pension</c:v>
                </c:pt>
              </c:strCache>
            </c:strRef>
          </c:tx>
          <c:spPr>
            <a:solidFill>
              <a:srgbClr val="B4B4B4"/>
            </a:solidFill>
            <a:ln w="3175">
              <a:solidFill>
                <a:sysClr val="windowText" lastClr="000000"/>
              </a:solidFill>
            </a:ln>
          </c:spPr>
          <c:invertIfNegative val="0"/>
          <c:cat>
            <c:strRef>
              <c:f>Statsformat!$A$9:$A$13</c:f>
              <c:strCache>
                <c:ptCount val="5"/>
                <c:pt idx="0">
                  <c:v>2021</c:v>
                </c:pt>
                <c:pt idx="1">
                  <c:v>2022</c:v>
                </c:pt>
                <c:pt idx="2">
                  <c:v>2023</c:v>
                </c:pt>
                <c:pt idx="3">
                  <c:v>2024</c:v>
                </c:pt>
                <c:pt idx="4">
                  <c:v>2025</c:v>
                </c:pt>
              </c:strCache>
            </c:strRef>
          </c:cat>
          <c:val>
            <c:numRef>
              <c:f>Statsformat!$B$20:$B$24</c:f>
              <c:numCache>
                <c:formatCode>0</c:formatCode>
                <c:ptCount val="5"/>
                <c:pt idx="0">
                  <c:v>16.032112685253509</c:v>
                </c:pt>
                <c:pt idx="1">
                  <c:v>18.861394755692274</c:v>
                </c:pt>
                <c:pt idx="2">
                  <c:v>19.389120441984879</c:v>
                </c:pt>
                <c:pt idx="3">
                  <c:v>22.237695193400487</c:v>
                </c:pt>
                <c:pt idx="4">
                  <c:v>20.202559413186265</c:v>
                </c:pt>
              </c:numCache>
            </c:numRef>
          </c:val>
          <c:extLst>
            <c:ext xmlns:c16="http://schemas.microsoft.com/office/drawing/2014/chart" uri="{C3380CC4-5D6E-409C-BE32-E72D297353CC}">
              <c16:uniqueId val="{0000000C-8133-4D94-8082-D624BF0FDC71}"/>
            </c:ext>
          </c:extLst>
        </c:ser>
        <c:ser>
          <c:idx val="2"/>
          <c:order val="2"/>
          <c:tx>
            <c:strRef>
              <c:f>Statsformat!$D$8</c:f>
              <c:strCache>
                <c:ptCount val="1"/>
                <c:pt idx="0">
                  <c:v>Utland </c:v>
                </c:pt>
              </c:strCache>
            </c:strRef>
          </c:tx>
          <c:spPr>
            <a:solidFill>
              <a:srgbClr val="5A5A5A"/>
            </a:solidFill>
            <a:ln w="3175">
              <a:solidFill>
                <a:sysClr val="windowText" lastClr="000000"/>
              </a:solidFill>
            </a:ln>
          </c:spPr>
          <c:invertIfNegative val="0"/>
          <c:cat>
            <c:strRef>
              <c:f>Statsformat!$A$9:$A$13</c:f>
              <c:strCache>
                <c:ptCount val="5"/>
                <c:pt idx="0">
                  <c:v>2021</c:v>
                </c:pt>
                <c:pt idx="1">
                  <c:v>2022</c:v>
                </c:pt>
                <c:pt idx="2">
                  <c:v>2023</c:v>
                </c:pt>
                <c:pt idx="3">
                  <c:v>2024</c:v>
                </c:pt>
                <c:pt idx="4">
                  <c:v>2025</c:v>
                </c:pt>
              </c:strCache>
            </c:strRef>
          </c:cat>
          <c:val>
            <c:numRef>
              <c:f>Statsformat!$C$20:$C$24</c:f>
              <c:numCache>
                <c:formatCode>0</c:formatCode>
                <c:ptCount val="5"/>
                <c:pt idx="0">
                  <c:v>17.115382729975664</c:v>
                </c:pt>
                <c:pt idx="1">
                  <c:v>9.2091463465733963</c:v>
                </c:pt>
                <c:pt idx="2">
                  <c:v>11.927220138995107</c:v>
                </c:pt>
                <c:pt idx="3">
                  <c:v>20.426211902242212</c:v>
                </c:pt>
                <c:pt idx="4">
                  <c:v>20.422866889715394</c:v>
                </c:pt>
              </c:numCache>
            </c:numRef>
          </c:val>
          <c:extLst>
            <c:ext xmlns:c16="http://schemas.microsoft.com/office/drawing/2014/chart" uri="{C3380CC4-5D6E-409C-BE32-E72D297353CC}">
              <c16:uniqueId val="{0000000D-8133-4D94-8082-D624BF0FDC71}"/>
            </c:ext>
          </c:extLst>
        </c:ser>
        <c:ser>
          <c:idx val="3"/>
          <c:order val="3"/>
          <c:tx>
            <c:strRef>
              <c:f>Statsformat!$E$8</c:f>
              <c:strCache>
                <c:ptCount val="1"/>
                <c:pt idx="0">
                  <c:v>Offentlig sektor </c:v>
                </c:pt>
              </c:strCache>
            </c:strRef>
          </c:tx>
          <c:invertIfNegative val="0"/>
          <c:cat>
            <c:strRef>
              <c:f>Statsformat!$A$9:$A$13</c:f>
              <c:strCache>
                <c:ptCount val="5"/>
                <c:pt idx="0">
                  <c:v>2021</c:v>
                </c:pt>
                <c:pt idx="1">
                  <c:v>2022</c:v>
                </c:pt>
                <c:pt idx="2">
                  <c:v>2023</c:v>
                </c:pt>
                <c:pt idx="3">
                  <c:v>2024</c:v>
                </c:pt>
                <c:pt idx="4">
                  <c:v>2025</c:v>
                </c:pt>
              </c:strCache>
            </c:strRef>
          </c:cat>
          <c:val>
            <c:numRef>
              <c:f>Statsformat!$D$20:$D$24</c:f>
              <c:numCache>
                <c:formatCode>0</c:formatCode>
                <c:ptCount val="5"/>
                <c:pt idx="0">
                  <c:v>9.4786603364433528</c:v>
                </c:pt>
                <c:pt idx="1">
                  <c:v>9.835895967612613</c:v>
                </c:pt>
                <c:pt idx="2">
                  <c:v>9.807155791771125</c:v>
                </c:pt>
                <c:pt idx="3">
                  <c:v>10.704413976430189</c:v>
                </c:pt>
                <c:pt idx="4">
                  <c:v>11.551290577249841</c:v>
                </c:pt>
              </c:numCache>
            </c:numRef>
          </c:val>
          <c:extLst>
            <c:ext xmlns:c16="http://schemas.microsoft.com/office/drawing/2014/chart" uri="{C3380CC4-5D6E-409C-BE32-E72D297353CC}">
              <c16:uniqueId val="{0000000E-8133-4D94-8082-D624BF0FDC71}"/>
            </c:ext>
          </c:extLst>
        </c:ser>
        <c:ser>
          <c:idx val="4"/>
          <c:order val="4"/>
          <c:tx>
            <c:strRef>
              <c:f>Statsformat!$F$8</c:f>
              <c:strCache>
                <c:ptCount val="1"/>
                <c:pt idx="0">
                  <c:v>Investeringsfonder </c:v>
                </c:pt>
              </c:strCache>
            </c:strRef>
          </c:tx>
          <c:invertIfNegative val="0"/>
          <c:cat>
            <c:strRef>
              <c:f>Statsformat!$A$9:$A$13</c:f>
              <c:strCache>
                <c:ptCount val="5"/>
                <c:pt idx="0">
                  <c:v>2021</c:v>
                </c:pt>
                <c:pt idx="1">
                  <c:v>2022</c:v>
                </c:pt>
                <c:pt idx="2">
                  <c:v>2023</c:v>
                </c:pt>
                <c:pt idx="3">
                  <c:v>2024</c:v>
                </c:pt>
                <c:pt idx="4">
                  <c:v>2025</c:v>
                </c:pt>
              </c:strCache>
            </c:strRef>
          </c:cat>
          <c:val>
            <c:numRef>
              <c:f>Statsformat!$E$20:$E$24</c:f>
              <c:numCache>
                <c:formatCode>0</c:formatCode>
                <c:ptCount val="5"/>
                <c:pt idx="0">
                  <c:v>1.4104864133816908</c:v>
                </c:pt>
                <c:pt idx="1">
                  <c:v>8.726116272763754</c:v>
                </c:pt>
                <c:pt idx="2">
                  <c:v>8.7916830181323018</c:v>
                </c:pt>
                <c:pt idx="3">
                  <c:v>9.0475084731773716</c:v>
                </c:pt>
                <c:pt idx="4">
                  <c:v>11.133128163593389</c:v>
                </c:pt>
              </c:numCache>
            </c:numRef>
          </c:val>
          <c:extLst>
            <c:ext xmlns:c16="http://schemas.microsoft.com/office/drawing/2014/chart" uri="{C3380CC4-5D6E-409C-BE32-E72D297353CC}">
              <c16:uniqueId val="{0000000F-8133-4D94-8082-D624BF0FDC71}"/>
            </c:ext>
          </c:extLst>
        </c:ser>
        <c:ser>
          <c:idx val="5"/>
          <c:order val="5"/>
          <c:tx>
            <c:strRef>
              <c:f>Statsformat!$G$8</c:f>
              <c:strCache>
                <c:ptCount val="1"/>
                <c:pt idx="0">
                  <c:v>Övriga svenska investerare </c:v>
                </c:pt>
              </c:strCache>
            </c:strRef>
          </c:tx>
          <c:invertIfNegative val="0"/>
          <c:cat>
            <c:strRef>
              <c:f>Statsformat!$A$9:$A$13</c:f>
              <c:strCache>
                <c:ptCount val="5"/>
                <c:pt idx="0">
                  <c:v>2021</c:v>
                </c:pt>
                <c:pt idx="1">
                  <c:v>2022</c:v>
                </c:pt>
                <c:pt idx="2">
                  <c:v>2023</c:v>
                </c:pt>
                <c:pt idx="3">
                  <c:v>2024</c:v>
                </c:pt>
                <c:pt idx="4">
                  <c:v>2025</c:v>
                </c:pt>
              </c:strCache>
            </c:strRef>
          </c:cat>
          <c:val>
            <c:numRef>
              <c:f>Statsformat!$F$20:$F$24</c:f>
              <c:numCache>
                <c:formatCode>0</c:formatCode>
                <c:ptCount val="5"/>
                <c:pt idx="0">
                  <c:v>0.53169435881878013</c:v>
                </c:pt>
                <c:pt idx="1">
                  <c:v>0.4439144475924105</c:v>
                </c:pt>
                <c:pt idx="2">
                  <c:v>0.61180893934969893</c:v>
                </c:pt>
                <c:pt idx="3">
                  <c:v>0.62040072401089663</c:v>
                </c:pt>
                <c:pt idx="4">
                  <c:v>1.0568055453582479</c:v>
                </c:pt>
              </c:numCache>
            </c:numRef>
          </c:val>
          <c:extLst>
            <c:ext xmlns:c16="http://schemas.microsoft.com/office/drawing/2014/chart" uri="{C3380CC4-5D6E-409C-BE32-E72D297353CC}">
              <c16:uniqueId val="{00000010-8133-4D94-8082-D624BF0FDC71}"/>
            </c:ext>
          </c:extLst>
        </c:ser>
        <c:ser>
          <c:idx val="6"/>
          <c:order val="6"/>
          <c:tx>
            <c:strRef>
              <c:f>Statsformat!$H$8</c:f>
              <c:strCache>
                <c:ptCount val="1"/>
                <c:pt idx="0">
                  <c:v>MFI/banker </c:v>
                </c:pt>
              </c:strCache>
            </c:strRef>
          </c:tx>
          <c:invertIfNegative val="0"/>
          <c:cat>
            <c:strRef>
              <c:f>Statsformat!$A$9:$A$13</c:f>
              <c:strCache>
                <c:ptCount val="5"/>
                <c:pt idx="0">
                  <c:v>2021</c:v>
                </c:pt>
                <c:pt idx="1">
                  <c:v>2022</c:v>
                </c:pt>
                <c:pt idx="2">
                  <c:v>2023</c:v>
                </c:pt>
                <c:pt idx="3">
                  <c:v>2024</c:v>
                </c:pt>
                <c:pt idx="4">
                  <c:v>2025</c:v>
                </c:pt>
              </c:strCache>
            </c:strRef>
          </c:cat>
          <c:val>
            <c:numRef>
              <c:f>Statsformat!$G$20:$G$24</c:f>
              <c:numCache>
                <c:formatCode>0</c:formatCode>
                <c:ptCount val="5"/>
                <c:pt idx="0">
                  <c:v>4.1454595557304866E-2</c:v>
                </c:pt>
                <c:pt idx="1">
                  <c:v>-1.4650758936155772</c:v>
                </c:pt>
                <c:pt idx="2">
                  <c:v>2.0395443587796893</c:v>
                </c:pt>
                <c:pt idx="3">
                  <c:v>6.4616550607164189</c:v>
                </c:pt>
                <c:pt idx="4">
                  <c:v>17.185939547952596</c:v>
                </c:pt>
              </c:numCache>
            </c:numRef>
          </c:val>
          <c:extLst>
            <c:ext xmlns:c16="http://schemas.microsoft.com/office/drawing/2014/chart" uri="{C3380CC4-5D6E-409C-BE32-E72D297353CC}">
              <c16:uniqueId val="{00000011-8133-4D94-8082-D624BF0FDC71}"/>
            </c:ext>
          </c:extLst>
        </c:ser>
        <c:dLbls>
          <c:showLegendKey val="0"/>
          <c:showVal val="0"/>
          <c:showCatName val="0"/>
          <c:showSerName val="0"/>
          <c:showPercent val="0"/>
          <c:showBubbleSize val="0"/>
        </c:dLbls>
        <c:gapWidth val="50"/>
        <c:axId val="81201024"/>
        <c:axId val="81202560"/>
        <c:extLst>
          <c:ext xmlns:c15="http://schemas.microsoft.com/office/drawing/2012/chart" uri="{02D57815-91ED-43cb-92C2-25804820EDAC}">
            <c15:filteredBarSeries>
              <c15:ser>
                <c:idx val="7"/>
                <c:order val="7"/>
                <c:tx>
                  <c:strRef>
                    <c:extLst>
                      <c:ext uri="{02D57815-91ED-43cb-92C2-25804820EDAC}">
                        <c15:formulaRef>
                          <c15:sqref>Statsformat!$I$8</c15:sqref>
                        </c15:formulaRef>
                      </c:ext>
                    </c:extLst>
                    <c:strCache>
                      <c:ptCount val="1"/>
                      <c:pt idx="0">
                        <c:v>Totalt</c:v>
                      </c:pt>
                    </c:strCache>
                  </c:strRef>
                </c:tx>
                <c:invertIfNegative val="0"/>
                <c:cat>
                  <c:strRef>
                    <c:extLst>
                      <c:ext uri="{02D57815-91ED-43cb-92C2-25804820EDAC}">
                        <c15:formulaRef>
                          <c15:sqref>Statsformat!$A$9:$A$13</c15:sqref>
                        </c15:formulaRef>
                      </c:ext>
                    </c:extLst>
                    <c:strCache>
                      <c:ptCount val="5"/>
                      <c:pt idx="0">
                        <c:v>2021</c:v>
                      </c:pt>
                      <c:pt idx="1">
                        <c:v>2022</c:v>
                      </c:pt>
                      <c:pt idx="2">
                        <c:v>2023</c:v>
                      </c:pt>
                      <c:pt idx="3">
                        <c:v>2024</c:v>
                      </c:pt>
                      <c:pt idx="4">
                        <c:v>2025</c:v>
                      </c:pt>
                    </c:strCache>
                  </c:strRef>
                </c:cat>
                <c:val>
                  <c:numRef>
                    <c:extLst>
                      <c:ext uri="{02D57815-91ED-43cb-92C2-25804820EDAC}">
                        <c15:formulaRef>
                          <c15:sqref>Statsformat!$H$20:$H$24</c15:sqref>
                        </c15:formulaRef>
                      </c:ext>
                    </c:extLst>
                    <c:numCache>
                      <c:formatCode>0.0</c:formatCode>
                      <c:ptCount val="5"/>
                      <c:pt idx="0">
                        <c:v>100.00000000000001</c:v>
                      </c:pt>
                      <c:pt idx="1">
                        <c:v>100</c:v>
                      </c:pt>
                      <c:pt idx="2">
                        <c:v>100.00000000000001</c:v>
                      </c:pt>
                      <c:pt idx="3">
                        <c:v>100</c:v>
                      </c:pt>
                      <c:pt idx="4">
                        <c:v>99.999999999999986</c:v>
                      </c:pt>
                    </c:numCache>
                  </c:numRef>
                </c:val>
                <c:extLst>
                  <c:ext xmlns:c16="http://schemas.microsoft.com/office/drawing/2014/chart" uri="{C3380CC4-5D6E-409C-BE32-E72D297353CC}">
                    <c16:uniqueId val="{00000012-8133-4D94-8082-D624BF0FDC71}"/>
                  </c:ext>
                </c:extLst>
              </c15:ser>
            </c15:filteredBarSeries>
          </c:ext>
        </c:extLst>
      </c:barChart>
      <c:catAx>
        <c:axId val="81201024"/>
        <c:scaling>
          <c:orientation val="minMax"/>
        </c:scaling>
        <c:delete val="0"/>
        <c:axPos val="b"/>
        <c:numFmt formatCode="General"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02560"/>
        <c:crosses val="autoZero"/>
        <c:auto val="1"/>
        <c:lblAlgn val="ctr"/>
        <c:lblOffset val="100"/>
        <c:noMultiLvlLbl val="1"/>
      </c:catAx>
      <c:valAx>
        <c:axId val="81202560"/>
        <c:scaling>
          <c:orientation val="minMax"/>
          <c:max val="100"/>
          <c:min val="-10"/>
        </c:scaling>
        <c:delete val="0"/>
        <c:axPos val="l"/>
        <c:numFmt formatCode="0"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01024"/>
        <c:crossesAt val="1"/>
        <c:crossBetween val="between"/>
        <c:majorUnit val="10"/>
        <c:minorUnit val="10"/>
      </c:valAx>
      <c:spPr>
        <a:noFill/>
        <a:ln w="3175">
          <a:solidFill>
            <a:srgbClr val="000000"/>
          </a:solidFill>
          <a:prstDash val="solid"/>
        </a:ln>
      </c:spPr>
    </c:plotArea>
    <c:legend>
      <c:legendPos val="t"/>
      <c:layout>
        <c:manualLayout>
          <c:xMode val="edge"/>
          <c:yMode val="edge"/>
          <c:x val="0.10768551587301586"/>
          <c:y val="6.7104468599033823E-2"/>
          <c:w val="0.8381753472222222"/>
          <c:h val="0.19524909420289854"/>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6159474206349206E-2"/>
          <c:y val="4.0608771135265703E-2"/>
          <c:w val="0.91759499007936507"/>
          <c:h val="0.89180706521739128"/>
        </c:manualLayout>
      </c:layout>
      <c:lineChart>
        <c:grouping val="standard"/>
        <c:varyColors val="0"/>
        <c:ser>
          <c:idx val="2"/>
          <c:order val="2"/>
          <c:tx>
            <c:strRef>
              <c:f>Statsformat!$D$8</c:f>
              <c:strCache>
                <c:ptCount val="1"/>
                <c:pt idx="0">
                  <c:v>Andel förfall inom 1 år</c:v>
                </c:pt>
              </c:strCache>
            </c:strRef>
          </c:tx>
          <c:spPr>
            <a:ln w="12700">
              <a:solidFill>
                <a:srgbClr val="000000"/>
              </a:solidFill>
              <a:prstDash val="sysDash"/>
            </a:ln>
          </c:spPr>
          <c:marker>
            <c:symbol val="none"/>
          </c:marker>
          <c:cat>
            <c:numRef>
              <c:f>Statsformat!$A$9:$A$14</c:f>
              <c:numCache>
                <c:formatCode>m/d/yyyy</c:formatCode>
                <c:ptCount val="5"/>
                <c:pt idx="0">
                  <c:v>44560</c:v>
                </c:pt>
                <c:pt idx="1">
                  <c:v>44925</c:v>
                </c:pt>
                <c:pt idx="2">
                  <c:v>45290</c:v>
                </c:pt>
                <c:pt idx="3">
                  <c:v>45656</c:v>
                </c:pt>
                <c:pt idx="4">
                  <c:v>46021</c:v>
                </c:pt>
              </c:numCache>
            </c:numRef>
          </c:cat>
          <c:val>
            <c:numRef>
              <c:f>Statsformat!$D$9:$D$14</c:f>
              <c:numCache>
                <c:formatCode>0.00</c:formatCode>
                <c:ptCount val="5"/>
                <c:pt idx="0">
                  <c:v>0.28905331813495277</c:v>
                </c:pt>
                <c:pt idx="1">
                  <c:v>0.27829516891856659</c:v>
                </c:pt>
                <c:pt idx="2">
                  <c:v>0.24798922639924947</c:v>
                </c:pt>
                <c:pt idx="3">
                  <c:v>0.25955477797455939</c:v>
                </c:pt>
                <c:pt idx="4">
                  <c:v>0.31527009698059377</c:v>
                </c:pt>
              </c:numCache>
            </c:numRef>
          </c:val>
          <c:smooth val="0"/>
          <c:extLst>
            <c:ext xmlns:c16="http://schemas.microsoft.com/office/drawing/2014/chart" uri="{C3380CC4-5D6E-409C-BE32-E72D297353CC}">
              <c16:uniqueId val="{00000000-EE79-4F1A-8546-E105855C188B}"/>
            </c:ext>
          </c:extLst>
        </c:ser>
        <c:ser>
          <c:idx val="3"/>
          <c:order val="3"/>
          <c:tx>
            <c:strRef>
              <c:f>Statsformat!$E$8</c:f>
              <c:strCache>
                <c:ptCount val="1"/>
                <c:pt idx="0">
                  <c:v>Andel förfall inom 5 år</c:v>
                </c:pt>
              </c:strCache>
            </c:strRef>
          </c:tx>
          <c:marker>
            <c:symbol val="none"/>
          </c:marker>
          <c:cat>
            <c:numRef>
              <c:f>Statsformat!$A$9:$A$14</c:f>
              <c:numCache>
                <c:formatCode>m/d/yyyy</c:formatCode>
                <c:ptCount val="5"/>
                <c:pt idx="0">
                  <c:v>44560</c:v>
                </c:pt>
                <c:pt idx="1">
                  <c:v>44925</c:v>
                </c:pt>
                <c:pt idx="2">
                  <c:v>45290</c:v>
                </c:pt>
                <c:pt idx="3">
                  <c:v>45656</c:v>
                </c:pt>
                <c:pt idx="4">
                  <c:v>46021</c:v>
                </c:pt>
              </c:numCache>
            </c:numRef>
          </c:cat>
          <c:val>
            <c:numRef>
              <c:f>Statsformat!$E$9:$E$14</c:f>
              <c:numCache>
                <c:formatCode>0.00</c:formatCode>
                <c:ptCount val="5"/>
                <c:pt idx="0">
                  <c:v>0.61441252597263174</c:v>
                </c:pt>
                <c:pt idx="1">
                  <c:v>0.58970390246819526</c:v>
                </c:pt>
                <c:pt idx="2">
                  <c:v>0.58338734714914053</c:v>
                </c:pt>
                <c:pt idx="3">
                  <c:v>0.61191331829030016</c:v>
                </c:pt>
                <c:pt idx="4">
                  <c:v>0.65667482171745728</c:v>
                </c:pt>
              </c:numCache>
            </c:numRef>
          </c:val>
          <c:smooth val="0"/>
          <c:extLst>
            <c:ext xmlns:c16="http://schemas.microsoft.com/office/drawing/2014/chart" uri="{C3380CC4-5D6E-409C-BE32-E72D297353CC}">
              <c16:uniqueId val="{00000001-EE79-4F1A-8546-E105855C188B}"/>
            </c:ext>
          </c:extLst>
        </c:ser>
        <c:dLbls>
          <c:showLegendKey val="0"/>
          <c:showVal val="0"/>
          <c:showCatName val="0"/>
          <c:showSerName val="0"/>
          <c:showPercent val="0"/>
          <c:showBubbleSize val="0"/>
        </c:dLbls>
        <c:marker val="1"/>
        <c:smooth val="0"/>
        <c:axId val="81240832"/>
        <c:axId val="81242368"/>
        <c:extLst>
          <c:ext xmlns:c15="http://schemas.microsoft.com/office/drawing/2012/chart" uri="{02D57815-91ED-43cb-92C2-25804820EDAC}">
            <c15:filteredLineSeries>
              <c15:ser>
                <c:idx val="0"/>
                <c:order val="0"/>
                <c:tx>
                  <c:strRef>
                    <c:extLst>
                      <c:ext uri="{02D57815-91ED-43cb-92C2-25804820EDAC}">
                        <c15:formulaRef>
                          <c15:sqref>Statsformat!$B$8</c15:sqref>
                        </c15:formulaRef>
                      </c:ext>
                    </c:extLst>
                    <c:strCache>
                      <c:ptCount val="1"/>
                      <c:pt idx="0">
                        <c:v>Andel förfall inom 1 år (EA)</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2-EE79-4F1A-8546-E105855C188B}"/>
                    </c:ext>
                  </c:extLst>
                </c:dPt>
                <c:dPt>
                  <c:idx val="1"/>
                  <c:bubble3D val="0"/>
                  <c:extLst>
                    <c:ext xmlns:c16="http://schemas.microsoft.com/office/drawing/2014/chart" uri="{C3380CC4-5D6E-409C-BE32-E72D297353CC}">
                      <c16:uniqueId val="{00000003-EE79-4F1A-8546-E105855C188B}"/>
                    </c:ext>
                  </c:extLst>
                </c:dPt>
                <c:dPt>
                  <c:idx val="2"/>
                  <c:bubble3D val="0"/>
                  <c:extLst>
                    <c:ext xmlns:c16="http://schemas.microsoft.com/office/drawing/2014/chart" uri="{C3380CC4-5D6E-409C-BE32-E72D297353CC}">
                      <c16:uniqueId val="{00000004-EE79-4F1A-8546-E105855C188B}"/>
                    </c:ext>
                  </c:extLst>
                </c:dPt>
                <c:dPt>
                  <c:idx val="3"/>
                  <c:bubble3D val="0"/>
                  <c:extLst>
                    <c:ext xmlns:c16="http://schemas.microsoft.com/office/drawing/2014/chart" uri="{C3380CC4-5D6E-409C-BE32-E72D297353CC}">
                      <c16:uniqueId val="{00000005-EE79-4F1A-8546-E105855C188B}"/>
                    </c:ext>
                  </c:extLst>
                </c:dPt>
                <c:dPt>
                  <c:idx val="4"/>
                  <c:bubble3D val="0"/>
                  <c:extLst>
                    <c:ext xmlns:c16="http://schemas.microsoft.com/office/drawing/2014/chart" uri="{C3380CC4-5D6E-409C-BE32-E72D297353CC}">
                      <c16:uniqueId val="{00000006-EE79-4F1A-8546-E105855C188B}"/>
                    </c:ext>
                  </c:extLst>
                </c:dPt>
                <c:dPt>
                  <c:idx val="5"/>
                  <c:bubble3D val="0"/>
                  <c:extLst>
                    <c:ext xmlns:c16="http://schemas.microsoft.com/office/drawing/2014/chart" uri="{C3380CC4-5D6E-409C-BE32-E72D297353CC}">
                      <c16:uniqueId val="{00000007-EE79-4F1A-8546-E105855C188B}"/>
                    </c:ext>
                  </c:extLst>
                </c:dPt>
                <c:dPt>
                  <c:idx val="6"/>
                  <c:bubble3D val="0"/>
                  <c:extLst>
                    <c:ext xmlns:c16="http://schemas.microsoft.com/office/drawing/2014/chart" uri="{C3380CC4-5D6E-409C-BE32-E72D297353CC}">
                      <c16:uniqueId val="{00000008-EE79-4F1A-8546-E105855C188B}"/>
                    </c:ext>
                  </c:extLst>
                </c:dPt>
                <c:dPt>
                  <c:idx val="7"/>
                  <c:bubble3D val="0"/>
                  <c:extLst>
                    <c:ext xmlns:c16="http://schemas.microsoft.com/office/drawing/2014/chart" uri="{C3380CC4-5D6E-409C-BE32-E72D297353CC}">
                      <c16:uniqueId val="{00000009-EE79-4F1A-8546-E105855C188B}"/>
                    </c:ext>
                  </c:extLst>
                </c:dPt>
                <c:dPt>
                  <c:idx val="8"/>
                  <c:bubble3D val="0"/>
                  <c:extLst>
                    <c:ext xmlns:c16="http://schemas.microsoft.com/office/drawing/2014/chart" uri="{C3380CC4-5D6E-409C-BE32-E72D297353CC}">
                      <c16:uniqueId val="{0000000A-EE79-4F1A-8546-E105855C188B}"/>
                    </c:ext>
                  </c:extLst>
                </c:dPt>
                <c:dPt>
                  <c:idx val="9"/>
                  <c:bubble3D val="0"/>
                  <c:extLst>
                    <c:ext xmlns:c16="http://schemas.microsoft.com/office/drawing/2014/chart" uri="{C3380CC4-5D6E-409C-BE32-E72D297353CC}">
                      <c16:uniqueId val="{0000000B-EE79-4F1A-8546-E105855C188B}"/>
                    </c:ext>
                  </c:extLst>
                </c:dPt>
                <c:dPt>
                  <c:idx val="10"/>
                  <c:bubble3D val="0"/>
                  <c:extLst>
                    <c:ext xmlns:c16="http://schemas.microsoft.com/office/drawing/2014/chart" uri="{C3380CC4-5D6E-409C-BE32-E72D297353CC}">
                      <c16:uniqueId val="{0000000C-EE79-4F1A-8546-E105855C188B}"/>
                    </c:ext>
                  </c:extLst>
                </c:dPt>
                <c:cat>
                  <c:numRef>
                    <c:extLst>
                      <c:ext uri="{02D57815-91ED-43cb-92C2-25804820EDAC}">
                        <c15:formulaRef>
                          <c15:sqref>Statsformat!$A$9:$A$14</c15:sqref>
                        </c15:formulaRef>
                      </c:ext>
                    </c:extLst>
                    <c:numCache>
                      <c:formatCode>m/d/yyyy</c:formatCode>
                      <c:ptCount val="5"/>
                      <c:pt idx="0">
                        <c:v>44560</c:v>
                      </c:pt>
                      <c:pt idx="1">
                        <c:v>44925</c:v>
                      </c:pt>
                      <c:pt idx="2">
                        <c:v>45290</c:v>
                      </c:pt>
                      <c:pt idx="3">
                        <c:v>45656</c:v>
                      </c:pt>
                      <c:pt idx="4">
                        <c:v>46021</c:v>
                      </c:pt>
                    </c:numCache>
                  </c:numRef>
                </c:cat>
                <c:val>
                  <c:numRef>
                    <c:extLst>
                      <c:ext uri="{02D57815-91ED-43cb-92C2-25804820EDAC}">
                        <c15:formulaRef>
                          <c15:sqref>Statsformat!$B$9:$B$14</c15:sqref>
                        </c15:formulaRef>
                      </c:ext>
                    </c:extLst>
                    <c:numCache>
                      <c:formatCode>0.00</c:formatCode>
                      <c:ptCount val="5"/>
                      <c:pt idx="0">
                        <c:v>0.14640435747920197</c:v>
                      </c:pt>
                      <c:pt idx="1">
                        <c:v>0.14283693551033508</c:v>
                      </c:pt>
                      <c:pt idx="2">
                        <c:v>0.14616372232317726</c:v>
                      </c:pt>
                      <c:pt idx="3">
                        <c:v>0.14308824753977606</c:v>
                      </c:pt>
                      <c:pt idx="4">
                        <c:v>0.14217982287051187</c:v>
                      </c:pt>
                    </c:numCache>
                  </c:numRef>
                </c:val>
                <c:smooth val="0"/>
                <c:extLst>
                  <c:ext xmlns:c16="http://schemas.microsoft.com/office/drawing/2014/chart" uri="{C3380CC4-5D6E-409C-BE32-E72D297353CC}">
                    <c16:uniqueId val="{0000000D-EE79-4F1A-8546-E105855C188B}"/>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Statsformat!$C$8</c15:sqref>
                        </c15:formulaRef>
                      </c:ext>
                    </c:extLst>
                    <c:strCache>
                      <c:ptCount val="1"/>
                      <c:pt idx="0">
                        <c:v>Andel förfall inom 5 år (EA)</c:v>
                      </c:pt>
                    </c:strCache>
                  </c:strRef>
                </c:tx>
                <c:spPr>
                  <a:ln w="25400">
                    <a:solidFill>
                      <a:srgbClr val="000000"/>
                    </a:solidFill>
                    <a:prstDash val="solid"/>
                  </a:ln>
                </c:spPr>
                <c:marker>
                  <c:symbol val="none"/>
                </c:marker>
                <c:cat>
                  <c:numRef>
                    <c:extLst xmlns:c15="http://schemas.microsoft.com/office/drawing/2012/chart">
                      <c:ext xmlns:c15="http://schemas.microsoft.com/office/drawing/2012/chart" uri="{02D57815-91ED-43cb-92C2-25804820EDAC}">
                        <c15:formulaRef>
                          <c15:sqref>Statsformat!$A$9:$A$14</c15:sqref>
                        </c15:formulaRef>
                      </c:ext>
                    </c:extLst>
                    <c:numCache>
                      <c:formatCode>m/d/yyyy</c:formatCode>
                      <c:ptCount val="5"/>
                      <c:pt idx="0">
                        <c:v>44560</c:v>
                      </c:pt>
                      <c:pt idx="1">
                        <c:v>44925</c:v>
                      </c:pt>
                      <c:pt idx="2">
                        <c:v>45290</c:v>
                      </c:pt>
                      <c:pt idx="3">
                        <c:v>45656</c:v>
                      </c:pt>
                      <c:pt idx="4">
                        <c:v>46021</c:v>
                      </c:pt>
                    </c:numCache>
                  </c:numRef>
                </c:cat>
                <c:val>
                  <c:numRef>
                    <c:extLst xmlns:c15="http://schemas.microsoft.com/office/drawing/2012/chart">
                      <c:ext xmlns:c15="http://schemas.microsoft.com/office/drawing/2012/chart" uri="{02D57815-91ED-43cb-92C2-25804820EDAC}">
                        <c15:formulaRef>
                          <c15:sqref>Statsformat!$C$9:$C$14</c15:sqref>
                        </c15:formulaRef>
                      </c:ext>
                    </c:extLst>
                    <c:numCache>
                      <c:formatCode>0.00</c:formatCode>
                      <c:ptCount val="5"/>
                      <c:pt idx="0">
                        <c:v>0.47173178138594407</c:v>
                      </c:pt>
                      <c:pt idx="1">
                        <c:v>0.46092886140547029</c:v>
                      </c:pt>
                      <c:pt idx="2">
                        <c:v>0.46430614583487356</c:v>
                      </c:pt>
                      <c:pt idx="3">
                        <c:v>0.46495595913196092</c:v>
                      </c:pt>
                      <c:pt idx="4">
                        <c:v>0.45802982061652536</c:v>
                      </c:pt>
                    </c:numCache>
                  </c:numRef>
                </c:val>
                <c:smooth val="0"/>
                <c:extLst xmlns:c15="http://schemas.microsoft.com/office/drawing/2012/chart">
                  <c:ext xmlns:c16="http://schemas.microsoft.com/office/drawing/2014/chart" uri="{C3380CC4-5D6E-409C-BE32-E72D297353CC}">
                    <c16:uniqueId val="{0000000E-EE79-4F1A-8546-E105855C188B}"/>
                  </c:ext>
                </c:extLst>
              </c15:ser>
            </c15:filteredLineSeries>
            <c15:filteredLineSeries>
              <c15:ser>
                <c:idx val="6"/>
                <c:order val="6"/>
                <c:tx>
                  <c:strRef>
                    <c:extLst xmlns:c15="http://schemas.microsoft.com/office/drawing/2012/chart">
                      <c:ext xmlns:c15="http://schemas.microsoft.com/office/drawing/2012/chart" uri="{02D57815-91ED-43cb-92C2-25804820EDAC}">
                        <c15:formulaRef>
                          <c15:sqref>Statsformat!$H$8</c15:sqref>
                        </c15:formulaRef>
                      </c:ext>
                    </c:extLst>
                    <c:strCache>
                      <c:ptCount val="1"/>
                      <c:pt idx="0">
                        <c:v>Förfall inom 1 år /BNP (EA)</c:v>
                      </c:pt>
                    </c:strCache>
                  </c:strRef>
                </c:tx>
                <c:marker>
                  <c:symbol val="none"/>
                </c:marker>
                <c:cat>
                  <c:numRef>
                    <c:extLst xmlns:c15="http://schemas.microsoft.com/office/drawing/2012/chart">
                      <c:ext xmlns:c15="http://schemas.microsoft.com/office/drawing/2012/chart" uri="{02D57815-91ED-43cb-92C2-25804820EDAC}">
                        <c15:formulaRef>
                          <c15:sqref>Statsformat!$A$9:$A$14</c15:sqref>
                        </c15:formulaRef>
                      </c:ext>
                    </c:extLst>
                    <c:numCache>
                      <c:formatCode>m/d/yyyy</c:formatCode>
                      <c:ptCount val="5"/>
                      <c:pt idx="0">
                        <c:v>44560</c:v>
                      </c:pt>
                      <c:pt idx="1">
                        <c:v>44925</c:v>
                      </c:pt>
                      <c:pt idx="2">
                        <c:v>45290</c:v>
                      </c:pt>
                      <c:pt idx="3">
                        <c:v>45656</c:v>
                      </c:pt>
                      <c:pt idx="4">
                        <c:v>46021</c:v>
                      </c:pt>
                    </c:numCache>
                  </c:numRef>
                </c:cat>
                <c:val>
                  <c:numRef>
                    <c:extLst xmlns:c15="http://schemas.microsoft.com/office/drawing/2012/chart">
                      <c:ext xmlns:c15="http://schemas.microsoft.com/office/drawing/2012/chart" uri="{02D57815-91ED-43cb-92C2-25804820EDAC}">
                        <c15:formulaRef>
                          <c15:sqref>Statsformat!$H$9:$H$14</c15:sqref>
                        </c15:formulaRef>
                      </c:ext>
                    </c:extLst>
                    <c:numCache>
                      <c:formatCode>General</c:formatCode>
                      <c:ptCount val="5"/>
                      <c:pt idx="0">
                        <c:v>0.11582958378845183</c:v>
                      </c:pt>
                      <c:pt idx="1">
                        <c:v>0.10899162834492794</c:v>
                      </c:pt>
                      <c:pt idx="2">
                        <c:v>0.10867112796676817</c:v>
                      </c:pt>
                      <c:pt idx="3">
                        <c:v>0.10486470930446613</c:v>
                      </c:pt>
                      <c:pt idx="4">
                        <c:v>0.10470706143328593</c:v>
                      </c:pt>
                    </c:numCache>
                  </c:numRef>
                </c:val>
                <c:smooth val="0"/>
                <c:extLst xmlns:c15="http://schemas.microsoft.com/office/drawing/2012/chart">
                  <c:ext xmlns:c16="http://schemas.microsoft.com/office/drawing/2014/chart" uri="{C3380CC4-5D6E-409C-BE32-E72D297353CC}">
                    <c16:uniqueId val="{00000011-EE79-4F1A-8546-E105855C188B}"/>
                  </c:ext>
                </c:extLst>
              </c15:ser>
            </c15:filteredLineSeries>
            <c15:filteredLineSeries>
              <c15:ser>
                <c:idx val="7"/>
                <c:order val="7"/>
                <c:tx>
                  <c:strRef>
                    <c:extLst xmlns:c15="http://schemas.microsoft.com/office/drawing/2012/chart">
                      <c:ext xmlns:c15="http://schemas.microsoft.com/office/drawing/2012/chart" uri="{02D57815-91ED-43cb-92C2-25804820EDAC}">
                        <c15:formulaRef>
                          <c15:sqref>Statsformat!$I$8</c15:sqref>
                        </c15:formulaRef>
                      </c:ext>
                    </c:extLst>
                    <c:strCache>
                      <c:ptCount val="1"/>
                      <c:pt idx="0">
                        <c:v>Förfall inom 5 år /BNP (EA)</c:v>
                      </c:pt>
                    </c:strCache>
                  </c:strRef>
                </c:tx>
                <c:marker>
                  <c:symbol val="none"/>
                </c:marker>
                <c:cat>
                  <c:numRef>
                    <c:extLst xmlns:c15="http://schemas.microsoft.com/office/drawing/2012/chart">
                      <c:ext xmlns:c15="http://schemas.microsoft.com/office/drawing/2012/chart" uri="{02D57815-91ED-43cb-92C2-25804820EDAC}">
                        <c15:formulaRef>
                          <c15:sqref>Statsformat!$A$9:$A$14</c15:sqref>
                        </c15:formulaRef>
                      </c:ext>
                    </c:extLst>
                    <c:numCache>
                      <c:formatCode>m/d/yyyy</c:formatCode>
                      <c:ptCount val="5"/>
                      <c:pt idx="0">
                        <c:v>44560</c:v>
                      </c:pt>
                      <c:pt idx="1">
                        <c:v>44925</c:v>
                      </c:pt>
                      <c:pt idx="2">
                        <c:v>45290</c:v>
                      </c:pt>
                      <c:pt idx="3">
                        <c:v>45656</c:v>
                      </c:pt>
                      <c:pt idx="4">
                        <c:v>46021</c:v>
                      </c:pt>
                    </c:numCache>
                  </c:numRef>
                </c:cat>
                <c:val>
                  <c:numRef>
                    <c:extLst xmlns:c15="http://schemas.microsoft.com/office/drawing/2012/chart">
                      <c:ext xmlns:c15="http://schemas.microsoft.com/office/drawing/2012/chart" uri="{02D57815-91ED-43cb-92C2-25804820EDAC}">
                        <c15:formulaRef>
                          <c15:sqref>Statsformat!$I$9:$I$14</c15:sqref>
                        </c15:formulaRef>
                      </c:ext>
                    </c:extLst>
                    <c:numCache>
                      <c:formatCode>General</c:formatCode>
                      <c:ptCount val="5"/>
                      <c:pt idx="0">
                        <c:v>0.37321632250926012</c:v>
                      </c:pt>
                      <c:pt idx="1">
                        <c:v>0.35171146017845539</c:v>
                      </c:pt>
                      <c:pt idx="2">
                        <c:v>0.34520653817378549</c:v>
                      </c:pt>
                      <c:pt idx="3">
                        <c:v>0.34075105630319902</c:v>
                      </c:pt>
                      <c:pt idx="4">
                        <c:v>0.3373119729460442</c:v>
                      </c:pt>
                    </c:numCache>
                  </c:numRef>
                </c:val>
                <c:smooth val="0"/>
                <c:extLst xmlns:c15="http://schemas.microsoft.com/office/drawing/2012/chart">
                  <c:ext xmlns:c16="http://schemas.microsoft.com/office/drawing/2014/chart" uri="{C3380CC4-5D6E-409C-BE32-E72D297353CC}">
                    <c16:uniqueId val="{00000012-EE79-4F1A-8546-E105855C188B}"/>
                  </c:ext>
                </c:extLst>
              </c15:ser>
            </c15:filteredLineSeries>
          </c:ext>
        </c:extLst>
      </c:lineChart>
      <c:lineChart>
        <c:grouping val="standard"/>
        <c:varyColors val="0"/>
        <c:dLbls>
          <c:showLegendKey val="0"/>
          <c:showVal val="0"/>
          <c:showCatName val="0"/>
          <c:showSerName val="0"/>
          <c:showPercent val="0"/>
          <c:showBubbleSize val="0"/>
        </c:dLbls>
        <c:marker val="1"/>
        <c:smooth val="0"/>
        <c:axId val="15437343"/>
        <c:axId val="15436263"/>
        <c:extLst>
          <c:ext xmlns:c15="http://schemas.microsoft.com/office/drawing/2012/chart" uri="{02D57815-91ED-43cb-92C2-25804820EDAC}">
            <c15:filteredLineSeries>
              <c15:ser>
                <c:idx val="4"/>
                <c:order val="4"/>
                <c:tx>
                  <c:strRef>
                    <c:extLst>
                      <c:ext uri="{02D57815-91ED-43cb-92C2-25804820EDAC}">
                        <c15:formulaRef>
                          <c15:sqref>Statsformat!$F$8</c15:sqref>
                        </c15:formulaRef>
                      </c:ext>
                    </c:extLst>
                    <c:strCache>
                      <c:ptCount val="1"/>
                      <c:pt idx="0">
                        <c:v>Förfall inom 1 år /BNP (höger axel)</c:v>
                      </c:pt>
                    </c:strCache>
                  </c:strRef>
                </c:tx>
                <c:marker>
                  <c:symbol val="none"/>
                </c:marker>
                <c:cat>
                  <c:numRef>
                    <c:extLst>
                      <c:ext uri="{02D57815-91ED-43cb-92C2-25804820EDAC}">
                        <c15:formulaRef>
                          <c15:sqref>Statsformat!$A$9:$A$14</c15:sqref>
                        </c15:formulaRef>
                      </c:ext>
                    </c:extLst>
                    <c:numCache>
                      <c:formatCode>m/d/yyyy</c:formatCode>
                      <c:ptCount val="5"/>
                      <c:pt idx="0">
                        <c:v>44560</c:v>
                      </c:pt>
                      <c:pt idx="1">
                        <c:v>44925</c:v>
                      </c:pt>
                      <c:pt idx="2">
                        <c:v>45290</c:v>
                      </c:pt>
                      <c:pt idx="3">
                        <c:v>45656</c:v>
                      </c:pt>
                      <c:pt idx="4">
                        <c:v>46021</c:v>
                      </c:pt>
                    </c:numCache>
                  </c:numRef>
                </c:cat>
                <c:val>
                  <c:numRef>
                    <c:extLst>
                      <c:ext uri="{02D57815-91ED-43cb-92C2-25804820EDAC}">
                        <c15:formulaRef>
                          <c15:sqref>Statsformat!$F$9:$F$14</c15:sqref>
                        </c15:formulaRef>
                      </c:ext>
                    </c:extLst>
                    <c:numCache>
                      <c:formatCode>General</c:formatCode>
                      <c:ptCount val="5"/>
                      <c:pt idx="0">
                        <c:v>6.9172880555414581E-2</c:v>
                      </c:pt>
                      <c:pt idx="1">
                        <c:v>5.6319379167973777E-2</c:v>
                      </c:pt>
                      <c:pt idx="2">
                        <c:v>4.3540309003653785E-2</c:v>
                      </c:pt>
                      <c:pt idx="3">
                        <c:v>4.4527584491887158E-2</c:v>
                      </c:pt>
                      <c:pt idx="4">
                        <c:v>5.7052278039550576E-2</c:v>
                      </c:pt>
                    </c:numCache>
                  </c:numRef>
                </c:val>
                <c:smooth val="0"/>
                <c:extLst>
                  <c:ext xmlns:c16="http://schemas.microsoft.com/office/drawing/2014/chart" uri="{C3380CC4-5D6E-409C-BE32-E72D297353CC}">
                    <c16:uniqueId val="{0000000F-EE79-4F1A-8546-E105855C188B}"/>
                  </c:ext>
                </c:extLst>
              </c15:ser>
            </c15:filteredLineSeries>
            <c15:filteredLineSeries>
              <c15:ser>
                <c:idx val="5"/>
                <c:order val="5"/>
                <c:tx>
                  <c:strRef>
                    <c:extLst xmlns:c15="http://schemas.microsoft.com/office/drawing/2012/chart">
                      <c:ext xmlns:c15="http://schemas.microsoft.com/office/drawing/2012/chart" uri="{02D57815-91ED-43cb-92C2-25804820EDAC}">
                        <c15:formulaRef>
                          <c15:sqref>Statsformat!$G$8</c15:sqref>
                        </c15:formulaRef>
                      </c:ext>
                    </c:extLst>
                    <c:strCache>
                      <c:ptCount val="1"/>
                      <c:pt idx="0">
                        <c:v>Förfall inom 5 år /BNP (höger axel)</c:v>
                      </c:pt>
                    </c:strCache>
                  </c:strRef>
                </c:tx>
                <c:marker>
                  <c:symbol val="none"/>
                </c:marker>
                <c:cat>
                  <c:numRef>
                    <c:extLst xmlns:c15="http://schemas.microsoft.com/office/drawing/2012/chart">
                      <c:ext xmlns:c15="http://schemas.microsoft.com/office/drawing/2012/chart" uri="{02D57815-91ED-43cb-92C2-25804820EDAC}">
                        <c15:formulaRef>
                          <c15:sqref>Statsformat!$A$9:$A$14</c15:sqref>
                        </c15:formulaRef>
                      </c:ext>
                    </c:extLst>
                    <c:numCache>
                      <c:formatCode>m/d/yyyy</c:formatCode>
                      <c:ptCount val="5"/>
                      <c:pt idx="0">
                        <c:v>44560</c:v>
                      </c:pt>
                      <c:pt idx="1">
                        <c:v>44925</c:v>
                      </c:pt>
                      <c:pt idx="2">
                        <c:v>45290</c:v>
                      </c:pt>
                      <c:pt idx="3">
                        <c:v>45656</c:v>
                      </c:pt>
                      <c:pt idx="4">
                        <c:v>46021</c:v>
                      </c:pt>
                    </c:numCache>
                  </c:numRef>
                </c:cat>
                <c:val>
                  <c:numRef>
                    <c:extLst xmlns:c15="http://schemas.microsoft.com/office/drawing/2012/chart">
                      <c:ext xmlns:c15="http://schemas.microsoft.com/office/drawing/2012/chart" uri="{02D57815-91ED-43cb-92C2-25804820EDAC}">
                        <c15:formulaRef>
                          <c15:sqref>Statsformat!$G$9:$G$14</c15:sqref>
                        </c15:formulaRef>
                      </c:ext>
                    </c:extLst>
                    <c:numCache>
                      <c:formatCode>General</c:formatCode>
                      <c:ptCount val="5"/>
                      <c:pt idx="0">
                        <c:v>0.1471541259801471</c:v>
                      </c:pt>
                      <c:pt idx="1">
                        <c:v>0.11921047994912866</c:v>
                      </c:pt>
                      <c:pt idx="2">
                        <c:v>0.10178417088336388</c:v>
                      </c:pt>
                      <c:pt idx="3">
                        <c:v>0.10470842706905029</c:v>
                      </c:pt>
                      <c:pt idx="4">
                        <c:v>0.11836458451295789</c:v>
                      </c:pt>
                    </c:numCache>
                  </c:numRef>
                </c:val>
                <c:smooth val="0"/>
                <c:extLst xmlns:c15="http://schemas.microsoft.com/office/drawing/2012/chart">
                  <c:ext xmlns:c16="http://schemas.microsoft.com/office/drawing/2014/chart" uri="{C3380CC4-5D6E-409C-BE32-E72D297353CC}">
                    <c16:uniqueId val="{00000010-EE79-4F1A-8546-E105855C188B}"/>
                  </c:ext>
                </c:extLst>
              </c15:ser>
            </c15:filteredLineSeries>
          </c:ext>
        </c:extLst>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1"/>
        <c:lblOffset val="100"/>
        <c:baseTimeUnit val="years"/>
      </c:dateAx>
      <c:valAx>
        <c:axId val="81242368"/>
        <c:scaling>
          <c:orientation val="minMax"/>
        </c:scaling>
        <c:delete val="0"/>
        <c:axPos val="l"/>
        <c:numFmt formatCode="0.00"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valAx>
        <c:axId val="15436263"/>
        <c:scaling>
          <c:orientation val="minMax"/>
        </c:scaling>
        <c:delete val="0"/>
        <c:axPos val="r"/>
        <c:numFmt formatCode="General" sourceLinked="1"/>
        <c:majorTickMark val="out"/>
        <c:minorTickMark val="none"/>
        <c:tickLblPos val="nextTo"/>
        <c:crossAx val="15437343"/>
        <c:crosses val="max"/>
        <c:crossBetween val="between"/>
      </c:valAx>
      <c:catAx>
        <c:axId val="15437343"/>
        <c:scaling>
          <c:orientation val="minMax"/>
        </c:scaling>
        <c:delete val="1"/>
        <c:axPos val="b"/>
        <c:numFmt formatCode="m/d/yyyy" sourceLinked="1"/>
        <c:majorTickMark val="out"/>
        <c:minorTickMark val="none"/>
        <c:tickLblPos val="nextTo"/>
        <c:crossAx val="15436263"/>
        <c:crosses val="autoZero"/>
        <c:auto val="1"/>
        <c:lblAlgn val="ctr"/>
        <c:lblOffset val="100"/>
        <c:noMultiLvlLbl val="1"/>
      </c:catAx>
      <c:spPr>
        <a:noFill/>
        <a:ln w="3175">
          <a:solidFill>
            <a:srgbClr val="000000"/>
          </a:solidFill>
          <a:prstDash val="solid"/>
        </a:ln>
      </c:spPr>
    </c:plotArea>
    <c:legend>
      <c:legendPos val="b"/>
      <c:layout>
        <c:manualLayout>
          <c:xMode val="edge"/>
          <c:yMode val="edge"/>
          <c:x val="3.7797619047619045E-2"/>
          <c:y val="0.77874245169082124"/>
          <c:w val="0.92919593253968258"/>
          <c:h val="0.12776947463768115"/>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0"/>
          <c:order val="0"/>
          <c:tx>
            <c:strRef>
              <c:f>Statsformat!$B$8</c:f>
              <c:strCache>
                <c:ptCount val="1"/>
                <c:pt idx="0">
                  <c:v>Återförsäljare</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0-F570-4834-B569-5854B92330AE}"/>
              </c:ext>
            </c:extLst>
          </c:dPt>
          <c:dPt>
            <c:idx val="1"/>
            <c:bubble3D val="0"/>
            <c:extLst>
              <c:ext xmlns:c16="http://schemas.microsoft.com/office/drawing/2014/chart" uri="{C3380CC4-5D6E-409C-BE32-E72D297353CC}">
                <c16:uniqueId val="{00000001-F570-4834-B569-5854B92330AE}"/>
              </c:ext>
            </c:extLst>
          </c:dPt>
          <c:dPt>
            <c:idx val="2"/>
            <c:bubble3D val="0"/>
            <c:extLst>
              <c:ext xmlns:c16="http://schemas.microsoft.com/office/drawing/2014/chart" uri="{C3380CC4-5D6E-409C-BE32-E72D297353CC}">
                <c16:uniqueId val="{00000002-F570-4834-B569-5854B92330AE}"/>
              </c:ext>
            </c:extLst>
          </c:dPt>
          <c:dPt>
            <c:idx val="3"/>
            <c:bubble3D val="0"/>
            <c:extLst>
              <c:ext xmlns:c16="http://schemas.microsoft.com/office/drawing/2014/chart" uri="{C3380CC4-5D6E-409C-BE32-E72D297353CC}">
                <c16:uniqueId val="{00000003-F570-4834-B569-5854B92330AE}"/>
              </c:ext>
            </c:extLst>
          </c:dPt>
          <c:dPt>
            <c:idx val="4"/>
            <c:bubble3D val="0"/>
            <c:extLst>
              <c:ext xmlns:c16="http://schemas.microsoft.com/office/drawing/2014/chart" uri="{C3380CC4-5D6E-409C-BE32-E72D297353CC}">
                <c16:uniqueId val="{00000004-F570-4834-B569-5854B92330AE}"/>
              </c:ext>
            </c:extLst>
          </c:dPt>
          <c:dPt>
            <c:idx val="5"/>
            <c:bubble3D val="0"/>
            <c:extLst>
              <c:ext xmlns:c16="http://schemas.microsoft.com/office/drawing/2014/chart" uri="{C3380CC4-5D6E-409C-BE32-E72D297353CC}">
                <c16:uniqueId val="{00000005-F570-4834-B569-5854B92330AE}"/>
              </c:ext>
            </c:extLst>
          </c:dPt>
          <c:dPt>
            <c:idx val="6"/>
            <c:bubble3D val="0"/>
            <c:extLst>
              <c:ext xmlns:c16="http://schemas.microsoft.com/office/drawing/2014/chart" uri="{C3380CC4-5D6E-409C-BE32-E72D297353CC}">
                <c16:uniqueId val="{00000006-F570-4834-B569-5854B92330AE}"/>
              </c:ext>
            </c:extLst>
          </c:dPt>
          <c:dPt>
            <c:idx val="7"/>
            <c:bubble3D val="0"/>
            <c:extLst>
              <c:ext xmlns:c16="http://schemas.microsoft.com/office/drawing/2014/chart" uri="{C3380CC4-5D6E-409C-BE32-E72D297353CC}">
                <c16:uniqueId val="{00000007-F570-4834-B569-5854B92330AE}"/>
              </c:ext>
            </c:extLst>
          </c:dPt>
          <c:dPt>
            <c:idx val="8"/>
            <c:bubble3D val="0"/>
            <c:extLst>
              <c:ext xmlns:c16="http://schemas.microsoft.com/office/drawing/2014/chart" uri="{C3380CC4-5D6E-409C-BE32-E72D297353CC}">
                <c16:uniqueId val="{00000008-F570-4834-B569-5854B92330AE}"/>
              </c:ext>
            </c:extLst>
          </c:dPt>
          <c:dPt>
            <c:idx val="9"/>
            <c:bubble3D val="0"/>
            <c:extLst>
              <c:ext xmlns:c16="http://schemas.microsoft.com/office/drawing/2014/chart" uri="{C3380CC4-5D6E-409C-BE32-E72D297353CC}">
                <c16:uniqueId val="{00000009-F570-4834-B569-5854B92330AE}"/>
              </c:ext>
            </c:extLst>
          </c:dPt>
          <c:dPt>
            <c:idx val="10"/>
            <c:bubble3D val="0"/>
            <c:extLst>
              <c:ext xmlns:c16="http://schemas.microsoft.com/office/drawing/2014/chart" uri="{C3380CC4-5D6E-409C-BE32-E72D297353CC}">
                <c16:uniqueId val="{0000000A-F570-4834-B569-5854B92330AE}"/>
              </c:ext>
            </c:extLst>
          </c:dPt>
          <c:cat>
            <c:numRef>
              <c:f>Statsformat!$A$9:$A$13</c:f>
              <c:numCache>
                <c:formatCode>yyyy;@</c:formatCode>
                <c:ptCount val="5"/>
                <c:pt idx="0">
                  <c:v>44197</c:v>
                </c:pt>
                <c:pt idx="1">
                  <c:v>44562</c:v>
                </c:pt>
                <c:pt idx="2">
                  <c:v>44927</c:v>
                </c:pt>
                <c:pt idx="3">
                  <c:v>45292</c:v>
                </c:pt>
                <c:pt idx="4">
                  <c:v>45658</c:v>
                </c:pt>
              </c:numCache>
            </c:numRef>
          </c:cat>
          <c:val>
            <c:numRef>
              <c:f>Statsformat!$B$9:$B$13</c:f>
              <c:numCache>
                <c:formatCode>0.00</c:formatCode>
                <c:ptCount val="5"/>
                <c:pt idx="0">
                  <c:v>3.7032019704433501</c:v>
                </c:pt>
                <c:pt idx="1">
                  <c:v>3.8266992534228246</c:v>
                </c:pt>
                <c:pt idx="2">
                  <c:v>4.1500000000000004</c:v>
                </c:pt>
                <c:pt idx="3">
                  <c:v>3.9561437734622098</c:v>
                </c:pt>
                <c:pt idx="4">
                  <c:v>3.95</c:v>
                </c:pt>
              </c:numCache>
            </c:numRef>
          </c:val>
          <c:smooth val="0"/>
          <c:extLst>
            <c:ext xmlns:c16="http://schemas.microsoft.com/office/drawing/2014/chart" uri="{C3380CC4-5D6E-409C-BE32-E72D297353CC}">
              <c16:uniqueId val="{0000000B-F570-4834-B569-5854B92330AE}"/>
            </c:ext>
          </c:extLst>
        </c:ser>
        <c:ser>
          <c:idx val="1"/>
          <c:order val="1"/>
          <c:tx>
            <c:strRef>
              <c:f>Statsformat!$C$8</c:f>
              <c:strCache>
                <c:ptCount val="1"/>
                <c:pt idx="0">
                  <c:v>Svenska investerare</c:v>
                </c:pt>
              </c:strCache>
            </c:strRef>
          </c:tx>
          <c:spPr>
            <a:ln w="25400">
              <a:solidFill>
                <a:srgbClr val="000000"/>
              </a:solidFill>
              <a:prstDash val="solid"/>
            </a:ln>
          </c:spPr>
          <c:marker>
            <c:symbol val="none"/>
          </c:marker>
          <c:cat>
            <c:numRef>
              <c:f>Statsformat!$A$9:$A$13</c:f>
              <c:numCache>
                <c:formatCode>yyyy;@</c:formatCode>
                <c:ptCount val="5"/>
                <c:pt idx="0">
                  <c:v>44197</c:v>
                </c:pt>
                <c:pt idx="1">
                  <c:v>44562</c:v>
                </c:pt>
                <c:pt idx="2">
                  <c:v>44927</c:v>
                </c:pt>
                <c:pt idx="3">
                  <c:v>45292</c:v>
                </c:pt>
                <c:pt idx="4">
                  <c:v>45658</c:v>
                </c:pt>
              </c:numCache>
            </c:numRef>
          </c:cat>
          <c:val>
            <c:numRef>
              <c:f>Statsformat!$C$9:$C$13</c:f>
              <c:numCache>
                <c:formatCode>0.00</c:formatCode>
                <c:ptCount val="5"/>
                <c:pt idx="0">
                  <c:v>3.7004299905307185</c:v>
                </c:pt>
                <c:pt idx="1">
                  <c:v>3.8565545199209237</c:v>
                </c:pt>
                <c:pt idx="2">
                  <c:v>3.9</c:v>
                </c:pt>
                <c:pt idx="3">
                  <c:v>4.066627478454282</c:v>
                </c:pt>
                <c:pt idx="4">
                  <c:v>4.1100000000000003</c:v>
                </c:pt>
              </c:numCache>
            </c:numRef>
          </c:val>
          <c:smooth val="0"/>
          <c:extLst>
            <c:ext xmlns:c16="http://schemas.microsoft.com/office/drawing/2014/chart" uri="{C3380CC4-5D6E-409C-BE32-E72D297353CC}">
              <c16:uniqueId val="{0000000C-F570-4834-B569-5854B92330AE}"/>
            </c:ext>
          </c:extLst>
        </c:ser>
        <c:ser>
          <c:idx val="2"/>
          <c:order val="2"/>
          <c:tx>
            <c:strRef>
              <c:f>Statsformat!$D$8</c:f>
              <c:strCache>
                <c:ptCount val="1"/>
                <c:pt idx="0">
                  <c:v>Internationella investerare</c:v>
                </c:pt>
              </c:strCache>
            </c:strRef>
          </c:tx>
          <c:spPr>
            <a:ln w="12700">
              <a:solidFill>
                <a:srgbClr val="000000"/>
              </a:solidFill>
              <a:prstDash val="sysDash"/>
            </a:ln>
          </c:spPr>
          <c:marker>
            <c:symbol val="none"/>
          </c:marker>
          <c:cat>
            <c:numRef>
              <c:f>Statsformat!$A$9:$A$13</c:f>
              <c:numCache>
                <c:formatCode>yyyy;@</c:formatCode>
                <c:ptCount val="5"/>
                <c:pt idx="0">
                  <c:v>44197</c:v>
                </c:pt>
                <c:pt idx="1">
                  <c:v>44562</c:v>
                </c:pt>
                <c:pt idx="2">
                  <c:v>44927</c:v>
                </c:pt>
                <c:pt idx="3">
                  <c:v>45292</c:v>
                </c:pt>
                <c:pt idx="4">
                  <c:v>45658</c:v>
                </c:pt>
              </c:numCache>
            </c:numRef>
          </c:cat>
          <c:val>
            <c:numRef>
              <c:f>Statsformat!$D$9:$D$13</c:f>
              <c:numCache>
                <c:formatCode>0.00</c:formatCode>
                <c:ptCount val="5"/>
                <c:pt idx="0">
                  <c:v>3.781456953086495</c:v>
                </c:pt>
                <c:pt idx="1">
                  <c:v>3.7822904645894795</c:v>
                </c:pt>
              </c:numCache>
            </c:numRef>
          </c:val>
          <c:smooth val="0"/>
          <c:extLst>
            <c:ext xmlns:c16="http://schemas.microsoft.com/office/drawing/2014/chart" uri="{C3380CC4-5D6E-409C-BE32-E72D297353CC}">
              <c16:uniqueId val="{0000000D-F570-4834-B569-5854B92330AE}"/>
            </c:ext>
          </c:extLst>
        </c:ser>
        <c:dLbls>
          <c:showLegendKey val="0"/>
          <c:showVal val="0"/>
          <c:showCatName val="0"/>
          <c:showSerName val="0"/>
          <c:showPercent val="0"/>
          <c:showBubbleSize val="0"/>
        </c:dLbls>
        <c:smooth val="0"/>
        <c:axId val="81240832"/>
        <c:axId val="81242368"/>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0"/>
        <c:lblOffset val="100"/>
        <c:baseTimeUnit val="years"/>
      </c:dateAx>
      <c:valAx>
        <c:axId val="81242368"/>
        <c:scaling>
          <c:orientation val="minMax"/>
          <c:max val="4.5"/>
          <c:min val="3.5"/>
        </c:scaling>
        <c:delete val="0"/>
        <c:axPos val="l"/>
        <c:numFmt formatCode="0.00"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spPr>
        <a:noFill/>
        <a:ln w="3175">
          <a:solidFill>
            <a:srgbClr val="000000"/>
          </a:solidFill>
          <a:prstDash val="solid"/>
        </a:ln>
      </c:spPr>
    </c:plotArea>
    <c:legend>
      <c:legendPos val="t"/>
      <c:layout>
        <c:manualLayout>
          <c:xMode val="edge"/>
          <c:yMode val="edge"/>
          <c:x val="8.4647817460317465E-2"/>
          <c:y val="0.12941576086956522"/>
          <c:w val="0.9"/>
          <c:h val="6.7479619565217391E-2"/>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0"/>
          <c:order val="0"/>
          <c:tx>
            <c:strRef>
              <c:f>Statsformat!$B$8</c:f>
              <c:strCache>
                <c:ptCount val="1"/>
                <c:pt idx="0">
                  <c:v>Mot likvida medel</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0-1B50-4416-868F-D6E1EA511892}"/>
              </c:ext>
            </c:extLst>
          </c:dPt>
          <c:dPt>
            <c:idx val="1"/>
            <c:bubble3D val="0"/>
            <c:extLst>
              <c:ext xmlns:c16="http://schemas.microsoft.com/office/drawing/2014/chart" uri="{C3380CC4-5D6E-409C-BE32-E72D297353CC}">
                <c16:uniqueId val="{00000001-1B50-4416-868F-D6E1EA511892}"/>
              </c:ext>
            </c:extLst>
          </c:dPt>
          <c:dPt>
            <c:idx val="2"/>
            <c:bubble3D val="0"/>
            <c:extLst>
              <c:ext xmlns:c16="http://schemas.microsoft.com/office/drawing/2014/chart" uri="{C3380CC4-5D6E-409C-BE32-E72D297353CC}">
                <c16:uniqueId val="{00000002-1B50-4416-868F-D6E1EA511892}"/>
              </c:ext>
            </c:extLst>
          </c:dPt>
          <c:dPt>
            <c:idx val="3"/>
            <c:bubble3D val="0"/>
            <c:extLst>
              <c:ext xmlns:c16="http://schemas.microsoft.com/office/drawing/2014/chart" uri="{C3380CC4-5D6E-409C-BE32-E72D297353CC}">
                <c16:uniqueId val="{00000003-1B50-4416-868F-D6E1EA511892}"/>
              </c:ext>
            </c:extLst>
          </c:dPt>
          <c:dPt>
            <c:idx val="4"/>
            <c:bubble3D val="0"/>
            <c:extLst>
              <c:ext xmlns:c16="http://schemas.microsoft.com/office/drawing/2014/chart" uri="{C3380CC4-5D6E-409C-BE32-E72D297353CC}">
                <c16:uniqueId val="{00000004-1B50-4416-868F-D6E1EA511892}"/>
              </c:ext>
            </c:extLst>
          </c:dPt>
          <c:dPt>
            <c:idx val="5"/>
            <c:bubble3D val="0"/>
            <c:extLst>
              <c:ext xmlns:c16="http://schemas.microsoft.com/office/drawing/2014/chart" uri="{C3380CC4-5D6E-409C-BE32-E72D297353CC}">
                <c16:uniqueId val="{00000005-1B50-4416-868F-D6E1EA511892}"/>
              </c:ext>
            </c:extLst>
          </c:dPt>
          <c:dPt>
            <c:idx val="6"/>
            <c:bubble3D val="0"/>
            <c:extLst>
              <c:ext xmlns:c16="http://schemas.microsoft.com/office/drawing/2014/chart" uri="{C3380CC4-5D6E-409C-BE32-E72D297353CC}">
                <c16:uniqueId val="{00000006-1B50-4416-868F-D6E1EA511892}"/>
              </c:ext>
            </c:extLst>
          </c:dPt>
          <c:dPt>
            <c:idx val="7"/>
            <c:bubble3D val="0"/>
            <c:extLst>
              <c:ext xmlns:c16="http://schemas.microsoft.com/office/drawing/2014/chart" uri="{C3380CC4-5D6E-409C-BE32-E72D297353CC}">
                <c16:uniqueId val="{00000007-1B50-4416-868F-D6E1EA511892}"/>
              </c:ext>
            </c:extLst>
          </c:dPt>
          <c:dPt>
            <c:idx val="8"/>
            <c:bubble3D val="0"/>
            <c:extLst>
              <c:ext xmlns:c16="http://schemas.microsoft.com/office/drawing/2014/chart" uri="{C3380CC4-5D6E-409C-BE32-E72D297353CC}">
                <c16:uniqueId val="{00000008-1B50-4416-868F-D6E1EA511892}"/>
              </c:ext>
            </c:extLst>
          </c:dPt>
          <c:dPt>
            <c:idx val="9"/>
            <c:bubble3D val="0"/>
            <c:extLst>
              <c:ext xmlns:c16="http://schemas.microsoft.com/office/drawing/2014/chart" uri="{C3380CC4-5D6E-409C-BE32-E72D297353CC}">
                <c16:uniqueId val="{00000009-1B50-4416-868F-D6E1EA511892}"/>
              </c:ext>
            </c:extLst>
          </c:dPt>
          <c:dPt>
            <c:idx val="10"/>
            <c:bubble3D val="0"/>
            <c:extLst>
              <c:ext xmlns:c16="http://schemas.microsoft.com/office/drawing/2014/chart" uri="{C3380CC4-5D6E-409C-BE32-E72D297353CC}">
                <c16:uniqueId val="{0000000A-1B50-4416-868F-D6E1EA511892}"/>
              </c:ext>
            </c:extLst>
          </c:dPt>
          <c:cat>
            <c:numRef>
              <c:f>Statsformat!$A$9:$A$68</c:f>
              <c:numCache>
                <c:formatCode>m/d/yyyy</c:formatCode>
                <c:ptCount val="60"/>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numCache>
            </c:numRef>
          </c:cat>
          <c:val>
            <c:numRef>
              <c:f>Statsformat!$B$9:$B$68</c:f>
              <c:numCache>
                <c:formatCode>#,##0</c:formatCode>
                <c:ptCount val="60"/>
                <c:pt idx="0">
                  <c:v>16.671315789473681</c:v>
                </c:pt>
                <c:pt idx="1">
                  <c:v>9.3665500000000002</c:v>
                </c:pt>
                <c:pt idx="2">
                  <c:v>6.705304347826087</c:v>
                </c:pt>
                <c:pt idx="3">
                  <c:v>14.607049999999999</c:v>
                </c:pt>
                <c:pt idx="4">
                  <c:v>8.5007999999999999</c:v>
                </c:pt>
                <c:pt idx="5">
                  <c:v>7.4923333333333337</c:v>
                </c:pt>
                <c:pt idx="6">
                  <c:v>3.164181818181818</c:v>
                </c:pt>
                <c:pt idx="7">
                  <c:v>1.9771363636363639</c:v>
                </c:pt>
                <c:pt idx="8">
                  <c:v>11.48086363636364</c:v>
                </c:pt>
                <c:pt idx="9">
                  <c:v>15.38652380952381</c:v>
                </c:pt>
                <c:pt idx="10">
                  <c:v>13.66390909090909</c:v>
                </c:pt>
                <c:pt idx="11">
                  <c:v>22.083666666666669</c:v>
                </c:pt>
                <c:pt idx="12">
                  <c:v>21.998650000000001</c:v>
                </c:pt>
                <c:pt idx="13">
                  <c:v>15.91615</c:v>
                </c:pt>
                <c:pt idx="14">
                  <c:v>19.907478260869571</c:v>
                </c:pt>
                <c:pt idx="15">
                  <c:v>27.69242105263158</c:v>
                </c:pt>
                <c:pt idx="16">
                  <c:v>48.898666666666671</c:v>
                </c:pt>
                <c:pt idx="17">
                  <c:v>53.399900000000002</c:v>
                </c:pt>
                <c:pt idx="18">
                  <c:v>47.152119047619053</c:v>
                </c:pt>
                <c:pt idx="19">
                  <c:v>57.916956521739131</c:v>
                </c:pt>
                <c:pt idx="20">
                  <c:v>58.983636363636357</c:v>
                </c:pt>
                <c:pt idx="21">
                  <c:v>58.339857142857142</c:v>
                </c:pt>
                <c:pt idx="22">
                  <c:v>54.408727272727283</c:v>
                </c:pt>
                <c:pt idx="23">
                  <c:v>54.080238095238101</c:v>
                </c:pt>
                <c:pt idx="24">
                  <c:v>51.291190476190479</c:v>
                </c:pt>
                <c:pt idx="25">
                  <c:v>46.080249999999999</c:v>
                </c:pt>
                <c:pt idx="26">
                  <c:v>48.598956521739133</c:v>
                </c:pt>
                <c:pt idx="27">
                  <c:v>31.93244444444445</c:v>
                </c:pt>
                <c:pt idx="28">
                  <c:v>25.182523809523811</c:v>
                </c:pt>
                <c:pt idx="29">
                  <c:v>15.40095</c:v>
                </c:pt>
                <c:pt idx="30">
                  <c:v>10.529857142857139</c:v>
                </c:pt>
                <c:pt idx="31">
                  <c:v>11.64017391304348</c:v>
                </c:pt>
                <c:pt idx="32">
                  <c:v>13.45638095238095</c:v>
                </c:pt>
                <c:pt idx="33">
                  <c:v>10.111636363636361</c:v>
                </c:pt>
                <c:pt idx="34">
                  <c:v>13.800863636363641</c:v>
                </c:pt>
                <c:pt idx="35">
                  <c:v>10.04657894736842</c:v>
                </c:pt>
                <c:pt idx="36">
                  <c:v>7.2140909090909098</c:v>
                </c:pt>
                <c:pt idx="37">
                  <c:v>4.4705238095238098</c:v>
                </c:pt>
                <c:pt idx="38">
                  <c:v>2.7589000000000001</c:v>
                </c:pt>
                <c:pt idx="39">
                  <c:v>2.238142857142857</c:v>
                </c:pt>
                <c:pt idx="40">
                  <c:v>2.8255238095238102</c:v>
                </c:pt>
                <c:pt idx="41">
                  <c:v>1.772</c:v>
                </c:pt>
                <c:pt idx="42">
                  <c:v>1.554</c:v>
                </c:pt>
                <c:pt idx="43">
                  <c:v>4.2544545454545446</c:v>
                </c:pt>
                <c:pt idx="44">
                  <c:v>3.2116666666666669</c:v>
                </c:pt>
                <c:pt idx="45">
                  <c:v>1.714130434782609</c:v>
                </c:pt>
                <c:pt idx="46">
                  <c:v>1.044761904761905</c:v>
                </c:pt>
                <c:pt idx="47">
                  <c:v>2.4657222222222219</c:v>
                </c:pt>
                <c:pt idx="48">
                  <c:v>0.9738095238095239</c:v>
                </c:pt>
                <c:pt idx="49">
                  <c:v>6.3050000000000009E-2</c:v>
                </c:pt>
                <c:pt idx="50">
                  <c:v>0.19566666666666671</c:v>
                </c:pt>
                <c:pt idx="51">
                  <c:v>0.16985</c:v>
                </c:pt>
                <c:pt idx="52">
                  <c:v>0.14985000000000001</c:v>
                </c:pt>
                <c:pt idx="53">
                  <c:v>0.49236842105263162</c:v>
                </c:pt>
                <c:pt idx="54">
                  <c:v>0.22995652173913039</c:v>
                </c:pt>
                <c:pt idx="55">
                  <c:v>6.6190476190476199E-3</c:v>
                </c:pt>
                <c:pt idx="56">
                  <c:v>2.2181818181818181E-2</c:v>
                </c:pt>
                <c:pt idx="57">
                  <c:v>7.2826086956521735E-2</c:v>
                </c:pt>
                <c:pt idx="58">
                  <c:v>0.1123</c:v>
                </c:pt>
                <c:pt idx="59">
                  <c:v>0.2950526315789474</c:v>
                </c:pt>
              </c:numCache>
            </c:numRef>
          </c:val>
          <c:smooth val="0"/>
          <c:extLst>
            <c:ext xmlns:c16="http://schemas.microsoft.com/office/drawing/2014/chart" uri="{C3380CC4-5D6E-409C-BE32-E72D297353CC}">
              <c16:uniqueId val="{0000000B-1B50-4416-868F-D6E1EA511892}"/>
            </c:ext>
          </c:extLst>
        </c:ser>
        <c:ser>
          <c:idx val="1"/>
          <c:order val="1"/>
          <c:tx>
            <c:strRef>
              <c:f>Statsformat!$C$8</c:f>
              <c:strCache>
                <c:ptCount val="1"/>
                <c:pt idx="0">
                  <c:v>Mot andra statspapper</c:v>
                </c:pt>
              </c:strCache>
            </c:strRef>
          </c:tx>
          <c:spPr>
            <a:ln w="25400">
              <a:solidFill>
                <a:srgbClr val="000000"/>
              </a:solidFill>
              <a:prstDash val="solid"/>
            </a:ln>
          </c:spPr>
          <c:marker>
            <c:symbol val="none"/>
          </c:marker>
          <c:cat>
            <c:numRef>
              <c:f>Statsformat!$A$9:$A$68</c:f>
              <c:numCache>
                <c:formatCode>m/d/yyyy</c:formatCode>
                <c:ptCount val="60"/>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numCache>
            </c:numRef>
          </c:cat>
          <c:val>
            <c:numRef>
              <c:f>Statsformat!$C$9:$C$68</c:f>
              <c:numCache>
                <c:formatCode>#,##0</c:formatCode>
                <c:ptCount val="60"/>
                <c:pt idx="0">
                  <c:v>26.184210526315791</c:v>
                </c:pt>
                <c:pt idx="1">
                  <c:v>23.225000000000001</c:v>
                </c:pt>
                <c:pt idx="2">
                  <c:v>21.54347826086957</c:v>
                </c:pt>
                <c:pt idx="3">
                  <c:v>15.125</c:v>
                </c:pt>
                <c:pt idx="4">
                  <c:v>16.95</c:v>
                </c:pt>
                <c:pt idx="5">
                  <c:v>11.457142857142861</c:v>
                </c:pt>
                <c:pt idx="6">
                  <c:v>12.99545454545455</c:v>
                </c:pt>
                <c:pt idx="7">
                  <c:v>12.86363636363637</c:v>
                </c:pt>
                <c:pt idx="8">
                  <c:v>0.54545454545454553</c:v>
                </c:pt>
                <c:pt idx="9">
                  <c:v>0</c:v>
                </c:pt>
                <c:pt idx="10">
                  <c:v>0</c:v>
                </c:pt>
                <c:pt idx="11">
                  <c:v>1.285714285714286</c:v>
                </c:pt>
                <c:pt idx="12">
                  <c:v>2.8</c:v>
                </c:pt>
                <c:pt idx="13">
                  <c:v>0.625</c:v>
                </c:pt>
                <c:pt idx="14">
                  <c:v>0.1086956521739131</c:v>
                </c:pt>
                <c:pt idx="15">
                  <c:v>0.26315789473684209</c:v>
                </c:pt>
                <c:pt idx="16">
                  <c:v>0.90476190476190477</c:v>
                </c:pt>
                <c:pt idx="17">
                  <c:v>3.7</c:v>
                </c:pt>
                <c:pt idx="18">
                  <c:v>9.8571428571428577</c:v>
                </c:pt>
                <c:pt idx="19">
                  <c:v>9.9347826086956523</c:v>
                </c:pt>
                <c:pt idx="20">
                  <c:v>9.0909090909090899</c:v>
                </c:pt>
                <c:pt idx="21">
                  <c:v>12.66666666666667</c:v>
                </c:pt>
                <c:pt idx="22">
                  <c:v>12.25</c:v>
                </c:pt>
                <c:pt idx="23">
                  <c:v>7.9047619047619051</c:v>
                </c:pt>
                <c:pt idx="24">
                  <c:v>6.1190476190476204</c:v>
                </c:pt>
                <c:pt idx="25">
                  <c:v>7.8500000000000014</c:v>
                </c:pt>
                <c:pt idx="26">
                  <c:v>20.418869565217388</c:v>
                </c:pt>
                <c:pt idx="27">
                  <c:v>25.833333333333329</c:v>
                </c:pt>
                <c:pt idx="28">
                  <c:v>20.80952380952381</c:v>
                </c:pt>
                <c:pt idx="29">
                  <c:v>17.875</c:v>
                </c:pt>
                <c:pt idx="30">
                  <c:v>15.857142857142859</c:v>
                </c:pt>
                <c:pt idx="31">
                  <c:v>9.1956521739130448</c:v>
                </c:pt>
                <c:pt idx="32">
                  <c:v>4.8809523809523814</c:v>
                </c:pt>
                <c:pt idx="33">
                  <c:v>5.3181818181818183</c:v>
                </c:pt>
                <c:pt idx="34">
                  <c:v>6.4090909090909092</c:v>
                </c:pt>
                <c:pt idx="35">
                  <c:v>7.6578947368421053</c:v>
                </c:pt>
                <c:pt idx="36">
                  <c:v>7.3863636363636367</c:v>
                </c:pt>
                <c:pt idx="37">
                  <c:v>3.614523809523809</c:v>
                </c:pt>
                <c:pt idx="38">
                  <c:v>1.8782000000000001</c:v>
                </c:pt>
                <c:pt idx="39">
                  <c:v>3.4047619047619051</c:v>
                </c:pt>
                <c:pt idx="40">
                  <c:v>1.8809523809523809</c:v>
                </c:pt>
                <c:pt idx="41">
                  <c:v>4.75</c:v>
                </c:pt>
                <c:pt idx="42">
                  <c:v>3.956521739130435</c:v>
                </c:pt>
                <c:pt idx="43">
                  <c:v>3.6818181818181821</c:v>
                </c:pt>
                <c:pt idx="44">
                  <c:v>5.5238095238095237</c:v>
                </c:pt>
                <c:pt idx="45">
                  <c:v>3.6956521739130439</c:v>
                </c:pt>
                <c:pt idx="46">
                  <c:v>2.785714285714286</c:v>
                </c:pt>
                <c:pt idx="47">
                  <c:v>2.7777777777777781</c:v>
                </c:pt>
                <c:pt idx="48">
                  <c:v>1.8809523809523809</c:v>
                </c:pt>
                <c:pt idx="49">
                  <c:v>2.6</c:v>
                </c:pt>
                <c:pt idx="50">
                  <c:v>1.9047619047619051</c:v>
                </c:pt>
                <c:pt idx="51">
                  <c:v>3.55</c:v>
                </c:pt>
                <c:pt idx="52">
                  <c:v>6.75</c:v>
                </c:pt>
                <c:pt idx="53">
                  <c:v>5.1052631578947372</c:v>
                </c:pt>
                <c:pt idx="54">
                  <c:v>1.4130434782608701</c:v>
                </c:pt>
                <c:pt idx="55">
                  <c:v>0</c:v>
                </c:pt>
                <c:pt idx="56">
                  <c:v>0.90909090909090917</c:v>
                </c:pt>
                <c:pt idx="57">
                  <c:v>0.40695652173913038</c:v>
                </c:pt>
                <c:pt idx="58">
                  <c:v>0</c:v>
                </c:pt>
                <c:pt idx="59">
                  <c:v>0.5</c:v>
                </c:pt>
              </c:numCache>
            </c:numRef>
          </c:val>
          <c:smooth val="0"/>
          <c:extLst>
            <c:ext xmlns:c16="http://schemas.microsoft.com/office/drawing/2014/chart" uri="{C3380CC4-5D6E-409C-BE32-E72D297353CC}">
              <c16:uniqueId val="{0000000C-1B50-4416-868F-D6E1EA511892}"/>
            </c:ext>
          </c:extLst>
        </c:ser>
        <c:ser>
          <c:idx val="2"/>
          <c:order val="2"/>
          <c:tx>
            <c:strRef>
              <c:f>Statsformat!$D$8</c:f>
              <c:strCache>
                <c:ptCount val="1"/>
                <c:pt idx="0">
                  <c:v>Totalt</c:v>
                </c:pt>
              </c:strCache>
            </c:strRef>
          </c:tx>
          <c:spPr>
            <a:ln w="12700">
              <a:solidFill>
                <a:srgbClr val="000000"/>
              </a:solidFill>
              <a:prstDash val="sysDash"/>
            </a:ln>
          </c:spPr>
          <c:marker>
            <c:symbol val="none"/>
          </c:marker>
          <c:cat>
            <c:numRef>
              <c:f>Statsformat!$A$9:$A$68</c:f>
              <c:numCache>
                <c:formatCode>m/d/yyyy</c:formatCode>
                <c:ptCount val="60"/>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numCache>
            </c:numRef>
          </c:cat>
          <c:val>
            <c:numRef>
              <c:f>Statsformat!$D$9:$D$68</c:f>
              <c:numCache>
                <c:formatCode>#,##0</c:formatCode>
                <c:ptCount val="60"/>
                <c:pt idx="0">
                  <c:v>42.855526315789483</c:v>
                </c:pt>
                <c:pt idx="1">
                  <c:v>32.591550000000012</c:v>
                </c:pt>
                <c:pt idx="2">
                  <c:v>28.248782608695649</c:v>
                </c:pt>
                <c:pt idx="3">
                  <c:v>29.732050000000001</c:v>
                </c:pt>
                <c:pt idx="4">
                  <c:v>25.450800000000001</c:v>
                </c:pt>
                <c:pt idx="5">
                  <c:v>18.94947619047619</c:v>
                </c:pt>
                <c:pt idx="6">
                  <c:v>16.15963636363637</c:v>
                </c:pt>
                <c:pt idx="7">
                  <c:v>14.84077272727273</c:v>
                </c:pt>
                <c:pt idx="8">
                  <c:v>12.02631818181818</c:v>
                </c:pt>
                <c:pt idx="9">
                  <c:v>15.38652380952381</c:v>
                </c:pt>
                <c:pt idx="10">
                  <c:v>13.66390909090909</c:v>
                </c:pt>
                <c:pt idx="11">
                  <c:v>23.369380952380951</c:v>
                </c:pt>
                <c:pt idx="12">
                  <c:v>24.798649999999999</c:v>
                </c:pt>
                <c:pt idx="13">
                  <c:v>16.541149999999998</c:v>
                </c:pt>
                <c:pt idx="14">
                  <c:v>20.016173913043481</c:v>
                </c:pt>
                <c:pt idx="15">
                  <c:v>27.955578947368419</c:v>
                </c:pt>
                <c:pt idx="16">
                  <c:v>49.803428571428583</c:v>
                </c:pt>
                <c:pt idx="17">
                  <c:v>57.099900000000012</c:v>
                </c:pt>
                <c:pt idx="18">
                  <c:v>57.009261904761907</c:v>
                </c:pt>
                <c:pt idx="19">
                  <c:v>67.851739130434794</c:v>
                </c:pt>
                <c:pt idx="20">
                  <c:v>68.074545454545458</c:v>
                </c:pt>
                <c:pt idx="21">
                  <c:v>71.006523809523813</c:v>
                </c:pt>
                <c:pt idx="22">
                  <c:v>66.658727272727276</c:v>
                </c:pt>
                <c:pt idx="23">
                  <c:v>61.985000000000007</c:v>
                </c:pt>
                <c:pt idx="24">
                  <c:v>57.4102380952381</c:v>
                </c:pt>
                <c:pt idx="25">
                  <c:v>53.930250000000001</c:v>
                </c:pt>
                <c:pt idx="26">
                  <c:v>69.017826086956532</c:v>
                </c:pt>
                <c:pt idx="27">
                  <c:v>57.765777777777792</c:v>
                </c:pt>
                <c:pt idx="28">
                  <c:v>45.992047619047632</c:v>
                </c:pt>
                <c:pt idx="29">
                  <c:v>33.275950000000002</c:v>
                </c:pt>
                <c:pt idx="30">
                  <c:v>26.387</c:v>
                </c:pt>
                <c:pt idx="31">
                  <c:v>20.835826086956519</c:v>
                </c:pt>
                <c:pt idx="32">
                  <c:v>18.33733333333333</c:v>
                </c:pt>
                <c:pt idx="33">
                  <c:v>15.429818181818179</c:v>
                </c:pt>
                <c:pt idx="34">
                  <c:v>20.209954545454551</c:v>
                </c:pt>
                <c:pt idx="35">
                  <c:v>17.70447368421053</c:v>
                </c:pt>
                <c:pt idx="36">
                  <c:v>14.60045454545455</c:v>
                </c:pt>
                <c:pt idx="37">
                  <c:v>8.0850476190476197</c:v>
                </c:pt>
                <c:pt idx="38">
                  <c:v>4.6371000000000002</c:v>
                </c:pt>
                <c:pt idx="39">
                  <c:v>5.642904761904763</c:v>
                </c:pt>
                <c:pt idx="40">
                  <c:v>4.7064761904761907</c:v>
                </c:pt>
                <c:pt idx="41">
                  <c:v>6.5220000000000002</c:v>
                </c:pt>
                <c:pt idx="42">
                  <c:v>5.5105217391304357</c:v>
                </c:pt>
                <c:pt idx="43">
                  <c:v>7.9362727272727271</c:v>
                </c:pt>
                <c:pt idx="44">
                  <c:v>8.7354761904761915</c:v>
                </c:pt>
                <c:pt idx="45">
                  <c:v>5.409782608695652</c:v>
                </c:pt>
                <c:pt idx="46">
                  <c:v>3.8304761904761908</c:v>
                </c:pt>
                <c:pt idx="47">
                  <c:v>5.2435</c:v>
                </c:pt>
                <c:pt idx="48">
                  <c:v>2.8547619047619048</c:v>
                </c:pt>
                <c:pt idx="49">
                  <c:v>2.6630500000000001</c:v>
                </c:pt>
                <c:pt idx="50">
                  <c:v>2.100428571428572</c:v>
                </c:pt>
                <c:pt idx="51">
                  <c:v>3.7198500000000001</c:v>
                </c:pt>
                <c:pt idx="52">
                  <c:v>6.8998500000000007</c:v>
                </c:pt>
                <c:pt idx="53">
                  <c:v>5.597631578947369</c:v>
                </c:pt>
                <c:pt idx="54">
                  <c:v>1.643</c:v>
                </c:pt>
                <c:pt idx="55">
                  <c:v>6.6190476190476199E-3</c:v>
                </c:pt>
                <c:pt idx="56">
                  <c:v>0.93127272727272736</c:v>
                </c:pt>
                <c:pt idx="57">
                  <c:v>0.4797826086956522</c:v>
                </c:pt>
                <c:pt idx="58">
                  <c:v>0.1123</c:v>
                </c:pt>
                <c:pt idx="59">
                  <c:v>0.79505263157894746</c:v>
                </c:pt>
              </c:numCache>
            </c:numRef>
          </c:val>
          <c:smooth val="0"/>
          <c:extLst>
            <c:ext xmlns:c16="http://schemas.microsoft.com/office/drawing/2014/chart" uri="{C3380CC4-5D6E-409C-BE32-E72D297353CC}">
              <c16:uniqueId val="{0000000D-1B50-4416-868F-D6E1EA511892}"/>
            </c:ext>
          </c:extLst>
        </c:ser>
        <c:dLbls>
          <c:showLegendKey val="0"/>
          <c:showVal val="0"/>
          <c:showCatName val="0"/>
          <c:showSerName val="0"/>
          <c:showPercent val="0"/>
          <c:showBubbleSize val="0"/>
        </c:dLbls>
        <c:smooth val="0"/>
        <c:axId val="81240832"/>
        <c:axId val="81242368"/>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0"/>
        <c:lblOffset val="100"/>
        <c:baseTimeUnit val="months"/>
        <c:majorUnit val="1"/>
        <c:majorTimeUnit val="years"/>
        <c:minorUnit val="12"/>
        <c:minorTimeUnit val="months"/>
      </c:dateAx>
      <c:valAx>
        <c:axId val="81242368"/>
        <c:scaling>
          <c:orientation val="minMax"/>
        </c:scaling>
        <c:delete val="0"/>
        <c:axPos val="l"/>
        <c:numFmt formatCode="#,##0"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spPr>
        <a:noFill/>
        <a:ln w="3175">
          <a:solidFill>
            <a:srgbClr val="000000"/>
          </a:solidFill>
          <a:prstDash val="solid"/>
        </a:ln>
      </c:spPr>
    </c:plotArea>
    <c:legend>
      <c:legendPos val="r"/>
      <c:layout>
        <c:manualLayout>
          <c:xMode val="edge"/>
          <c:yMode val="edge"/>
          <c:x val="0.59209920634920632"/>
          <c:y val="0.12556951992753621"/>
          <c:w val="0.35120436507936509"/>
          <c:h val="0.2407842693236715"/>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483854166666665"/>
          <c:y val="4.0608771135265703E-2"/>
          <c:w val="0.89201165674603178"/>
          <c:h val="0.93980223429951693"/>
        </c:manualLayout>
      </c:layout>
      <c:barChart>
        <c:barDir val="col"/>
        <c:grouping val="stacked"/>
        <c:varyColors val="0"/>
        <c:ser>
          <c:idx val="0"/>
          <c:order val="0"/>
          <c:tx>
            <c:strRef>
              <c:f>Statsformat!$B$8</c:f>
              <c:strCache>
                <c:ptCount val="1"/>
                <c:pt idx="0">
                  <c:v>Kupongräntor </c:v>
                </c:pt>
              </c:strCache>
            </c:strRef>
          </c:tx>
          <c:spPr>
            <a:solidFill>
              <a:srgbClr val="000000"/>
            </a:solidFill>
            <a:ln w="3175">
              <a:solidFill>
                <a:sysClr val="windowText" lastClr="000000"/>
              </a:solidFill>
            </a:ln>
          </c:spPr>
          <c:invertIfNegative val="0"/>
          <c:dPt>
            <c:idx val="0"/>
            <c:invertIfNegative val="0"/>
            <c:bubble3D val="0"/>
            <c:extLst>
              <c:ext xmlns:c16="http://schemas.microsoft.com/office/drawing/2014/chart" uri="{C3380CC4-5D6E-409C-BE32-E72D297353CC}">
                <c16:uniqueId val="{00000000-640C-4E4A-B372-313D142F07D9}"/>
              </c:ext>
            </c:extLst>
          </c:dPt>
          <c:dPt>
            <c:idx val="1"/>
            <c:invertIfNegative val="0"/>
            <c:bubble3D val="0"/>
            <c:extLst>
              <c:ext xmlns:c16="http://schemas.microsoft.com/office/drawing/2014/chart" uri="{C3380CC4-5D6E-409C-BE32-E72D297353CC}">
                <c16:uniqueId val="{00000001-640C-4E4A-B372-313D142F07D9}"/>
              </c:ext>
            </c:extLst>
          </c:dPt>
          <c:dPt>
            <c:idx val="2"/>
            <c:invertIfNegative val="0"/>
            <c:bubble3D val="0"/>
            <c:extLst>
              <c:ext xmlns:c16="http://schemas.microsoft.com/office/drawing/2014/chart" uri="{C3380CC4-5D6E-409C-BE32-E72D297353CC}">
                <c16:uniqueId val="{00000002-640C-4E4A-B372-313D142F07D9}"/>
              </c:ext>
            </c:extLst>
          </c:dPt>
          <c:dPt>
            <c:idx val="3"/>
            <c:invertIfNegative val="0"/>
            <c:bubble3D val="0"/>
            <c:extLst>
              <c:ext xmlns:c16="http://schemas.microsoft.com/office/drawing/2014/chart" uri="{C3380CC4-5D6E-409C-BE32-E72D297353CC}">
                <c16:uniqueId val="{00000003-640C-4E4A-B372-313D142F07D9}"/>
              </c:ext>
            </c:extLst>
          </c:dPt>
          <c:dPt>
            <c:idx val="4"/>
            <c:invertIfNegative val="0"/>
            <c:bubble3D val="0"/>
            <c:extLst>
              <c:ext xmlns:c16="http://schemas.microsoft.com/office/drawing/2014/chart" uri="{C3380CC4-5D6E-409C-BE32-E72D297353CC}">
                <c16:uniqueId val="{00000004-640C-4E4A-B372-313D142F07D9}"/>
              </c:ext>
            </c:extLst>
          </c:dPt>
          <c:dPt>
            <c:idx val="5"/>
            <c:invertIfNegative val="0"/>
            <c:bubble3D val="0"/>
            <c:extLst>
              <c:ext xmlns:c16="http://schemas.microsoft.com/office/drawing/2014/chart" uri="{C3380CC4-5D6E-409C-BE32-E72D297353CC}">
                <c16:uniqueId val="{00000005-640C-4E4A-B372-313D142F07D9}"/>
              </c:ext>
            </c:extLst>
          </c:dPt>
          <c:dPt>
            <c:idx val="6"/>
            <c:invertIfNegative val="0"/>
            <c:bubble3D val="0"/>
            <c:extLst>
              <c:ext xmlns:c16="http://schemas.microsoft.com/office/drawing/2014/chart" uri="{C3380CC4-5D6E-409C-BE32-E72D297353CC}">
                <c16:uniqueId val="{00000006-640C-4E4A-B372-313D142F07D9}"/>
              </c:ext>
            </c:extLst>
          </c:dPt>
          <c:dPt>
            <c:idx val="7"/>
            <c:invertIfNegative val="0"/>
            <c:bubble3D val="0"/>
            <c:extLst>
              <c:ext xmlns:c16="http://schemas.microsoft.com/office/drawing/2014/chart" uri="{C3380CC4-5D6E-409C-BE32-E72D297353CC}">
                <c16:uniqueId val="{00000007-640C-4E4A-B372-313D142F07D9}"/>
              </c:ext>
            </c:extLst>
          </c:dPt>
          <c:dPt>
            <c:idx val="8"/>
            <c:invertIfNegative val="0"/>
            <c:bubble3D val="0"/>
            <c:extLst>
              <c:ext xmlns:c16="http://schemas.microsoft.com/office/drawing/2014/chart" uri="{C3380CC4-5D6E-409C-BE32-E72D297353CC}">
                <c16:uniqueId val="{00000008-640C-4E4A-B372-313D142F07D9}"/>
              </c:ext>
            </c:extLst>
          </c:dPt>
          <c:dPt>
            <c:idx val="9"/>
            <c:invertIfNegative val="0"/>
            <c:bubble3D val="0"/>
            <c:extLst>
              <c:ext xmlns:c16="http://schemas.microsoft.com/office/drawing/2014/chart" uri="{C3380CC4-5D6E-409C-BE32-E72D297353CC}">
                <c16:uniqueId val="{00000009-640C-4E4A-B372-313D142F07D9}"/>
              </c:ext>
            </c:extLst>
          </c:dPt>
          <c:dPt>
            <c:idx val="10"/>
            <c:invertIfNegative val="0"/>
            <c:bubble3D val="0"/>
            <c:extLst>
              <c:ext xmlns:c16="http://schemas.microsoft.com/office/drawing/2014/chart" uri="{C3380CC4-5D6E-409C-BE32-E72D297353CC}">
                <c16:uniqueId val="{0000000A-640C-4E4A-B372-313D142F07D9}"/>
              </c:ext>
            </c:extLst>
          </c:dPt>
          <c:cat>
            <c:numRef>
              <c:f>Statsformat!$A$9:$A$13</c:f>
              <c:numCache>
                <c:formatCode>yyyy;@</c:formatCode>
                <c:ptCount val="5"/>
                <c:pt idx="0">
                  <c:v>44561</c:v>
                </c:pt>
                <c:pt idx="1">
                  <c:v>44926</c:v>
                </c:pt>
                <c:pt idx="2">
                  <c:v>45291</c:v>
                </c:pt>
                <c:pt idx="3">
                  <c:v>45657</c:v>
                </c:pt>
                <c:pt idx="4">
                  <c:v>46022</c:v>
                </c:pt>
              </c:numCache>
            </c:numRef>
          </c:cat>
          <c:val>
            <c:numRef>
              <c:f>Statsformat!$B$9:$B$13</c:f>
              <c:numCache>
                <c:formatCode>#\ ##0.000</c:formatCode>
                <c:ptCount val="5"/>
                <c:pt idx="0">
                  <c:v>7.6120000000000001</c:v>
                </c:pt>
                <c:pt idx="1">
                  <c:v>16.614999999999998</c:v>
                </c:pt>
                <c:pt idx="2">
                  <c:v>19.206</c:v>
                </c:pt>
                <c:pt idx="3">
                  <c:v>18.657</c:v>
                </c:pt>
                <c:pt idx="4">
                  <c:v>26.161999999999999</c:v>
                </c:pt>
              </c:numCache>
            </c:numRef>
          </c:val>
          <c:extLst>
            <c:ext xmlns:c16="http://schemas.microsoft.com/office/drawing/2014/chart" uri="{C3380CC4-5D6E-409C-BE32-E72D297353CC}">
              <c16:uniqueId val="{0000000B-640C-4E4A-B372-313D142F07D9}"/>
            </c:ext>
          </c:extLst>
        </c:ser>
        <c:ser>
          <c:idx val="1"/>
          <c:order val="1"/>
          <c:tx>
            <c:strRef>
              <c:f>Statsformat!$C$8</c:f>
              <c:strCache>
                <c:ptCount val="1"/>
                <c:pt idx="0">
                  <c:v>Kurseffekter</c:v>
                </c:pt>
              </c:strCache>
            </c:strRef>
          </c:tx>
          <c:spPr>
            <a:solidFill>
              <a:srgbClr val="B4B4B4"/>
            </a:solidFill>
            <a:ln w="3175">
              <a:solidFill>
                <a:sysClr val="windowText" lastClr="000000"/>
              </a:solidFill>
            </a:ln>
          </c:spPr>
          <c:invertIfNegative val="0"/>
          <c:cat>
            <c:numRef>
              <c:f>Statsformat!$A$9:$A$13</c:f>
              <c:numCache>
                <c:formatCode>yyyy;@</c:formatCode>
                <c:ptCount val="5"/>
                <c:pt idx="0">
                  <c:v>44561</c:v>
                </c:pt>
                <c:pt idx="1">
                  <c:v>44926</c:v>
                </c:pt>
                <c:pt idx="2">
                  <c:v>45291</c:v>
                </c:pt>
                <c:pt idx="3">
                  <c:v>45657</c:v>
                </c:pt>
                <c:pt idx="4">
                  <c:v>46022</c:v>
                </c:pt>
              </c:numCache>
            </c:numRef>
          </c:cat>
          <c:val>
            <c:numRef>
              <c:f>Statsformat!$C$9:$C$13</c:f>
              <c:numCache>
                <c:formatCode>#\ ##0.000</c:formatCode>
                <c:ptCount val="5"/>
                <c:pt idx="0">
                  <c:v>-9</c:v>
                </c:pt>
                <c:pt idx="1">
                  <c:v>10.473000000000001</c:v>
                </c:pt>
                <c:pt idx="2">
                  <c:v>12.36</c:v>
                </c:pt>
                <c:pt idx="3">
                  <c:v>1.462</c:v>
                </c:pt>
                <c:pt idx="4">
                  <c:v>3.9569999999999999</c:v>
                </c:pt>
              </c:numCache>
            </c:numRef>
          </c:val>
          <c:extLst>
            <c:ext xmlns:c16="http://schemas.microsoft.com/office/drawing/2014/chart" uri="{C3380CC4-5D6E-409C-BE32-E72D297353CC}">
              <c16:uniqueId val="{0000000C-640C-4E4A-B372-313D142F07D9}"/>
            </c:ext>
          </c:extLst>
        </c:ser>
        <c:dLbls>
          <c:showLegendKey val="0"/>
          <c:showVal val="0"/>
          <c:showCatName val="0"/>
          <c:showSerName val="0"/>
          <c:showPercent val="0"/>
          <c:showBubbleSize val="0"/>
        </c:dLbls>
        <c:gapWidth val="50"/>
        <c:overlap val="100"/>
        <c:axId val="81486208"/>
        <c:axId val="81488128"/>
      </c:barChart>
      <c:lineChart>
        <c:grouping val="standard"/>
        <c:varyColors val="0"/>
        <c:ser>
          <c:idx val="2"/>
          <c:order val="2"/>
          <c:tx>
            <c:strRef>
              <c:f>Statsformat!$D$8</c:f>
              <c:strCache>
                <c:ptCount val="1"/>
                <c:pt idx="0">
                  <c:v>Totalt</c:v>
                </c:pt>
              </c:strCache>
            </c:strRef>
          </c:tx>
          <c:spPr>
            <a:ln w="19050">
              <a:solidFill>
                <a:srgbClr val="787878"/>
              </a:solidFill>
              <a:prstDash val="solid"/>
            </a:ln>
          </c:spPr>
          <c:marker>
            <c:symbol val="diamond"/>
            <c:size val="5"/>
            <c:spPr>
              <a:solidFill>
                <a:srgbClr val="787878"/>
              </a:solidFill>
              <a:ln w="19050">
                <a:solidFill>
                  <a:srgbClr val="787878"/>
                </a:solidFill>
                <a:prstDash val="solid"/>
              </a:ln>
            </c:spPr>
          </c:marker>
          <c:cat>
            <c:numRef>
              <c:f>Statsformat!$A$9:$A$13</c:f>
              <c:numCache>
                <c:formatCode>yyyy;@</c:formatCode>
                <c:ptCount val="5"/>
                <c:pt idx="0">
                  <c:v>44561</c:v>
                </c:pt>
                <c:pt idx="1">
                  <c:v>44926</c:v>
                </c:pt>
                <c:pt idx="2">
                  <c:v>45291</c:v>
                </c:pt>
                <c:pt idx="3">
                  <c:v>45657</c:v>
                </c:pt>
                <c:pt idx="4">
                  <c:v>46022</c:v>
                </c:pt>
              </c:numCache>
            </c:numRef>
          </c:cat>
          <c:val>
            <c:numRef>
              <c:f>Statsformat!$D$9:$D$13</c:f>
              <c:numCache>
                <c:formatCode>#,##0</c:formatCode>
                <c:ptCount val="5"/>
                <c:pt idx="0" formatCode="#\ ##0.000">
                  <c:v>-1.4750000000000001</c:v>
                </c:pt>
                <c:pt idx="1">
                  <c:v>26.992999999999999</c:v>
                </c:pt>
                <c:pt idx="2">
                  <c:v>31.710999999999999</c:v>
                </c:pt>
                <c:pt idx="3">
                  <c:v>20.834</c:v>
                </c:pt>
                <c:pt idx="4">
                  <c:v>30.992999999999999</c:v>
                </c:pt>
              </c:numCache>
            </c:numRef>
          </c:val>
          <c:smooth val="0"/>
          <c:extLst>
            <c:ext xmlns:c16="http://schemas.microsoft.com/office/drawing/2014/chart" uri="{C3380CC4-5D6E-409C-BE32-E72D297353CC}">
              <c16:uniqueId val="{0000000D-640C-4E4A-B372-313D142F07D9}"/>
            </c:ext>
          </c:extLst>
        </c:ser>
        <c:dLbls>
          <c:showLegendKey val="0"/>
          <c:showVal val="0"/>
          <c:showCatName val="0"/>
          <c:showSerName val="0"/>
          <c:showPercent val="0"/>
          <c:showBubbleSize val="0"/>
        </c:dLbls>
        <c:marker val="1"/>
        <c:smooth val="0"/>
        <c:axId val="81486208"/>
        <c:axId val="81488128"/>
      </c:lineChart>
      <c:dateAx>
        <c:axId val="81486208"/>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sz="700" b="0" i="0">
                <a:latin typeface="TradeGothic CondEighteen"/>
                <a:ea typeface="TradeGothic CondEighteen"/>
                <a:cs typeface="TradeGothic CondEighteen"/>
              </a:defRPr>
            </a:pPr>
            <a:endParaRPr lang="sv-SE"/>
          </a:p>
        </c:txPr>
        <c:crossAx val="81488128"/>
        <c:crosses val="autoZero"/>
        <c:auto val="1"/>
        <c:lblOffset val="100"/>
        <c:baseTimeUnit val="years"/>
      </c:dateAx>
      <c:valAx>
        <c:axId val="81488128"/>
        <c:scaling>
          <c:orientation val="minMax"/>
        </c:scaling>
        <c:delete val="0"/>
        <c:axPos val="l"/>
        <c:numFmt formatCode="#\ ##0" sourceLinked="0"/>
        <c:majorTickMark val="in"/>
        <c:minorTickMark val="none"/>
        <c:tickLblPos val="nextTo"/>
        <c:spPr>
          <a:ln w="3175" cmpd="sng">
            <a:solidFill>
              <a:sysClr val="windowText" lastClr="000000">
                <a:lumMod val="100000"/>
              </a:sysClr>
            </a:solidFill>
          </a:ln>
        </c:spPr>
        <c:txPr>
          <a:bodyPr rot="0" vert="horz"/>
          <a:lstStyle/>
          <a:p>
            <a:pPr>
              <a:defRPr sz="700" b="0" i="0">
                <a:latin typeface="TradeGothic CondEighteen"/>
                <a:ea typeface="TradeGothic CondEighteen"/>
                <a:cs typeface="TradeGothic CondEighteen"/>
              </a:defRPr>
            </a:pPr>
            <a:endParaRPr lang="sv-SE"/>
          </a:p>
        </c:txPr>
        <c:crossAx val="81486208"/>
        <c:crosses val="autoZero"/>
        <c:crossBetween val="between"/>
      </c:valAx>
      <c:spPr>
        <a:noFill/>
        <a:ln w="3175">
          <a:solidFill>
            <a:schemeClr val="tx1"/>
          </a:solidFill>
          <a:prstDash val="solid"/>
        </a:ln>
      </c:spPr>
    </c:plotArea>
    <c:legend>
      <c:legendPos val="b"/>
      <c:layout>
        <c:manualLayout>
          <c:xMode val="edge"/>
          <c:yMode val="edge"/>
          <c:x val="0.21648164682539686"/>
          <c:y val="0.88851336050724661"/>
          <c:w val="0.56766666666666665"/>
          <c:h val="6.7479619565217391E-2"/>
        </c:manualLayout>
      </c:layout>
      <c:overlay val="0"/>
      <c:spPr>
        <a:noFill/>
        <a:ln w="25400">
          <a:noFill/>
        </a:ln>
        <a:effectLst/>
      </c:spPr>
      <c:txPr>
        <a:bodyPr/>
        <a:lstStyle/>
        <a:p>
          <a:pPr>
            <a:defRPr sz="700" b="0">
              <a:latin typeface="TradeGothic CondEighteen"/>
              <a:ea typeface="TradeGothic CondEighteen"/>
              <a:cs typeface="TradeGothic CondEighteen"/>
            </a:defRPr>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1261408730158723E-2"/>
          <c:y val="4.0608771135265703E-2"/>
          <c:w val="0.92249305555555561"/>
          <c:h val="0.89180706521739128"/>
        </c:manualLayout>
      </c:layout>
      <c:lineChart>
        <c:grouping val="standard"/>
        <c:varyColors val="0"/>
        <c:ser>
          <c:idx val="0"/>
          <c:order val="0"/>
          <c:tx>
            <c:strRef>
              <c:f>Statsformat!$B$8</c:f>
              <c:strCache>
                <c:ptCount val="1"/>
                <c:pt idx="0">
                  <c:v>Faktisk - Valutaexponering</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0-8FD2-4FE4-9B18-0E23762B6F72}"/>
              </c:ext>
            </c:extLst>
          </c:dPt>
          <c:dPt>
            <c:idx val="1"/>
            <c:bubble3D val="0"/>
            <c:extLst>
              <c:ext xmlns:c16="http://schemas.microsoft.com/office/drawing/2014/chart" uri="{C3380CC4-5D6E-409C-BE32-E72D297353CC}">
                <c16:uniqueId val="{00000001-8FD2-4FE4-9B18-0E23762B6F72}"/>
              </c:ext>
            </c:extLst>
          </c:dPt>
          <c:dPt>
            <c:idx val="2"/>
            <c:bubble3D val="0"/>
            <c:extLst>
              <c:ext xmlns:c16="http://schemas.microsoft.com/office/drawing/2014/chart" uri="{C3380CC4-5D6E-409C-BE32-E72D297353CC}">
                <c16:uniqueId val="{00000002-8FD2-4FE4-9B18-0E23762B6F72}"/>
              </c:ext>
            </c:extLst>
          </c:dPt>
          <c:dPt>
            <c:idx val="3"/>
            <c:bubble3D val="0"/>
            <c:extLst>
              <c:ext xmlns:c16="http://schemas.microsoft.com/office/drawing/2014/chart" uri="{C3380CC4-5D6E-409C-BE32-E72D297353CC}">
                <c16:uniqueId val="{00000003-8FD2-4FE4-9B18-0E23762B6F72}"/>
              </c:ext>
            </c:extLst>
          </c:dPt>
          <c:dPt>
            <c:idx val="4"/>
            <c:bubble3D val="0"/>
            <c:extLst>
              <c:ext xmlns:c16="http://schemas.microsoft.com/office/drawing/2014/chart" uri="{C3380CC4-5D6E-409C-BE32-E72D297353CC}">
                <c16:uniqueId val="{00000004-8FD2-4FE4-9B18-0E23762B6F72}"/>
              </c:ext>
            </c:extLst>
          </c:dPt>
          <c:dPt>
            <c:idx val="5"/>
            <c:bubble3D val="0"/>
            <c:extLst>
              <c:ext xmlns:c16="http://schemas.microsoft.com/office/drawing/2014/chart" uri="{C3380CC4-5D6E-409C-BE32-E72D297353CC}">
                <c16:uniqueId val="{00000005-8FD2-4FE4-9B18-0E23762B6F72}"/>
              </c:ext>
            </c:extLst>
          </c:dPt>
          <c:dPt>
            <c:idx val="6"/>
            <c:bubble3D val="0"/>
            <c:extLst>
              <c:ext xmlns:c16="http://schemas.microsoft.com/office/drawing/2014/chart" uri="{C3380CC4-5D6E-409C-BE32-E72D297353CC}">
                <c16:uniqueId val="{00000006-8FD2-4FE4-9B18-0E23762B6F72}"/>
              </c:ext>
            </c:extLst>
          </c:dPt>
          <c:dPt>
            <c:idx val="7"/>
            <c:bubble3D val="0"/>
            <c:extLst>
              <c:ext xmlns:c16="http://schemas.microsoft.com/office/drawing/2014/chart" uri="{C3380CC4-5D6E-409C-BE32-E72D297353CC}">
                <c16:uniqueId val="{00000007-8FD2-4FE4-9B18-0E23762B6F72}"/>
              </c:ext>
            </c:extLst>
          </c:dPt>
          <c:dPt>
            <c:idx val="8"/>
            <c:bubble3D val="0"/>
            <c:extLst>
              <c:ext xmlns:c16="http://schemas.microsoft.com/office/drawing/2014/chart" uri="{C3380CC4-5D6E-409C-BE32-E72D297353CC}">
                <c16:uniqueId val="{00000008-8FD2-4FE4-9B18-0E23762B6F72}"/>
              </c:ext>
            </c:extLst>
          </c:dPt>
          <c:dPt>
            <c:idx val="9"/>
            <c:bubble3D val="0"/>
            <c:extLst>
              <c:ext xmlns:c16="http://schemas.microsoft.com/office/drawing/2014/chart" uri="{C3380CC4-5D6E-409C-BE32-E72D297353CC}">
                <c16:uniqueId val="{00000009-8FD2-4FE4-9B18-0E23762B6F72}"/>
              </c:ext>
            </c:extLst>
          </c:dPt>
          <c:dPt>
            <c:idx val="10"/>
            <c:bubble3D val="0"/>
            <c:extLst>
              <c:ext xmlns:c16="http://schemas.microsoft.com/office/drawing/2014/chart" uri="{C3380CC4-5D6E-409C-BE32-E72D297353CC}">
                <c16:uniqueId val="{0000000A-8FD2-4FE4-9B18-0E23762B6F72}"/>
              </c:ext>
            </c:extLst>
          </c:dPt>
          <c:cat>
            <c:numRef>
              <c:f>Statsformat!$A$9:$A$92</c:f>
              <c:numCache>
                <c:formatCode>m/d/yyyy</c:formatCode>
                <c:ptCount val="84"/>
                <c:pt idx="0">
                  <c:v>43466</c:v>
                </c:pt>
                <c:pt idx="1">
                  <c:v>43497</c:v>
                </c:pt>
                <c:pt idx="2">
                  <c:v>43525</c:v>
                </c:pt>
                <c:pt idx="3">
                  <c:v>43556</c:v>
                </c:pt>
                <c:pt idx="4">
                  <c:v>43586</c:v>
                </c:pt>
                <c:pt idx="5">
                  <c:v>43617</c:v>
                </c:pt>
                <c:pt idx="6">
                  <c:v>43647</c:v>
                </c:pt>
                <c:pt idx="7">
                  <c:v>43678</c:v>
                </c:pt>
                <c:pt idx="8">
                  <c:v>43709</c:v>
                </c:pt>
                <c:pt idx="9">
                  <c:v>43739</c:v>
                </c:pt>
                <c:pt idx="10">
                  <c:v>43770</c:v>
                </c:pt>
                <c:pt idx="11">
                  <c:v>43800</c:v>
                </c:pt>
                <c:pt idx="12">
                  <c:v>43831</c:v>
                </c:pt>
                <c:pt idx="13">
                  <c:v>43862</c:v>
                </c:pt>
                <c:pt idx="14">
                  <c:v>43891</c:v>
                </c:pt>
                <c:pt idx="15">
                  <c:v>43922</c:v>
                </c:pt>
                <c:pt idx="16">
                  <c:v>43952</c:v>
                </c:pt>
                <c:pt idx="17">
                  <c:v>43983</c:v>
                </c:pt>
                <c:pt idx="18">
                  <c:v>44013</c:v>
                </c:pt>
                <c:pt idx="19">
                  <c:v>44044</c:v>
                </c:pt>
                <c:pt idx="20">
                  <c:v>44075</c:v>
                </c:pt>
                <c:pt idx="21">
                  <c:v>44105</c:v>
                </c:pt>
                <c:pt idx="22">
                  <c:v>44136</c:v>
                </c:pt>
                <c:pt idx="23">
                  <c:v>44166</c:v>
                </c:pt>
                <c:pt idx="24">
                  <c:v>44197</c:v>
                </c:pt>
                <c:pt idx="25">
                  <c:v>44228</c:v>
                </c:pt>
                <c:pt idx="26">
                  <c:v>44256</c:v>
                </c:pt>
                <c:pt idx="27">
                  <c:v>44287</c:v>
                </c:pt>
                <c:pt idx="28">
                  <c:v>44317</c:v>
                </c:pt>
                <c:pt idx="29">
                  <c:v>44348</c:v>
                </c:pt>
                <c:pt idx="30">
                  <c:v>44378</c:v>
                </c:pt>
                <c:pt idx="31">
                  <c:v>44409</c:v>
                </c:pt>
                <c:pt idx="32">
                  <c:v>44440</c:v>
                </c:pt>
                <c:pt idx="33">
                  <c:v>44470</c:v>
                </c:pt>
                <c:pt idx="34">
                  <c:v>44501</c:v>
                </c:pt>
                <c:pt idx="35">
                  <c:v>44531</c:v>
                </c:pt>
                <c:pt idx="36">
                  <c:v>44562</c:v>
                </c:pt>
                <c:pt idx="37">
                  <c:v>44593</c:v>
                </c:pt>
                <c:pt idx="38">
                  <c:v>44621</c:v>
                </c:pt>
                <c:pt idx="39">
                  <c:v>44652</c:v>
                </c:pt>
                <c:pt idx="40">
                  <c:v>44682</c:v>
                </c:pt>
                <c:pt idx="41">
                  <c:v>44713</c:v>
                </c:pt>
                <c:pt idx="42">
                  <c:v>44743</c:v>
                </c:pt>
                <c:pt idx="43">
                  <c:v>44774</c:v>
                </c:pt>
                <c:pt idx="44">
                  <c:v>44805</c:v>
                </c:pt>
                <c:pt idx="45">
                  <c:v>44835</c:v>
                </c:pt>
                <c:pt idx="46">
                  <c:v>44866</c:v>
                </c:pt>
                <c:pt idx="47">
                  <c:v>44896</c:v>
                </c:pt>
                <c:pt idx="48">
                  <c:v>44927</c:v>
                </c:pt>
                <c:pt idx="49">
                  <c:v>44958</c:v>
                </c:pt>
                <c:pt idx="50">
                  <c:v>44986</c:v>
                </c:pt>
                <c:pt idx="51">
                  <c:v>45017</c:v>
                </c:pt>
                <c:pt idx="52">
                  <c:v>45047</c:v>
                </c:pt>
                <c:pt idx="53">
                  <c:v>45078</c:v>
                </c:pt>
                <c:pt idx="54">
                  <c:v>45108</c:v>
                </c:pt>
                <c:pt idx="55">
                  <c:v>45139</c:v>
                </c:pt>
                <c:pt idx="56">
                  <c:v>45170</c:v>
                </c:pt>
                <c:pt idx="57">
                  <c:v>45200</c:v>
                </c:pt>
                <c:pt idx="58">
                  <c:v>45231</c:v>
                </c:pt>
                <c:pt idx="59">
                  <c:v>45261</c:v>
                </c:pt>
                <c:pt idx="60">
                  <c:v>45292</c:v>
                </c:pt>
                <c:pt idx="61">
                  <c:v>45323</c:v>
                </c:pt>
                <c:pt idx="62">
                  <c:v>45352</c:v>
                </c:pt>
                <c:pt idx="63">
                  <c:v>45383</c:v>
                </c:pt>
                <c:pt idx="64">
                  <c:v>45413</c:v>
                </c:pt>
                <c:pt idx="65">
                  <c:v>45444</c:v>
                </c:pt>
                <c:pt idx="66">
                  <c:v>45474</c:v>
                </c:pt>
                <c:pt idx="67">
                  <c:v>45505</c:v>
                </c:pt>
                <c:pt idx="68">
                  <c:v>45536</c:v>
                </c:pt>
                <c:pt idx="69">
                  <c:v>45566</c:v>
                </c:pt>
                <c:pt idx="70">
                  <c:v>45597</c:v>
                </c:pt>
                <c:pt idx="71">
                  <c:v>45627</c:v>
                </c:pt>
                <c:pt idx="72">
                  <c:v>45658</c:v>
                </c:pt>
                <c:pt idx="73">
                  <c:v>45689</c:v>
                </c:pt>
                <c:pt idx="74">
                  <c:v>45717</c:v>
                </c:pt>
                <c:pt idx="75">
                  <c:v>45748</c:v>
                </c:pt>
                <c:pt idx="76">
                  <c:v>45778</c:v>
                </c:pt>
                <c:pt idx="77">
                  <c:v>45809</c:v>
                </c:pt>
                <c:pt idx="78">
                  <c:v>45839</c:v>
                </c:pt>
                <c:pt idx="79">
                  <c:v>45870</c:v>
                </c:pt>
                <c:pt idx="80">
                  <c:v>45901</c:v>
                </c:pt>
                <c:pt idx="81">
                  <c:v>45931</c:v>
                </c:pt>
                <c:pt idx="82">
                  <c:v>45962</c:v>
                </c:pt>
                <c:pt idx="83">
                  <c:v>45992</c:v>
                </c:pt>
              </c:numCache>
            </c:numRef>
          </c:cat>
          <c:val>
            <c:numRef>
              <c:f>Statsformat!$B$9:$B$92</c:f>
              <c:numCache>
                <c:formatCode>0</c:formatCode>
                <c:ptCount val="84"/>
                <c:pt idx="0">
                  <c:v>119.62</c:v>
                </c:pt>
                <c:pt idx="1">
                  <c:v>114.53</c:v>
                </c:pt>
                <c:pt idx="2">
                  <c:v>111.04</c:v>
                </c:pt>
                <c:pt idx="3">
                  <c:v>108.85</c:v>
                </c:pt>
                <c:pt idx="4">
                  <c:v>109.44</c:v>
                </c:pt>
                <c:pt idx="5">
                  <c:v>104.26</c:v>
                </c:pt>
                <c:pt idx="6">
                  <c:v>101.19</c:v>
                </c:pt>
                <c:pt idx="7">
                  <c:v>101.48</c:v>
                </c:pt>
                <c:pt idx="8">
                  <c:v>98.02</c:v>
                </c:pt>
                <c:pt idx="9">
                  <c:v>96.62</c:v>
                </c:pt>
                <c:pt idx="10">
                  <c:v>93.66</c:v>
                </c:pt>
                <c:pt idx="11">
                  <c:v>93.03</c:v>
                </c:pt>
                <c:pt idx="12">
                  <c:v>97.4</c:v>
                </c:pt>
                <c:pt idx="13">
                  <c:v>93.66</c:v>
                </c:pt>
                <c:pt idx="14">
                  <c:v>94.83</c:v>
                </c:pt>
                <c:pt idx="15">
                  <c:v>96.25</c:v>
                </c:pt>
                <c:pt idx="16">
                  <c:v>97.39</c:v>
                </c:pt>
                <c:pt idx="17">
                  <c:v>95.2</c:v>
                </c:pt>
                <c:pt idx="18">
                  <c:v>92.69</c:v>
                </c:pt>
                <c:pt idx="19">
                  <c:v>93.96</c:v>
                </c:pt>
                <c:pt idx="20">
                  <c:v>95.77</c:v>
                </c:pt>
                <c:pt idx="21">
                  <c:v>96.03</c:v>
                </c:pt>
                <c:pt idx="22">
                  <c:v>97.39</c:v>
                </c:pt>
                <c:pt idx="23">
                  <c:v>101.33</c:v>
                </c:pt>
                <c:pt idx="24">
                  <c:v>103.21</c:v>
                </c:pt>
                <c:pt idx="25">
                  <c:v>97.48</c:v>
                </c:pt>
                <c:pt idx="26">
                  <c:v>93.24</c:v>
                </c:pt>
                <c:pt idx="27">
                  <c:v>94.29</c:v>
                </c:pt>
                <c:pt idx="28">
                  <c:v>94.36</c:v>
                </c:pt>
                <c:pt idx="29">
                  <c:v>93.69</c:v>
                </c:pt>
                <c:pt idx="30">
                  <c:v>94.55</c:v>
                </c:pt>
                <c:pt idx="31">
                  <c:v>92.74</c:v>
                </c:pt>
                <c:pt idx="32">
                  <c:v>91.94</c:v>
                </c:pt>
                <c:pt idx="33">
                  <c:v>93.56</c:v>
                </c:pt>
                <c:pt idx="34">
                  <c:v>94.99</c:v>
                </c:pt>
                <c:pt idx="35">
                  <c:v>100.13</c:v>
                </c:pt>
                <c:pt idx="36">
                  <c:v>103.56</c:v>
                </c:pt>
                <c:pt idx="37">
                  <c:v>100.9</c:v>
                </c:pt>
                <c:pt idx="38">
                  <c:v>100.45</c:v>
                </c:pt>
                <c:pt idx="39">
                  <c:v>102.48</c:v>
                </c:pt>
                <c:pt idx="40">
                  <c:v>104.13</c:v>
                </c:pt>
                <c:pt idx="41">
                  <c:v>104.59</c:v>
                </c:pt>
                <c:pt idx="42">
                  <c:v>104.95</c:v>
                </c:pt>
                <c:pt idx="43">
                  <c:v>106.66</c:v>
                </c:pt>
                <c:pt idx="44">
                  <c:v>111.4</c:v>
                </c:pt>
                <c:pt idx="45">
                  <c:v>112.26</c:v>
                </c:pt>
                <c:pt idx="46">
                  <c:v>111.26</c:v>
                </c:pt>
                <c:pt idx="47">
                  <c:v>113.99</c:v>
                </c:pt>
                <c:pt idx="48">
                  <c:v>116.06</c:v>
                </c:pt>
                <c:pt idx="49">
                  <c:v>106.33</c:v>
                </c:pt>
                <c:pt idx="50">
                  <c:v>99.6</c:v>
                </c:pt>
                <c:pt idx="51">
                  <c:v>98.15</c:v>
                </c:pt>
                <c:pt idx="52">
                  <c:v>97</c:v>
                </c:pt>
                <c:pt idx="53">
                  <c:v>96.19</c:v>
                </c:pt>
                <c:pt idx="54">
                  <c:v>94.01</c:v>
                </c:pt>
                <c:pt idx="55">
                  <c:v>94.69</c:v>
                </c:pt>
                <c:pt idx="56">
                  <c:v>90.78</c:v>
                </c:pt>
                <c:pt idx="57">
                  <c:v>87.52</c:v>
                </c:pt>
                <c:pt idx="58">
                  <c:v>84.56</c:v>
                </c:pt>
                <c:pt idx="59">
                  <c:v>83.34</c:v>
                </c:pt>
                <c:pt idx="60">
                  <c:v>82.29</c:v>
                </c:pt>
                <c:pt idx="61">
                  <c:v>73.989999999999995</c:v>
                </c:pt>
                <c:pt idx="62">
                  <c:v>71.13</c:v>
                </c:pt>
                <c:pt idx="63">
                  <c:v>74.069999999999993</c:v>
                </c:pt>
                <c:pt idx="64">
                  <c:v>71.17</c:v>
                </c:pt>
                <c:pt idx="65">
                  <c:v>69.3</c:v>
                </c:pt>
                <c:pt idx="66">
                  <c:v>71.73</c:v>
                </c:pt>
                <c:pt idx="67">
                  <c:v>69.41</c:v>
                </c:pt>
                <c:pt idx="68">
                  <c:v>65.95</c:v>
                </c:pt>
                <c:pt idx="69">
                  <c:v>65.38</c:v>
                </c:pt>
                <c:pt idx="70">
                  <c:v>65.7</c:v>
                </c:pt>
                <c:pt idx="71">
                  <c:v>68.94</c:v>
                </c:pt>
                <c:pt idx="72">
                  <c:v>75.319999999999993</c:v>
                </c:pt>
                <c:pt idx="73">
                  <c:v>66.5</c:v>
                </c:pt>
                <c:pt idx="74">
                  <c:v>61.12</c:v>
                </c:pt>
                <c:pt idx="75">
                  <c:v>66.44</c:v>
                </c:pt>
                <c:pt idx="76">
                  <c:v>66.37</c:v>
                </c:pt>
                <c:pt idx="77">
                  <c:v>64.55</c:v>
                </c:pt>
                <c:pt idx="78">
                  <c:v>58.63</c:v>
                </c:pt>
                <c:pt idx="79">
                  <c:v>47.58</c:v>
                </c:pt>
                <c:pt idx="80">
                  <c:v>44.61</c:v>
                </c:pt>
                <c:pt idx="81">
                  <c:v>41.59</c:v>
                </c:pt>
                <c:pt idx="82">
                  <c:v>40.78</c:v>
                </c:pt>
                <c:pt idx="83">
                  <c:v>42.31</c:v>
                </c:pt>
              </c:numCache>
            </c:numRef>
          </c:val>
          <c:smooth val="0"/>
          <c:extLst>
            <c:ext xmlns:c16="http://schemas.microsoft.com/office/drawing/2014/chart" uri="{C3380CC4-5D6E-409C-BE32-E72D297353CC}">
              <c16:uniqueId val="{0000000B-8FD2-4FE4-9B18-0E23762B6F72}"/>
            </c:ext>
          </c:extLst>
        </c:ser>
        <c:ser>
          <c:idx val="1"/>
          <c:order val="1"/>
          <c:tx>
            <c:strRef>
              <c:f>Statsformat!$C$8</c:f>
              <c:strCache>
                <c:ptCount val="1"/>
                <c:pt idx="0">
                  <c:v>Alternativscenario - Valutaexponering</c:v>
                </c:pt>
              </c:strCache>
            </c:strRef>
          </c:tx>
          <c:spPr>
            <a:ln w="25400">
              <a:solidFill>
                <a:srgbClr val="000000"/>
              </a:solidFill>
              <a:prstDash val="solid"/>
            </a:ln>
          </c:spPr>
          <c:marker>
            <c:symbol val="none"/>
          </c:marker>
          <c:cat>
            <c:numRef>
              <c:f>Statsformat!$A$9:$A$92</c:f>
              <c:numCache>
                <c:formatCode>m/d/yyyy</c:formatCode>
                <c:ptCount val="84"/>
                <c:pt idx="0">
                  <c:v>43466</c:v>
                </c:pt>
                <c:pt idx="1">
                  <c:v>43497</c:v>
                </c:pt>
                <c:pt idx="2">
                  <c:v>43525</c:v>
                </c:pt>
                <c:pt idx="3">
                  <c:v>43556</c:v>
                </c:pt>
                <c:pt idx="4">
                  <c:v>43586</c:v>
                </c:pt>
                <c:pt idx="5">
                  <c:v>43617</c:v>
                </c:pt>
                <c:pt idx="6">
                  <c:v>43647</c:v>
                </c:pt>
                <c:pt idx="7">
                  <c:v>43678</c:v>
                </c:pt>
                <c:pt idx="8">
                  <c:v>43709</c:v>
                </c:pt>
                <c:pt idx="9">
                  <c:v>43739</c:v>
                </c:pt>
                <c:pt idx="10">
                  <c:v>43770</c:v>
                </c:pt>
                <c:pt idx="11">
                  <c:v>43800</c:v>
                </c:pt>
                <c:pt idx="12">
                  <c:v>43831</c:v>
                </c:pt>
                <c:pt idx="13">
                  <c:v>43862</c:v>
                </c:pt>
                <c:pt idx="14">
                  <c:v>43891</c:v>
                </c:pt>
                <c:pt idx="15">
                  <c:v>43922</c:v>
                </c:pt>
                <c:pt idx="16">
                  <c:v>43952</c:v>
                </c:pt>
                <c:pt idx="17">
                  <c:v>43983</c:v>
                </c:pt>
                <c:pt idx="18">
                  <c:v>44013</c:v>
                </c:pt>
                <c:pt idx="19">
                  <c:v>44044</c:v>
                </c:pt>
                <c:pt idx="20">
                  <c:v>44075</c:v>
                </c:pt>
                <c:pt idx="21">
                  <c:v>44105</c:v>
                </c:pt>
                <c:pt idx="22">
                  <c:v>44136</c:v>
                </c:pt>
                <c:pt idx="23">
                  <c:v>44166</c:v>
                </c:pt>
                <c:pt idx="24">
                  <c:v>44197</c:v>
                </c:pt>
                <c:pt idx="25">
                  <c:v>44228</c:v>
                </c:pt>
                <c:pt idx="26">
                  <c:v>44256</c:v>
                </c:pt>
                <c:pt idx="27">
                  <c:v>44287</c:v>
                </c:pt>
                <c:pt idx="28">
                  <c:v>44317</c:v>
                </c:pt>
                <c:pt idx="29">
                  <c:v>44348</c:v>
                </c:pt>
                <c:pt idx="30">
                  <c:v>44378</c:v>
                </c:pt>
                <c:pt idx="31">
                  <c:v>44409</c:v>
                </c:pt>
                <c:pt idx="32">
                  <c:v>44440</c:v>
                </c:pt>
                <c:pt idx="33">
                  <c:v>44470</c:v>
                </c:pt>
                <c:pt idx="34">
                  <c:v>44501</c:v>
                </c:pt>
                <c:pt idx="35">
                  <c:v>44531</c:v>
                </c:pt>
                <c:pt idx="36">
                  <c:v>44562</c:v>
                </c:pt>
                <c:pt idx="37">
                  <c:v>44593</c:v>
                </c:pt>
                <c:pt idx="38">
                  <c:v>44621</c:v>
                </c:pt>
                <c:pt idx="39">
                  <c:v>44652</c:v>
                </c:pt>
                <c:pt idx="40">
                  <c:v>44682</c:v>
                </c:pt>
                <c:pt idx="41">
                  <c:v>44713</c:v>
                </c:pt>
                <c:pt idx="42">
                  <c:v>44743</c:v>
                </c:pt>
                <c:pt idx="43">
                  <c:v>44774</c:v>
                </c:pt>
                <c:pt idx="44">
                  <c:v>44805</c:v>
                </c:pt>
                <c:pt idx="45">
                  <c:v>44835</c:v>
                </c:pt>
                <c:pt idx="46">
                  <c:v>44866</c:v>
                </c:pt>
                <c:pt idx="47">
                  <c:v>44896</c:v>
                </c:pt>
                <c:pt idx="48">
                  <c:v>44927</c:v>
                </c:pt>
                <c:pt idx="49">
                  <c:v>44958</c:v>
                </c:pt>
                <c:pt idx="50">
                  <c:v>44986</c:v>
                </c:pt>
                <c:pt idx="51">
                  <c:v>45017</c:v>
                </c:pt>
                <c:pt idx="52">
                  <c:v>45047</c:v>
                </c:pt>
                <c:pt idx="53">
                  <c:v>45078</c:v>
                </c:pt>
                <c:pt idx="54">
                  <c:v>45108</c:v>
                </c:pt>
                <c:pt idx="55">
                  <c:v>45139</c:v>
                </c:pt>
                <c:pt idx="56">
                  <c:v>45170</c:v>
                </c:pt>
                <c:pt idx="57">
                  <c:v>45200</c:v>
                </c:pt>
                <c:pt idx="58">
                  <c:v>45231</c:v>
                </c:pt>
                <c:pt idx="59">
                  <c:v>45261</c:v>
                </c:pt>
                <c:pt idx="60">
                  <c:v>45292</c:v>
                </c:pt>
                <c:pt idx="61">
                  <c:v>45323</c:v>
                </c:pt>
                <c:pt idx="62">
                  <c:v>45352</c:v>
                </c:pt>
                <c:pt idx="63">
                  <c:v>45383</c:v>
                </c:pt>
                <c:pt idx="64">
                  <c:v>45413</c:v>
                </c:pt>
                <c:pt idx="65">
                  <c:v>45444</c:v>
                </c:pt>
                <c:pt idx="66">
                  <c:v>45474</c:v>
                </c:pt>
                <c:pt idx="67">
                  <c:v>45505</c:v>
                </c:pt>
                <c:pt idx="68">
                  <c:v>45536</c:v>
                </c:pt>
                <c:pt idx="69">
                  <c:v>45566</c:v>
                </c:pt>
                <c:pt idx="70">
                  <c:v>45597</c:v>
                </c:pt>
                <c:pt idx="71">
                  <c:v>45627</c:v>
                </c:pt>
                <c:pt idx="72">
                  <c:v>45658</c:v>
                </c:pt>
                <c:pt idx="73">
                  <c:v>45689</c:v>
                </c:pt>
                <c:pt idx="74">
                  <c:v>45717</c:v>
                </c:pt>
                <c:pt idx="75">
                  <c:v>45748</c:v>
                </c:pt>
                <c:pt idx="76">
                  <c:v>45778</c:v>
                </c:pt>
                <c:pt idx="77">
                  <c:v>45809</c:v>
                </c:pt>
                <c:pt idx="78">
                  <c:v>45839</c:v>
                </c:pt>
                <c:pt idx="79">
                  <c:v>45870</c:v>
                </c:pt>
                <c:pt idx="80">
                  <c:v>45901</c:v>
                </c:pt>
                <c:pt idx="81">
                  <c:v>45931</c:v>
                </c:pt>
                <c:pt idx="82">
                  <c:v>45962</c:v>
                </c:pt>
                <c:pt idx="83">
                  <c:v>45992</c:v>
                </c:pt>
              </c:numCache>
            </c:numRef>
          </c:cat>
          <c:val>
            <c:numRef>
              <c:f>Statsformat!$C$9:$C$92</c:f>
              <c:numCache>
                <c:formatCode>0</c:formatCode>
                <c:ptCount val="84"/>
                <c:pt idx="0">
                  <c:v>#N/A</c:v>
                </c:pt>
                <c:pt idx="1">
                  <c:v>#N/A</c:v>
                </c:pt>
                <c:pt idx="2">
                  <c:v>#N/A</c:v>
                </c:pt>
                <c:pt idx="3">
                  <c:v>#N/A</c:v>
                </c:pt>
                <c:pt idx="4">
                  <c:v>#N/A</c:v>
                </c:pt>
                <c:pt idx="5">
                  <c:v>#N/A</c:v>
                </c:pt>
                <c:pt idx="6">
                  <c:v>#N/A</c:v>
                </c:pt>
                <c:pt idx="7">
                  <c:v>#N/A</c:v>
                </c:pt>
                <c:pt idx="8">
                  <c:v>#N/A</c:v>
                </c:pt>
                <c:pt idx="9">
                  <c:v>#N/A</c:v>
                </c:pt>
                <c:pt idx="10">
                  <c:v>#N/A</c:v>
                </c:pt>
                <c:pt idx="11">
                  <c:v>92.273466130397182</c:v>
                </c:pt>
                <c:pt idx="12">
                  <c:v>95.080417944884388</c:v>
                </c:pt>
                <c:pt idx="13">
                  <c:v>89.68947655745346</c:v>
                </c:pt>
                <c:pt idx="14">
                  <c:v>89.032568556805401</c:v>
                </c:pt>
                <c:pt idx="15">
                  <c:v>88.682726187331397</c:v>
                </c:pt>
                <c:pt idx="16">
                  <c:v>88.449633818533925</c:v>
                </c:pt>
                <c:pt idx="17">
                  <c:v>84.828240190735301</c:v>
                </c:pt>
                <c:pt idx="18">
                  <c:v>80.735096774965186</c:v>
                </c:pt>
                <c:pt idx="19">
                  <c:v>80.355834645121988</c:v>
                </c:pt>
                <c:pt idx="20">
                  <c:v>80.311185841306411</c:v>
                </c:pt>
                <c:pt idx="21">
                  <c:v>78.864631121453954</c:v>
                </c:pt>
                <c:pt idx="22">
                  <c:v>78.848380240768847</c:v>
                </c:pt>
                <c:pt idx="23">
                  <c:v>81.315495679707922</c:v>
                </c:pt>
                <c:pt idx="24">
                  <c:v>81.831784783741156</c:v>
                </c:pt>
                <c:pt idx="25">
                  <c:v>74.62868203641068</c:v>
                </c:pt>
                <c:pt idx="26">
                  <c:v>68.639876984318931</c:v>
                </c:pt>
                <c:pt idx="27">
                  <c:v>68.017740535257445</c:v>
                </c:pt>
                <c:pt idx="28">
                  <c:v>66.52590638082205</c:v>
                </c:pt>
                <c:pt idx="29">
                  <c:v>64.312861303171971</c:v>
                </c:pt>
                <c:pt idx="30">
                  <c:v>63.173596659475457</c:v>
                </c:pt>
                <c:pt idx="31">
                  <c:v>59.48703234341739</c:v>
                </c:pt>
                <c:pt idx="32">
                  <c:v>57.186737924938456</c:v>
                </c:pt>
                <c:pt idx="33">
                  <c:v>57.364320193150164</c:v>
                </c:pt>
                <c:pt idx="34">
                  <c:v>56.91816632588251</c:v>
                </c:pt>
                <c:pt idx="35">
                  <c:v>59.34478411556956</c:v>
                </c:pt>
                <c:pt idx="36">
                  <c:v>60.776239765940552</c:v>
                </c:pt>
                <c:pt idx="37">
                  <c:v>55.801206547933404</c:v>
                </c:pt>
                <c:pt idx="38">
                  <c:v>53.27989283232381</c:v>
                </c:pt>
                <c:pt idx="39">
                  <c:v>54.507241171884203</c:v>
                </c:pt>
                <c:pt idx="40">
                  <c:v>53.95869312727956</c:v>
                </c:pt>
                <c:pt idx="41">
                  <c:v>52.009222816252766</c:v>
                </c:pt>
                <c:pt idx="42">
                  <c:v>50.18794565047876</c:v>
                </c:pt>
                <c:pt idx="43">
                  <c:v>50.049412914540177</c:v>
                </c:pt>
                <c:pt idx="44">
                  <c:v>51.281688873395936</c:v>
                </c:pt>
                <c:pt idx="45">
                  <c:v>49.699056849823698</c:v>
                </c:pt>
                <c:pt idx="46">
                  <c:v>47.332278578308788</c:v>
                </c:pt>
                <c:pt idx="47">
                  <c:v>47.611289459532898</c:v>
                </c:pt>
                <c:pt idx="48">
                  <c:v>48.027804700207227</c:v>
                </c:pt>
                <c:pt idx="49">
                  <c:v>38.940522543036806</c:v>
                </c:pt>
                <c:pt idx="50">
                  <c:v>32.6155737444235</c:v>
                </c:pt>
                <c:pt idx="51">
                  <c:v>30.860588072293439</c:v>
                </c:pt>
                <c:pt idx="52">
                  <c:v>29.828080129012122</c:v>
                </c:pt>
                <c:pt idx="53">
                  <c:v>27.902663429936538</c:v>
                </c:pt>
                <c:pt idx="54">
                  <c:v>26.414603278300319</c:v>
                </c:pt>
                <c:pt idx="55">
                  <c:v>26.541758251773643</c:v>
                </c:pt>
                <c:pt idx="56">
                  <c:v>23.199250012113822</c:v>
                </c:pt>
                <c:pt idx="57">
                  <c:v>21.562140742094115</c:v>
                </c:pt>
                <c:pt idx="58">
                  <c:v>20.034379410643382</c:v>
                </c:pt>
                <c:pt idx="59">
                  <c:v>20.891216721466591</c:v>
                </c:pt>
                <c:pt idx="60">
                  <c:v>19.859501063103252</c:v>
                </c:pt>
                <c:pt idx="61">
                  <c:v>12.689514518243314</c:v>
                </c:pt>
                <c:pt idx="62">
                  <c:v>10.627626761975435</c:v>
                </c:pt>
                <c:pt idx="63">
                  <c:v>12.95291672099507</c:v>
                </c:pt>
                <c:pt idx="64">
                  <c:v>10.860578797387603</c:v>
                </c:pt>
                <c:pt idx="65">
                  <c:v>10.842786458464388</c:v>
                </c:pt>
                <c:pt idx="66">
                  <c:v>12.912878150232558</c:v>
                </c:pt>
                <c:pt idx="67">
                  <c:v>11.306642534900945</c:v>
                </c:pt>
                <c:pt idx="68">
                  <c:v>8.9267520530622733</c:v>
                </c:pt>
                <c:pt idx="69">
                  <c:v>8.8146604619456355</c:v>
                </c:pt>
                <c:pt idx="70">
                  <c:v>8.9634809077536843</c:v>
                </c:pt>
                <c:pt idx="71">
                  <c:v>13.165783811922637</c:v>
                </c:pt>
                <c:pt idx="72">
                  <c:v>20.865535360417759</c:v>
                </c:pt>
                <c:pt idx="73">
                  <c:v>14.369304546817389</c:v>
                </c:pt>
                <c:pt idx="74">
                  <c:v>12.336118005409645</c:v>
                </c:pt>
                <c:pt idx="75">
                  <c:v>19.497882412745312</c:v>
                </c:pt>
                <c:pt idx="76">
                  <c:v>21.93064056115589</c:v>
                </c:pt>
                <c:pt idx="77">
                  <c:v>21.737503055832235</c:v>
                </c:pt>
                <c:pt idx="78">
                  <c:v>17.560635194480511</c:v>
                </c:pt>
                <c:pt idx="79">
                  <c:v>9.0747685621077565</c:v>
                </c:pt>
                <c:pt idx="80">
                  <c:v>9.0185864045607786</c:v>
                </c:pt>
                <c:pt idx="81">
                  <c:v>8.5585173479336731</c:v>
                </c:pt>
                <c:pt idx="82">
                  <c:v>9.8915458659049271</c:v>
                </c:pt>
                <c:pt idx="83">
                  <c:v>13.824235214392331</c:v>
                </c:pt>
              </c:numCache>
            </c:numRef>
          </c:val>
          <c:smooth val="0"/>
          <c:extLst>
            <c:ext xmlns:c16="http://schemas.microsoft.com/office/drawing/2014/chart" uri="{C3380CC4-5D6E-409C-BE32-E72D297353CC}">
              <c16:uniqueId val="{0000000C-8FD2-4FE4-9B18-0E23762B6F72}"/>
            </c:ext>
          </c:extLst>
        </c:ser>
        <c:ser>
          <c:idx val="2"/>
          <c:order val="2"/>
          <c:tx>
            <c:strRef>
              <c:f>Statsformat!$D$8</c:f>
              <c:strCache>
                <c:ptCount val="1"/>
                <c:pt idx="0">
                  <c:v>Faktisk - Strategisk valutexponering</c:v>
                </c:pt>
              </c:strCache>
              <c:extLst xmlns:c15="http://schemas.microsoft.com/office/drawing/2012/chart"/>
            </c:strRef>
          </c:tx>
          <c:spPr>
            <a:ln w="12700">
              <a:solidFill>
                <a:srgbClr val="000000"/>
              </a:solidFill>
              <a:prstDash val="sysDash"/>
            </a:ln>
          </c:spPr>
          <c:marker>
            <c:symbol val="none"/>
          </c:marker>
          <c:cat>
            <c:numRef>
              <c:f>Statsformat!$A$9:$A$92</c:f>
              <c:numCache>
                <c:formatCode>m/d/yyyy</c:formatCode>
                <c:ptCount val="84"/>
                <c:pt idx="0">
                  <c:v>43466</c:v>
                </c:pt>
                <c:pt idx="1">
                  <c:v>43497</c:v>
                </c:pt>
                <c:pt idx="2">
                  <c:v>43525</c:v>
                </c:pt>
                <c:pt idx="3">
                  <c:v>43556</c:v>
                </c:pt>
                <c:pt idx="4">
                  <c:v>43586</c:v>
                </c:pt>
                <c:pt idx="5">
                  <c:v>43617</c:v>
                </c:pt>
                <c:pt idx="6">
                  <c:v>43647</c:v>
                </c:pt>
                <c:pt idx="7">
                  <c:v>43678</c:v>
                </c:pt>
                <c:pt idx="8">
                  <c:v>43709</c:v>
                </c:pt>
                <c:pt idx="9">
                  <c:v>43739</c:v>
                </c:pt>
                <c:pt idx="10">
                  <c:v>43770</c:v>
                </c:pt>
                <c:pt idx="11">
                  <c:v>43800</c:v>
                </c:pt>
                <c:pt idx="12">
                  <c:v>43831</c:v>
                </c:pt>
                <c:pt idx="13">
                  <c:v>43862</c:v>
                </c:pt>
                <c:pt idx="14">
                  <c:v>43891</c:v>
                </c:pt>
                <c:pt idx="15">
                  <c:v>43922</c:v>
                </c:pt>
                <c:pt idx="16">
                  <c:v>43952</c:v>
                </c:pt>
                <c:pt idx="17">
                  <c:v>43983</c:v>
                </c:pt>
                <c:pt idx="18">
                  <c:v>44013</c:v>
                </c:pt>
                <c:pt idx="19">
                  <c:v>44044</c:v>
                </c:pt>
                <c:pt idx="20">
                  <c:v>44075</c:v>
                </c:pt>
                <c:pt idx="21">
                  <c:v>44105</c:v>
                </c:pt>
                <c:pt idx="22">
                  <c:v>44136</c:v>
                </c:pt>
                <c:pt idx="23">
                  <c:v>44166</c:v>
                </c:pt>
                <c:pt idx="24">
                  <c:v>44197</c:v>
                </c:pt>
                <c:pt idx="25">
                  <c:v>44228</c:v>
                </c:pt>
                <c:pt idx="26">
                  <c:v>44256</c:v>
                </c:pt>
                <c:pt idx="27">
                  <c:v>44287</c:v>
                </c:pt>
                <c:pt idx="28">
                  <c:v>44317</c:v>
                </c:pt>
                <c:pt idx="29">
                  <c:v>44348</c:v>
                </c:pt>
                <c:pt idx="30">
                  <c:v>44378</c:v>
                </c:pt>
                <c:pt idx="31">
                  <c:v>44409</c:v>
                </c:pt>
                <c:pt idx="32">
                  <c:v>44440</c:v>
                </c:pt>
                <c:pt idx="33">
                  <c:v>44470</c:v>
                </c:pt>
                <c:pt idx="34">
                  <c:v>44501</c:v>
                </c:pt>
                <c:pt idx="35">
                  <c:v>44531</c:v>
                </c:pt>
                <c:pt idx="36">
                  <c:v>44562</c:v>
                </c:pt>
                <c:pt idx="37">
                  <c:v>44593</c:v>
                </c:pt>
                <c:pt idx="38">
                  <c:v>44621</c:v>
                </c:pt>
                <c:pt idx="39">
                  <c:v>44652</c:v>
                </c:pt>
                <c:pt idx="40">
                  <c:v>44682</c:v>
                </c:pt>
                <c:pt idx="41">
                  <c:v>44713</c:v>
                </c:pt>
                <c:pt idx="42">
                  <c:v>44743</c:v>
                </c:pt>
                <c:pt idx="43">
                  <c:v>44774</c:v>
                </c:pt>
                <c:pt idx="44">
                  <c:v>44805</c:v>
                </c:pt>
                <c:pt idx="45">
                  <c:v>44835</c:v>
                </c:pt>
                <c:pt idx="46">
                  <c:v>44866</c:v>
                </c:pt>
                <c:pt idx="47">
                  <c:v>44896</c:v>
                </c:pt>
                <c:pt idx="48">
                  <c:v>44927</c:v>
                </c:pt>
                <c:pt idx="49">
                  <c:v>44958</c:v>
                </c:pt>
                <c:pt idx="50">
                  <c:v>44986</c:v>
                </c:pt>
                <c:pt idx="51">
                  <c:v>45017</c:v>
                </c:pt>
                <c:pt idx="52">
                  <c:v>45047</c:v>
                </c:pt>
                <c:pt idx="53">
                  <c:v>45078</c:v>
                </c:pt>
                <c:pt idx="54">
                  <c:v>45108</c:v>
                </c:pt>
                <c:pt idx="55">
                  <c:v>45139</c:v>
                </c:pt>
                <c:pt idx="56">
                  <c:v>45170</c:v>
                </c:pt>
                <c:pt idx="57">
                  <c:v>45200</c:v>
                </c:pt>
                <c:pt idx="58">
                  <c:v>45231</c:v>
                </c:pt>
                <c:pt idx="59">
                  <c:v>45261</c:v>
                </c:pt>
                <c:pt idx="60">
                  <c:v>45292</c:v>
                </c:pt>
                <c:pt idx="61">
                  <c:v>45323</c:v>
                </c:pt>
                <c:pt idx="62">
                  <c:v>45352</c:v>
                </c:pt>
                <c:pt idx="63">
                  <c:v>45383</c:v>
                </c:pt>
                <c:pt idx="64">
                  <c:v>45413</c:v>
                </c:pt>
                <c:pt idx="65">
                  <c:v>45444</c:v>
                </c:pt>
                <c:pt idx="66">
                  <c:v>45474</c:v>
                </c:pt>
                <c:pt idx="67">
                  <c:v>45505</c:v>
                </c:pt>
                <c:pt idx="68">
                  <c:v>45536</c:v>
                </c:pt>
                <c:pt idx="69">
                  <c:v>45566</c:v>
                </c:pt>
                <c:pt idx="70">
                  <c:v>45597</c:v>
                </c:pt>
                <c:pt idx="71">
                  <c:v>45627</c:v>
                </c:pt>
                <c:pt idx="72">
                  <c:v>45658</c:v>
                </c:pt>
                <c:pt idx="73">
                  <c:v>45689</c:v>
                </c:pt>
                <c:pt idx="74">
                  <c:v>45717</c:v>
                </c:pt>
                <c:pt idx="75">
                  <c:v>45748</c:v>
                </c:pt>
                <c:pt idx="76">
                  <c:v>45778</c:v>
                </c:pt>
                <c:pt idx="77">
                  <c:v>45809</c:v>
                </c:pt>
                <c:pt idx="78">
                  <c:v>45839</c:v>
                </c:pt>
                <c:pt idx="79">
                  <c:v>45870</c:v>
                </c:pt>
                <c:pt idx="80">
                  <c:v>45901</c:v>
                </c:pt>
                <c:pt idx="81">
                  <c:v>45931</c:v>
                </c:pt>
                <c:pt idx="82">
                  <c:v>45962</c:v>
                </c:pt>
                <c:pt idx="83">
                  <c:v>45992</c:v>
                </c:pt>
              </c:numCache>
              <c:extLst xmlns:c15="http://schemas.microsoft.com/office/drawing/2012/chart"/>
            </c:numRef>
          </c:cat>
          <c:val>
            <c:numRef>
              <c:f>Statsformat!$D$9:$D$92</c:f>
              <c:numCache>
                <c:formatCode>0</c:formatCode>
                <c:ptCount val="84"/>
                <c:pt idx="0">
                  <c:v>#N/A</c:v>
                </c:pt>
                <c:pt idx="1">
                  <c:v>#N/A</c:v>
                </c:pt>
                <c:pt idx="2">
                  <c:v>#N/A</c:v>
                </c:pt>
                <c:pt idx="3">
                  <c:v>#N/A</c:v>
                </c:pt>
                <c:pt idx="4">
                  <c:v>#N/A</c:v>
                </c:pt>
                <c:pt idx="5">
                  <c:v>#N/A</c:v>
                </c:pt>
                <c:pt idx="6">
                  <c:v>#N/A</c:v>
                </c:pt>
                <c:pt idx="7">
                  <c:v>#N/A</c:v>
                </c:pt>
                <c:pt idx="8">
                  <c:v>#N/A</c:v>
                </c:pt>
                <c:pt idx="9">
                  <c:v>#N/A</c:v>
                </c:pt>
                <c:pt idx="10">
                  <c:v>#N/A</c:v>
                </c:pt>
                <c:pt idx="11">
                  <c:v>99.81</c:v>
                </c:pt>
                <c:pt idx="12">
                  <c:v>100.96</c:v>
                </c:pt>
                <c:pt idx="13">
                  <c:v>101.44</c:v>
                </c:pt>
                <c:pt idx="14">
                  <c:v>104.46</c:v>
                </c:pt>
                <c:pt idx="15">
                  <c:v>104.81</c:v>
                </c:pt>
                <c:pt idx="16">
                  <c:v>102.05</c:v>
                </c:pt>
                <c:pt idx="17">
                  <c:v>100.4</c:v>
                </c:pt>
                <c:pt idx="18">
                  <c:v>99.17</c:v>
                </c:pt>
                <c:pt idx="19">
                  <c:v>98.57</c:v>
                </c:pt>
                <c:pt idx="20">
                  <c:v>99.66</c:v>
                </c:pt>
                <c:pt idx="21">
                  <c:v>99.48</c:v>
                </c:pt>
                <c:pt idx="22">
                  <c:v>97.76</c:v>
                </c:pt>
                <c:pt idx="23">
                  <c:v>97.07</c:v>
                </c:pt>
                <c:pt idx="24">
                  <c:v>96.43</c:v>
                </c:pt>
                <c:pt idx="25">
                  <c:v>96.22</c:v>
                </c:pt>
                <c:pt idx="26">
                  <c:v>96.42</c:v>
                </c:pt>
                <c:pt idx="27">
                  <c:v>96.5</c:v>
                </c:pt>
                <c:pt idx="28">
                  <c:v>96.46</c:v>
                </c:pt>
                <c:pt idx="29">
                  <c:v>96.28</c:v>
                </c:pt>
                <c:pt idx="30">
                  <c:v>97.27</c:v>
                </c:pt>
                <c:pt idx="31">
                  <c:v>97.69</c:v>
                </c:pt>
                <c:pt idx="32">
                  <c:v>97.02</c:v>
                </c:pt>
                <c:pt idx="33">
                  <c:v>96.35</c:v>
                </c:pt>
                <c:pt idx="34">
                  <c:v>96.83</c:v>
                </c:pt>
                <c:pt idx="35">
                  <c:v>99.39</c:v>
                </c:pt>
                <c:pt idx="36">
                  <c:v>100.15</c:v>
                </c:pt>
                <c:pt idx="37">
                  <c:v>101.77</c:v>
                </c:pt>
                <c:pt idx="38">
                  <c:v>102.48</c:v>
                </c:pt>
                <c:pt idx="39">
                  <c:v>100.54</c:v>
                </c:pt>
                <c:pt idx="40">
                  <c:v>101.74</c:v>
                </c:pt>
                <c:pt idx="41">
                  <c:v>103.12</c:v>
                </c:pt>
                <c:pt idx="42">
                  <c:v>104.09</c:v>
                </c:pt>
                <c:pt idx="43">
                  <c:v>104.12</c:v>
                </c:pt>
                <c:pt idx="44">
                  <c:v>107.06</c:v>
                </c:pt>
                <c:pt idx="45">
                  <c:v>108.1</c:v>
                </c:pt>
                <c:pt idx="46">
                  <c:v>107.27</c:v>
                </c:pt>
                <c:pt idx="47">
                  <c:v>108.3</c:v>
                </c:pt>
                <c:pt idx="48">
                  <c:v>108.93</c:v>
                </c:pt>
                <c:pt idx="49">
                  <c:v>106.64</c:v>
                </c:pt>
                <c:pt idx="50">
                  <c:v>104.65</c:v>
                </c:pt>
                <c:pt idx="51">
                  <c:v>103.8</c:v>
                </c:pt>
                <c:pt idx="52">
                  <c:v>102.2</c:v>
                </c:pt>
                <c:pt idx="53">
                  <c:v>102.44</c:v>
                </c:pt>
                <c:pt idx="54">
                  <c:v>99.93</c:v>
                </c:pt>
                <c:pt idx="55">
                  <c:v>99.21</c:v>
                </c:pt>
                <c:pt idx="56">
                  <c:v>96.75</c:v>
                </c:pt>
                <c:pt idx="57">
                  <c:v>92.89</c:v>
                </c:pt>
                <c:pt idx="58">
                  <c:v>89.3</c:v>
                </c:pt>
                <c:pt idx="59">
                  <c:v>84.91</c:v>
                </c:pt>
                <c:pt idx="60">
                  <c:v>83.59</c:v>
                </c:pt>
                <c:pt idx="61">
                  <c:v>80.62</c:v>
                </c:pt>
                <c:pt idx="62">
                  <c:v>78.180000000000007</c:v>
                </c:pt>
                <c:pt idx="63">
                  <c:v>77.69</c:v>
                </c:pt>
                <c:pt idx="64">
                  <c:v>75.180000000000007</c:v>
                </c:pt>
                <c:pt idx="65">
                  <c:v>71.31</c:v>
                </c:pt>
                <c:pt idx="66">
                  <c:v>70.37</c:v>
                </c:pt>
                <c:pt idx="67">
                  <c:v>67.98</c:v>
                </c:pt>
                <c:pt idx="68">
                  <c:v>64.930000000000007</c:v>
                </c:pt>
                <c:pt idx="69">
                  <c:v>62.77</c:v>
                </c:pt>
                <c:pt idx="70">
                  <c:v>61.44</c:v>
                </c:pt>
                <c:pt idx="71">
                  <c:v>58.83</c:v>
                </c:pt>
                <c:pt idx="72">
                  <c:v>56.25</c:v>
                </c:pt>
                <c:pt idx="73">
                  <c:v>52.61</c:v>
                </c:pt>
                <c:pt idx="74">
                  <c:v>48.79</c:v>
                </c:pt>
                <c:pt idx="75">
                  <c:v>46.9</c:v>
                </c:pt>
                <c:pt idx="76">
                  <c:v>44.4</c:v>
                </c:pt>
                <c:pt idx="77">
                  <c:v>42.78</c:v>
                </c:pt>
                <c:pt idx="78">
                  <c:v>41.39</c:v>
                </c:pt>
                <c:pt idx="79">
                  <c:v>38.69</c:v>
                </c:pt>
                <c:pt idx="80">
                  <c:v>35.700000000000003</c:v>
                </c:pt>
                <c:pt idx="81">
                  <c:v>33.17</c:v>
                </c:pt>
                <c:pt idx="82">
                  <c:v>30.84</c:v>
                </c:pt>
                <c:pt idx="83">
                  <c:v>28.38</c:v>
                </c:pt>
              </c:numCache>
              <c:extLst xmlns:c15="http://schemas.microsoft.com/office/drawing/2012/chart"/>
            </c:numRef>
          </c:val>
          <c:smooth val="0"/>
          <c:extLst xmlns:c15="http://schemas.microsoft.com/office/drawing/2012/chart">
            <c:ext xmlns:c16="http://schemas.microsoft.com/office/drawing/2014/chart" uri="{C3380CC4-5D6E-409C-BE32-E72D297353CC}">
              <c16:uniqueId val="{0000000D-8FD2-4FE4-9B18-0E23762B6F72}"/>
            </c:ext>
          </c:extLst>
        </c:ser>
        <c:ser>
          <c:idx val="3"/>
          <c:order val="3"/>
          <c:tx>
            <c:strRef>
              <c:f>Statsformat!$E$8</c:f>
              <c:strCache>
                <c:ptCount val="1"/>
                <c:pt idx="0">
                  <c:v>Alternativscenario - Strategisk valutexponering</c:v>
                </c:pt>
              </c:strCache>
              <c:extLst xmlns:c15="http://schemas.microsoft.com/office/drawing/2012/chart"/>
            </c:strRef>
          </c:tx>
          <c:spPr>
            <a:ln>
              <a:prstDash val="sysDot"/>
            </a:ln>
          </c:spPr>
          <c:marker>
            <c:symbol val="none"/>
          </c:marker>
          <c:cat>
            <c:numRef>
              <c:f>Statsformat!$A$9:$A$92</c:f>
              <c:numCache>
                <c:formatCode>m/d/yyyy</c:formatCode>
                <c:ptCount val="84"/>
                <c:pt idx="0">
                  <c:v>43466</c:v>
                </c:pt>
                <c:pt idx="1">
                  <c:v>43497</c:v>
                </c:pt>
                <c:pt idx="2">
                  <c:v>43525</c:v>
                </c:pt>
                <c:pt idx="3">
                  <c:v>43556</c:v>
                </c:pt>
                <c:pt idx="4">
                  <c:v>43586</c:v>
                </c:pt>
                <c:pt idx="5">
                  <c:v>43617</c:v>
                </c:pt>
                <c:pt idx="6">
                  <c:v>43647</c:v>
                </c:pt>
                <c:pt idx="7">
                  <c:v>43678</c:v>
                </c:pt>
                <c:pt idx="8">
                  <c:v>43709</c:v>
                </c:pt>
                <c:pt idx="9">
                  <c:v>43739</c:v>
                </c:pt>
                <c:pt idx="10">
                  <c:v>43770</c:v>
                </c:pt>
                <c:pt idx="11">
                  <c:v>43800</c:v>
                </c:pt>
                <c:pt idx="12">
                  <c:v>43831</c:v>
                </c:pt>
                <c:pt idx="13">
                  <c:v>43862</c:v>
                </c:pt>
                <c:pt idx="14">
                  <c:v>43891</c:v>
                </c:pt>
                <c:pt idx="15">
                  <c:v>43922</c:v>
                </c:pt>
                <c:pt idx="16">
                  <c:v>43952</c:v>
                </c:pt>
                <c:pt idx="17">
                  <c:v>43983</c:v>
                </c:pt>
                <c:pt idx="18">
                  <c:v>44013</c:v>
                </c:pt>
                <c:pt idx="19">
                  <c:v>44044</c:v>
                </c:pt>
                <c:pt idx="20">
                  <c:v>44075</c:v>
                </c:pt>
                <c:pt idx="21">
                  <c:v>44105</c:v>
                </c:pt>
                <c:pt idx="22">
                  <c:v>44136</c:v>
                </c:pt>
                <c:pt idx="23">
                  <c:v>44166</c:v>
                </c:pt>
                <c:pt idx="24">
                  <c:v>44197</c:v>
                </c:pt>
                <c:pt idx="25">
                  <c:v>44228</c:v>
                </c:pt>
                <c:pt idx="26">
                  <c:v>44256</c:v>
                </c:pt>
                <c:pt idx="27">
                  <c:v>44287</c:v>
                </c:pt>
                <c:pt idx="28">
                  <c:v>44317</c:v>
                </c:pt>
                <c:pt idx="29">
                  <c:v>44348</c:v>
                </c:pt>
                <c:pt idx="30">
                  <c:v>44378</c:v>
                </c:pt>
                <c:pt idx="31">
                  <c:v>44409</c:v>
                </c:pt>
                <c:pt idx="32">
                  <c:v>44440</c:v>
                </c:pt>
                <c:pt idx="33">
                  <c:v>44470</c:v>
                </c:pt>
                <c:pt idx="34">
                  <c:v>44501</c:v>
                </c:pt>
                <c:pt idx="35">
                  <c:v>44531</c:v>
                </c:pt>
                <c:pt idx="36">
                  <c:v>44562</c:v>
                </c:pt>
                <c:pt idx="37">
                  <c:v>44593</c:v>
                </c:pt>
                <c:pt idx="38">
                  <c:v>44621</c:v>
                </c:pt>
                <c:pt idx="39">
                  <c:v>44652</c:v>
                </c:pt>
                <c:pt idx="40">
                  <c:v>44682</c:v>
                </c:pt>
                <c:pt idx="41">
                  <c:v>44713</c:v>
                </c:pt>
                <c:pt idx="42">
                  <c:v>44743</c:v>
                </c:pt>
                <c:pt idx="43">
                  <c:v>44774</c:v>
                </c:pt>
                <c:pt idx="44">
                  <c:v>44805</c:v>
                </c:pt>
                <c:pt idx="45">
                  <c:v>44835</c:v>
                </c:pt>
                <c:pt idx="46">
                  <c:v>44866</c:v>
                </c:pt>
                <c:pt idx="47">
                  <c:v>44896</c:v>
                </c:pt>
                <c:pt idx="48">
                  <c:v>44927</c:v>
                </c:pt>
                <c:pt idx="49">
                  <c:v>44958</c:v>
                </c:pt>
                <c:pt idx="50">
                  <c:v>44986</c:v>
                </c:pt>
                <c:pt idx="51">
                  <c:v>45017</c:v>
                </c:pt>
                <c:pt idx="52">
                  <c:v>45047</c:v>
                </c:pt>
                <c:pt idx="53">
                  <c:v>45078</c:v>
                </c:pt>
                <c:pt idx="54">
                  <c:v>45108</c:v>
                </c:pt>
                <c:pt idx="55">
                  <c:v>45139</c:v>
                </c:pt>
                <c:pt idx="56">
                  <c:v>45170</c:v>
                </c:pt>
                <c:pt idx="57">
                  <c:v>45200</c:v>
                </c:pt>
                <c:pt idx="58">
                  <c:v>45231</c:v>
                </c:pt>
                <c:pt idx="59">
                  <c:v>45261</c:v>
                </c:pt>
                <c:pt idx="60">
                  <c:v>45292</c:v>
                </c:pt>
                <c:pt idx="61">
                  <c:v>45323</c:v>
                </c:pt>
                <c:pt idx="62">
                  <c:v>45352</c:v>
                </c:pt>
                <c:pt idx="63">
                  <c:v>45383</c:v>
                </c:pt>
                <c:pt idx="64">
                  <c:v>45413</c:v>
                </c:pt>
                <c:pt idx="65">
                  <c:v>45444</c:v>
                </c:pt>
                <c:pt idx="66">
                  <c:v>45474</c:v>
                </c:pt>
                <c:pt idx="67">
                  <c:v>45505</c:v>
                </c:pt>
                <c:pt idx="68">
                  <c:v>45536</c:v>
                </c:pt>
                <c:pt idx="69">
                  <c:v>45566</c:v>
                </c:pt>
                <c:pt idx="70">
                  <c:v>45597</c:v>
                </c:pt>
                <c:pt idx="71">
                  <c:v>45627</c:v>
                </c:pt>
                <c:pt idx="72">
                  <c:v>45658</c:v>
                </c:pt>
                <c:pt idx="73">
                  <c:v>45689</c:v>
                </c:pt>
                <c:pt idx="74">
                  <c:v>45717</c:v>
                </c:pt>
                <c:pt idx="75">
                  <c:v>45748</c:v>
                </c:pt>
                <c:pt idx="76">
                  <c:v>45778</c:v>
                </c:pt>
                <c:pt idx="77">
                  <c:v>45809</c:v>
                </c:pt>
                <c:pt idx="78">
                  <c:v>45839</c:v>
                </c:pt>
                <c:pt idx="79">
                  <c:v>45870</c:v>
                </c:pt>
                <c:pt idx="80">
                  <c:v>45901</c:v>
                </c:pt>
                <c:pt idx="81">
                  <c:v>45931</c:v>
                </c:pt>
                <c:pt idx="82">
                  <c:v>45962</c:v>
                </c:pt>
                <c:pt idx="83">
                  <c:v>45992</c:v>
                </c:pt>
              </c:numCache>
              <c:extLst xmlns:c15="http://schemas.microsoft.com/office/drawing/2012/chart"/>
            </c:numRef>
          </c:cat>
          <c:val>
            <c:numRef>
              <c:f>Statsformat!$E$9:$E$92</c:f>
              <c:numCache>
                <c:formatCode>0</c:formatCode>
                <c:ptCount val="84"/>
                <c:pt idx="0">
                  <c:v>#N/A</c:v>
                </c:pt>
                <c:pt idx="1">
                  <c:v>#N/A</c:v>
                </c:pt>
                <c:pt idx="2">
                  <c:v>#N/A</c:v>
                </c:pt>
                <c:pt idx="3">
                  <c:v>#N/A</c:v>
                </c:pt>
                <c:pt idx="4">
                  <c:v>#N/A</c:v>
                </c:pt>
                <c:pt idx="5">
                  <c:v>#N/A</c:v>
                </c:pt>
                <c:pt idx="6">
                  <c:v>#N/A</c:v>
                </c:pt>
                <c:pt idx="7">
                  <c:v>#N/A</c:v>
                </c:pt>
                <c:pt idx="8">
                  <c:v>#N/A</c:v>
                </c:pt>
                <c:pt idx="9">
                  <c:v>#N/A</c:v>
                </c:pt>
                <c:pt idx="10">
                  <c:v>#N/A</c:v>
                </c:pt>
                <c:pt idx="11">
                  <c:v>99.053466130397183</c:v>
                </c:pt>
                <c:pt idx="12">
                  <c:v>98.640417944884376</c:v>
                </c:pt>
                <c:pt idx="13">
                  <c:v>97.469476557453461</c:v>
                </c:pt>
                <c:pt idx="14">
                  <c:v>98.662568556805397</c:v>
                </c:pt>
                <c:pt idx="15">
                  <c:v>97.2427261873314</c:v>
                </c:pt>
                <c:pt idx="16">
                  <c:v>93.109633818533922</c:v>
                </c:pt>
                <c:pt idx="17">
                  <c:v>90.028240190735303</c:v>
                </c:pt>
                <c:pt idx="18">
                  <c:v>87.21509677496519</c:v>
                </c:pt>
                <c:pt idx="19">
                  <c:v>84.965834645121987</c:v>
                </c:pt>
                <c:pt idx="20">
                  <c:v>84.201185841306412</c:v>
                </c:pt>
                <c:pt idx="21">
                  <c:v>82.314631121453942</c:v>
                </c:pt>
                <c:pt idx="22">
                  <c:v>79.218380240768852</c:v>
                </c:pt>
                <c:pt idx="23">
                  <c:v>77.055495679707917</c:v>
                </c:pt>
                <c:pt idx="24">
                  <c:v>75.051784783741169</c:v>
                </c:pt>
                <c:pt idx="25">
                  <c:v>73.368682036410675</c:v>
                </c:pt>
                <c:pt idx="26">
                  <c:v>71.819876984318938</c:v>
                </c:pt>
                <c:pt idx="27">
                  <c:v>70.227740535257439</c:v>
                </c:pt>
                <c:pt idx="28">
                  <c:v>68.625906380822045</c:v>
                </c:pt>
                <c:pt idx="29">
                  <c:v>66.902861303171974</c:v>
                </c:pt>
                <c:pt idx="30">
                  <c:v>65.893596659475463</c:v>
                </c:pt>
                <c:pt idx="31">
                  <c:v>64.4370323434174</c:v>
                </c:pt>
                <c:pt idx="32">
                  <c:v>62.266737924938454</c:v>
                </c:pt>
                <c:pt idx="33">
                  <c:v>60.154320193150156</c:v>
                </c:pt>
                <c:pt idx="34">
                  <c:v>58.758166325882513</c:v>
                </c:pt>
                <c:pt idx="35">
                  <c:v>58.604784115569565</c:v>
                </c:pt>
                <c:pt idx="36">
                  <c:v>57.366239765940556</c:v>
                </c:pt>
                <c:pt idx="37">
                  <c:v>56.671206547933394</c:v>
                </c:pt>
                <c:pt idx="38">
                  <c:v>55.309892832323811</c:v>
                </c:pt>
                <c:pt idx="39">
                  <c:v>52.567241171884206</c:v>
                </c:pt>
                <c:pt idx="40">
                  <c:v>51.568693127279559</c:v>
                </c:pt>
                <c:pt idx="41">
                  <c:v>50.539222816252767</c:v>
                </c:pt>
                <c:pt idx="42">
                  <c:v>49.32794565047876</c:v>
                </c:pt>
                <c:pt idx="43">
                  <c:v>47.509412914540185</c:v>
                </c:pt>
                <c:pt idx="44">
                  <c:v>46.941688873395933</c:v>
                </c:pt>
                <c:pt idx="45">
                  <c:v>45.539056849823687</c:v>
                </c:pt>
                <c:pt idx="46">
                  <c:v>43.342278578308779</c:v>
                </c:pt>
                <c:pt idx="47">
                  <c:v>41.9212894595329</c:v>
                </c:pt>
                <c:pt idx="48">
                  <c:v>40.897804700207232</c:v>
                </c:pt>
                <c:pt idx="49">
                  <c:v>39.250522543036809</c:v>
                </c:pt>
                <c:pt idx="50">
                  <c:v>37.665573744423511</c:v>
                </c:pt>
                <c:pt idx="51">
                  <c:v>36.51058807229343</c:v>
                </c:pt>
                <c:pt idx="52">
                  <c:v>35.028080129012125</c:v>
                </c:pt>
                <c:pt idx="53">
                  <c:v>34.152663429936538</c:v>
                </c:pt>
                <c:pt idx="54">
                  <c:v>32.334603278300321</c:v>
                </c:pt>
                <c:pt idx="55">
                  <c:v>31.061758251773639</c:v>
                </c:pt>
                <c:pt idx="56">
                  <c:v>29.169250012113821</c:v>
                </c:pt>
                <c:pt idx="57">
                  <c:v>26.93214074209412</c:v>
                </c:pt>
                <c:pt idx="58">
                  <c:v>24.774379410643377</c:v>
                </c:pt>
                <c:pt idx="59">
                  <c:v>22.461216721466585</c:v>
                </c:pt>
                <c:pt idx="60">
                  <c:v>21.159501063103249</c:v>
                </c:pt>
                <c:pt idx="61">
                  <c:v>19.319514518243324</c:v>
                </c:pt>
                <c:pt idx="62">
                  <c:v>17.677626761975446</c:v>
                </c:pt>
                <c:pt idx="63">
                  <c:v>16.572916720995075</c:v>
                </c:pt>
                <c:pt idx="64">
                  <c:v>14.870578797387608</c:v>
                </c:pt>
                <c:pt idx="65">
                  <c:v>12.852786458464394</c:v>
                </c:pt>
                <c:pt idx="66">
                  <c:v>11.552878150232559</c:v>
                </c:pt>
                <c:pt idx="67">
                  <c:v>9.8766425349009523</c:v>
                </c:pt>
                <c:pt idx="68">
                  <c:v>7.9067520530622772</c:v>
                </c:pt>
                <c:pt idx="69">
                  <c:v>6.2046604619456431</c:v>
                </c:pt>
                <c:pt idx="70">
                  <c:v>4.7034809077536792</c:v>
                </c:pt>
                <c:pt idx="71">
                  <c:v>3.0557838119226375</c:v>
                </c:pt>
                <c:pt idx="72">
                  <c:v>1.795535360417766</c:v>
                </c:pt>
                <c:pt idx="73">
                  <c:v>0.47930454681738865</c:v>
                </c:pt>
                <c:pt idx="74">
                  <c:v>6.1180054096467984E-3</c:v>
                </c:pt>
                <c:pt idx="75">
                  <c:v>-4.2117587254686839E-2</c:v>
                </c:pt>
                <c:pt idx="76">
                  <c:v>-3.9359438844115857E-2</c:v>
                </c:pt>
                <c:pt idx="77">
                  <c:v>-3.2496944167760944E-2</c:v>
                </c:pt>
                <c:pt idx="78">
                  <c:v>0.32063519448050926</c:v>
                </c:pt>
                <c:pt idx="79">
                  <c:v>0.18476856210775594</c:v>
                </c:pt>
                <c:pt idx="80">
                  <c:v>0.10858640456078206</c:v>
                </c:pt>
                <c:pt idx="81">
                  <c:v>0.13851734793367143</c:v>
                </c:pt>
                <c:pt idx="82">
                  <c:v>-4.8454134095074153E-2</c:v>
                </c:pt>
                <c:pt idx="83">
                  <c:v>-0.105764785607672</c:v>
                </c:pt>
              </c:numCache>
              <c:extLst xmlns:c15="http://schemas.microsoft.com/office/drawing/2012/chart"/>
            </c:numRef>
          </c:val>
          <c:smooth val="0"/>
          <c:extLst xmlns:c15="http://schemas.microsoft.com/office/drawing/2012/chart">
            <c:ext xmlns:c16="http://schemas.microsoft.com/office/drawing/2014/chart" uri="{C3380CC4-5D6E-409C-BE32-E72D297353CC}">
              <c16:uniqueId val="{0000000E-8FD2-4FE4-9B18-0E23762B6F72}"/>
            </c:ext>
          </c:extLst>
        </c:ser>
        <c:dLbls>
          <c:showLegendKey val="0"/>
          <c:showVal val="0"/>
          <c:showCatName val="0"/>
          <c:showSerName val="0"/>
          <c:showPercent val="0"/>
          <c:showBubbleSize val="0"/>
        </c:dLbls>
        <c:smooth val="0"/>
        <c:axId val="81240832"/>
        <c:axId val="81242368"/>
        <c:extLst/>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0"/>
        <c:lblOffset val="100"/>
        <c:baseTimeUnit val="months"/>
        <c:majorUnit val="1"/>
        <c:majorTimeUnit val="years"/>
        <c:minorUnit val="12"/>
        <c:minorTimeUnit val="months"/>
      </c:dateAx>
      <c:valAx>
        <c:axId val="81242368"/>
        <c:scaling>
          <c:orientation val="minMax"/>
          <c:min val="0"/>
        </c:scaling>
        <c:delete val="0"/>
        <c:axPos val="l"/>
        <c:numFmt formatCode="0"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spPr>
        <a:noFill/>
        <a:ln w="3175">
          <a:solidFill>
            <a:srgbClr val="000000"/>
          </a:solidFill>
          <a:prstDash val="solid"/>
        </a:ln>
      </c:spPr>
    </c:plotArea>
    <c:legend>
      <c:legendPos val="t"/>
      <c:layout>
        <c:manualLayout>
          <c:xMode val="edge"/>
          <c:yMode val="edge"/>
          <c:x val="0"/>
          <c:y val="0.61831974637681164"/>
          <c:w val="0.6854794146825397"/>
          <c:h val="0.26272871376811596"/>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1.7316017316017316E-2"/>
          <c:y val="2.1052631578947368E-2"/>
          <c:w val="0.97643849206349209"/>
          <c:h val="0.97891460055096424"/>
        </c:manualLayout>
      </c:layout>
      <c:lineChart>
        <c:grouping val="standard"/>
        <c:varyColors val="0"/>
        <c:ser>
          <c:idx val="1"/>
          <c:order val="1"/>
          <c:tx>
            <c:strRef>
              <c:f>Statsformat!$C$8</c:f>
              <c:strCache>
                <c:ptCount val="1"/>
                <c:pt idx="0">
                  <c:v>FI:s likviditetsindex</c:v>
                </c:pt>
              </c:strCache>
            </c:strRef>
          </c:tx>
          <c:spPr>
            <a:ln w="25400">
              <a:solidFill>
                <a:srgbClr val="000000"/>
              </a:solidFill>
              <a:prstDash val="solid"/>
            </a:ln>
          </c:spPr>
          <c:marker>
            <c:symbol val="none"/>
          </c:marker>
          <c:cat>
            <c:numRef>
              <c:f>Statsformat!$A$9:$A$68</c:f>
              <c:numCache>
                <c:formatCode>m/d/yyyy</c:formatCode>
                <c:ptCount val="60"/>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numCache>
            </c:numRef>
          </c:cat>
          <c:val>
            <c:numRef>
              <c:f>Statsformat!$C$9:$C$68</c:f>
              <c:numCache>
                <c:formatCode>General</c:formatCode>
                <c:ptCount val="60"/>
                <c:pt idx="0">
                  <c:v>0.62604207157049796</c:v>
                </c:pt>
                <c:pt idx="1">
                  <c:v>0.51211445655814947</c:v>
                </c:pt>
                <c:pt idx="2">
                  <c:v>0.49069569871485547</c:v>
                </c:pt>
                <c:pt idx="3">
                  <c:v>0.4564586861334477</c:v>
                </c:pt>
                <c:pt idx="4">
                  <c:v>0.45805324039229883</c:v>
                </c:pt>
                <c:pt idx="5">
                  <c:v>0.49430573367780201</c:v>
                </c:pt>
                <c:pt idx="6">
                  <c:v>0.43986185385557758</c:v>
                </c:pt>
                <c:pt idx="7">
                  <c:v>0.39306233920650041</c:v>
                </c:pt>
                <c:pt idx="8">
                  <c:v>0.47668410621196933</c:v>
                </c:pt>
                <c:pt idx="9">
                  <c:v>0.54104055371533322</c:v>
                </c:pt>
                <c:pt idx="10">
                  <c:v>0.48994042903453994</c:v>
                </c:pt>
                <c:pt idx="11">
                  <c:v>0.37528448657377333</c:v>
                </c:pt>
                <c:pt idx="12">
                  <c:v>0.36961311472149333</c:v>
                </c:pt>
                <c:pt idx="13">
                  <c:v>0.41382398606057141</c:v>
                </c:pt>
                <c:pt idx="14">
                  <c:v>0.39193320360162653</c:v>
                </c:pt>
                <c:pt idx="15">
                  <c:v>0.35362762256708047</c:v>
                </c:pt>
                <c:pt idx="16">
                  <c:v>0.32725602911258572</c:v>
                </c:pt>
                <c:pt idx="17">
                  <c:v>0.36513696754136216</c:v>
                </c:pt>
                <c:pt idx="18">
                  <c:v>0.30173410234263759</c:v>
                </c:pt>
                <c:pt idx="19">
                  <c:v>0.2200825511813308</c:v>
                </c:pt>
                <c:pt idx="20">
                  <c:v>0.22506514647991438</c:v>
                </c:pt>
                <c:pt idx="21">
                  <c:v>0.23317023856343772</c:v>
                </c:pt>
                <c:pt idx="22">
                  <c:v>0.26809761184728786</c:v>
                </c:pt>
                <c:pt idx="23">
                  <c:v>0.29993000705680689</c:v>
                </c:pt>
                <c:pt idx="24">
                  <c:v>0.3045395188661551</c:v>
                </c:pt>
                <c:pt idx="25">
                  <c:v>0.34750752323450668</c:v>
                </c:pt>
                <c:pt idx="26">
                  <c:v>0.34436933094847932</c:v>
                </c:pt>
                <c:pt idx="27">
                  <c:v>0.27917892996072663</c:v>
                </c:pt>
                <c:pt idx="28">
                  <c:v>0.24887101918505389</c:v>
                </c:pt>
                <c:pt idx="29">
                  <c:v>0.26150448758490735</c:v>
                </c:pt>
                <c:pt idx="30">
                  <c:v>0.22301951418266164</c:v>
                </c:pt>
                <c:pt idx="31">
                  <c:v>0.18995707260211037</c:v>
                </c:pt>
                <c:pt idx="32">
                  <c:v>0.26314385401645041</c:v>
                </c:pt>
                <c:pt idx="33">
                  <c:v>0.28947021247580806</c:v>
                </c:pt>
                <c:pt idx="34">
                  <c:v>0.28132321703281438</c:v>
                </c:pt>
                <c:pt idx="35">
                  <c:v>0.33827818876305688</c:v>
                </c:pt>
                <c:pt idx="36">
                  <c:v>0.3298086502323595</c:v>
                </c:pt>
                <c:pt idx="37">
                  <c:v>0.29112718322508291</c:v>
                </c:pt>
                <c:pt idx="38">
                  <c:v>0.31774475736724184</c:v>
                </c:pt>
                <c:pt idx="39">
                  <c:v>0.29135606174094453</c:v>
                </c:pt>
                <c:pt idx="40">
                  <c:v>0.26916065875420847</c:v>
                </c:pt>
                <c:pt idx="41">
                  <c:v>0.30949718918252578</c:v>
                </c:pt>
                <c:pt idx="42">
                  <c:v>0.30604945511777543</c:v>
                </c:pt>
                <c:pt idx="43">
                  <c:v>0.32623287876065277</c:v>
                </c:pt>
                <c:pt idx="44">
                  <c:v>0.43885629168039186</c:v>
                </c:pt>
                <c:pt idx="45">
                  <c:v>0.43071547102653251</c:v>
                </c:pt>
                <c:pt idx="46">
                  <c:v>0.34721715526763808</c:v>
                </c:pt>
                <c:pt idx="47">
                  <c:v>0.3433307565130812</c:v>
                </c:pt>
                <c:pt idx="48">
                  <c:v>0.33930263522174831</c:v>
                </c:pt>
                <c:pt idx="49">
                  <c:v>0.30856048901084154</c:v>
                </c:pt>
                <c:pt idx="50">
                  <c:v>0.32677715476942615</c:v>
                </c:pt>
                <c:pt idx="51">
                  <c:v>0.34076046232503904</c:v>
                </c:pt>
                <c:pt idx="52">
                  <c:v>0.38621830233421039</c:v>
                </c:pt>
                <c:pt idx="53">
                  <c:v>0.46341603490976946</c:v>
                </c:pt>
                <c:pt idx="54">
                  <c:v>0.33816824296103287</c:v>
                </c:pt>
                <c:pt idx="55">
                  <c:v>0.32365643761149826</c:v>
                </c:pt>
                <c:pt idx="56">
                  <c:v>0.43896447957400581</c:v>
                </c:pt>
                <c:pt idx="57">
                  <c:v>0.45151831942499338</c:v>
                </c:pt>
                <c:pt idx="58">
                  <c:v>0.5337985244564013</c:v>
                </c:pt>
                <c:pt idx="59">
                  <c:v>0.55995091261808483</c:v>
                </c:pt>
              </c:numCache>
            </c:numRef>
          </c:val>
          <c:smooth val="0"/>
          <c:extLst>
            <c:ext xmlns:c16="http://schemas.microsoft.com/office/drawing/2014/chart" uri="{C3380CC4-5D6E-409C-BE32-E72D297353CC}">
              <c16:uniqueId val="{00000000-4771-4988-A514-6752EDB76518}"/>
            </c:ext>
          </c:extLst>
        </c:ser>
        <c:dLbls>
          <c:showLegendKey val="0"/>
          <c:showVal val="0"/>
          <c:showCatName val="0"/>
          <c:showSerName val="0"/>
          <c:showPercent val="0"/>
          <c:showBubbleSize val="0"/>
        </c:dLbls>
        <c:marker val="1"/>
        <c:smooth val="0"/>
        <c:axId val="81240832"/>
        <c:axId val="81242368"/>
      </c:lineChart>
      <c:lineChart>
        <c:grouping val="standard"/>
        <c:varyColors val="0"/>
        <c:ser>
          <c:idx val="0"/>
          <c:order val="0"/>
          <c:tx>
            <c:strRef>
              <c:f>Statsformat!$B$8</c:f>
              <c:strCache>
                <c:ptCount val="1"/>
                <c:pt idx="0">
                  <c:v>Genomsnittlig dagsomsättning (höger)</c:v>
                </c:pt>
              </c:strCache>
            </c:strRef>
          </c:tx>
          <c:spPr>
            <a:ln w="12700">
              <a:solidFill>
                <a:srgbClr val="000000"/>
              </a:solidFill>
              <a:prstDash val="solid"/>
            </a:ln>
          </c:spPr>
          <c:marker>
            <c:symbol val="none"/>
          </c:marker>
          <c:dPt>
            <c:idx val="0"/>
            <c:bubble3D val="0"/>
            <c:extLst>
              <c:ext xmlns:c16="http://schemas.microsoft.com/office/drawing/2014/chart" uri="{C3380CC4-5D6E-409C-BE32-E72D297353CC}">
                <c16:uniqueId val="{00000001-4771-4988-A514-6752EDB76518}"/>
              </c:ext>
            </c:extLst>
          </c:dPt>
          <c:dPt>
            <c:idx val="1"/>
            <c:bubble3D val="0"/>
            <c:extLst>
              <c:ext xmlns:c16="http://schemas.microsoft.com/office/drawing/2014/chart" uri="{C3380CC4-5D6E-409C-BE32-E72D297353CC}">
                <c16:uniqueId val="{00000002-4771-4988-A514-6752EDB76518}"/>
              </c:ext>
            </c:extLst>
          </c:dPt>
          <c:dPt>
            <c:idx val="2"/>
            <c:bubble3D val="0"/>
            <c:extLst>
              <c:ext xmlns:c16="http://schemas.microsoft.com/office/drawing/2014/chart" uri="{C3380CC4-5D6E-409C-BE32-E72D297353CC}">
                <c16:uniqueId val="{00000003-4771-4988-A514-6752EDB76518}"/>
              </c:ext>
            </c:extLst>
          </c:dPt>
          <c:dPt>
            <c:idx val="3"/>
            <c:bubble3D val="0"/>
            <c:extLst>
              <c:ext xmlns:c16="http://schemas.microsoft.com/office/drawing/2014/chart" uri="{C3380CC4-5D6E-409C-BE32-E72D297353CC}">
                <c16:uniqueId val="{00000004-4771-4988-A514-6752EDB76518}"/>
              </c:ext>
            </c:extLst>
          </c:dPt>
          <c:dPt>
            <c:idx val="4"/>
            <c:bubble3D val="0"/>
            <c:extLst>
              <c:ext xmlns:c16="http://schemas.microsoft.com/office/drawing/2014/chart" uri="{C3380CC4-5D6E-409C-BE32-E72D297353CC}">
                <c16:uniqueId val="{00000005-4771-4988-A514-6752EDB76518}"/>
              </c:ext>
            </c:extLst>
          </c:dPt>
          <c:dPt>
            <c:idx val="5"/>
            <c:bubble3D val="0"/>
            <c:extLst>
              <c:ext xmlns:c16="http://schemas.microsoft.com/office/drawing/2014/chart" uri="{C3380CC4-5D6E-409C-BE32-E72D297353CC}">
                <c16:uniqueId val="{00000006-4771-4988-A514-6752EDB76518}"/>
              </c:ext>
            </c:extLst>
          </c:dPt>
          <c:dPt>
            <c:idx val="6"/>
            <c:bubble3D val="0"/>
            <c:extLst>
              <c:ext xmlns:c16="http://schemas.microsoft.com/office/drawing/2014/chart" uri="{C3380CC4-5D6E-409C-BE32-E72D297353CC}">
                <c16:uniqueId val="{00000007-4771-4988-A514-6752EDB76518}"/>
              </c:ext>
            </c:extLst>
          </c:dPt>
          <c:dPt>
            <c:idx val="7"/>
            <c:bubble3D val="0"/>
            <c:extLst>
              <c:ext xmlns:c16="http://schemas.microsoft.com/office/drawing/2014/chart" uri="{C3380CC4-5D6E-409C-BE32-E72D297353CC}">
                <c16:uniqueId val="{00000008-4771-4988-A514-6752EDB76518}"/>
              </c:ext>
            </c:extLst>
          </c:dPt>
          <c:dPt>
            <c:idx val="8"/>
            <c:bubble3D val="0"/>
            <c:extLst>
              <c:ext xmlns:c16="http://schemas.microsoft.com/office/drawing/2014/chart" uri="{C3380CC4-5D6E-409C-BE32-E72D297353CC}">
                <c16:uniqueId val="{00000009-4771-4988-A514-6752EDB76518}"/>
              </c:ext>
            </c:extLst>
          </c:dPt>
          <c:dPt>
            <c:idx val="9"/>
            <c:bubble3D val="0"/>
            <c:extLst>
              <c:ext xmlns:c16="http://schemas.microsoft.com/office/drawing/2014/chart" uri="{C3380CC4-5D6E-409C-BE32-E72D297353CC}">
                <c16:uniqueId val="{0000000A-4771-4988-A514-6752EDB76518}"/>
              </c:ext>
            </c:extLst>
          </c:dPt>
          <c:dPt>
            <c:idx val="10"/>
            <c:bubble3D val="0"/>
            <c:extLst>
              <c:ext xmlns:c16="http://schemas.microsoft.com/office/drawing/2014/chart" uri="{C3380CC4-5D6E-409C-BE32-E72D297353CC}">
                <c16:uniqueId val="{0000000B-4771-4988-A514-6752EDB76518}"/>
              </c:ext>
            </c:extLst>
          </c:dPt>
          <c:cat>
            <c:numRef>
              <c:f>Statsformat!$A$9:$A$68</c:f>
              <c:numCache>
                <c:formatCode>m/d/yyyy</c:formatCode>
                <c:ptCount val="60"/>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numCache>
            </c:numRef>
          </c:cat>
          <c:val>
            <c:numRef>
              <c:f>Statsformat!$B$9:$B$68</c:f>
              <c:numCache>
                <c:formatCode>General</c:formatCode>
                <c:ptCount val="60"/>
                <c:pt idx="0">
                  <c:v>6.1814210526315794</c:v>
                </c:pt>
                <c:pt idx="1">
                  <c:v>5.1170499999999999</c:v>
                </c:pt>
                <c:pt idx="2">
                  <c:v>4.8609999999999998</c:v>
                </c:pt>
                <c:pt idx="3">
                  <c:v>3.9429000000000003</c:v>
                </c:pt>
                <c:pt idx="4">
                  <c:v>6.9812500000000002</c:v>
                </c:pt>
                <c:pt idx="5">
                  <c:v>4.5320476190476189</c:v>
                </c:pt>
                <c:pt idx="6">
                  <c:v>2.7167727272727276</c:v>
                </c:pt>
                <c:pt idx="7">
                  <c:v>2.8035000000000001</c:v>
                </c:pt>
                <c:pt idx="8">
                  <c:v>6.4991818181818184</c:v>
                </c:pt>
                <c:pt idx="9">
                  <c:v>6.7182619047619045</c:v>
                </c:pt>
                <c:pt idx="10">
                  <c:v>6.1526363636363639</c:v>
                </c:pt>
                <c:pt idx="11">
                  <c:v>5.8660238095238091</c:v>
                </c:pt>
                <c:pt idx="12">
                  <c:v>4.4009999999999998</c:v>
                </c:pt>
                <c:pt idx="13">
                  <c:v>4.9451749999999999</c:v>
                </c:pt>
                <c:pt idx="14">
                  <c:v>6.9111956521739133</c:v>
                </c:pt>
                <c:pt idx="15">
                  <c:v>4.4035526315789477</c:v>
                </c:pt>
                <c:pt idx="16">
                  <c:v>5.9344761904761905</c:v>
                </c:pt>
                <c:pt idx="17">
                  <c:v>8.7515499999999999</c:v>
                </c:pt>
                <c:pt idx="18">
                  <c:v>1.7316666666666667</c:v>
                </c:pt>
                <c:pt idx="19">
                  <c:v>2.1745652173913044</c:v>
                </c:pt>
                <c:pt idx="20">
                  <c:v>4.351</c:v>
                </c:pt>
                <c:pt idx="21">
                  <c:v>3.4786666666666664</c:v>
                </c:pt>
                <c:pt idx="22">
                  <c:v>4.2637727272727268</c:v>
                </c:pt>
                <c:pt idx="23">
                  <c:v>6.0608333333333331</c:v>
                </c:pt>
                <c:pt idx="24">
                  <c:v>4.2186190476190477</c:v>
                </c:pt>
                <c:pt idx="25">
                  <c:v>4.6725000000000003</c:v>
                </c:pt>
                <c:pt idx="26">
                  <c:v>5.7812173913043479</c:v>
                </c:pt>
                <c:pt idx="27">
                  <c:v>2.370222222222222</c:v>
                </c:pt>
                <c:pt idx="28">
                  <c:v>2.0579999999999998</c:v>
                </c:pt>
                <c:pt idx="29">
                  <c:v>5.0712000000000002</c:v>
                </c:pt>
                <c:pt idx="30">
                  <c:v>1.4842857142857142</c:v>
                </c:pt>
                <c:pt idx="31">
                  <c:v>2.4482173913043481</c:v>
                </c:pt>
                <c:pt idx="32">
                  <c:v>4.5777619047619043</c:v>
                </c:pt>
                <c:pt idx="33">
                  <c:v>4.4704545454545448</c:v>
                </c:pt>
                <c:pt idx="34">
                  <c:v>5.7065454545454548</c:v>
                </c:pt>
                <c:pt idx="35">
                  <c:v>7.6646315789473682</c:v>
                </c:pt>
                <c:pt idx="36">
                  <c:v>5.0981818181818177</c:v>
                </c:pt>
                <c:pt idx="37">
                  <c:v>4.2310952380952385</c:v>
                </c:pt>
                <c:pt idx="38">
                  <c:v>6.4780500000000005</c:v>
                </c:pt>
                <c:pt idx="39">
                  <c:v>4.9410476190476196</c:v>
                </c:pt>
                <c:pt idx="40">
                  <c:v>5.3539047619047615</c:v>
                </c:pt>
                <c:pt idx="41">
                  <c:v>6.2303888888888883</c:v>
                </c:pt>
                <c:pt idx="42">
                  <c:v>2.4522173913043481</c:v>
                </c:pt>
                <c:pt idx="43">
                  <c:v>4.2850454545454548</c:v>
                </c:pt>
                <c:pt idx="44">
                  <c:v>6.138523809523809</c:v>
                </c:pt>
                <c:pt idx="45">
                  <c:v>5.3674782608695653</c:v>
                </c:pt>
                <c:pt idx="46">
                  <c:v>4.9613333333333332</c:v>
                </c:pt>
                <c:pt idx="47">
                  <c:v>6.7126111111111113</c:v>
                </c:pt>
                <c:pt idx="48">
                  <c:v>4.6773333333333333</c:v>
                </c:pt>
                <c:pt idx="49">
                  <c:v>4.90015</c:v>
                </c:pt>
                <c:pt idx="50">
                  <c:v>7.5641904761904764</c:v>
                </c:pt>
                <c:pt idx="51">
                  <c:v>5.7273500000000004</c:v>
                </c:pt>
                <c:pt idx="52">
                  <c:v>7.7187000000000001</c:v>
                </c:pt>
                <c:pt idx="53">
                  <c:v>7.9827894736842104</c:v>
                </c:pt>
                <c:pt idx="54">
                  <c:v>2.1021304347826084</c:v>
                </c:pt>
                <c:pt idx="55">
                  <c:v>4.4595714285714285</c:v>
                </c:pt>
                <c:pt idx="56">
                  <c:v>7.6688636363636364</c:v>
                </c:pt>
                <c:pt idx="57">
                  <c:v>6.1489130434782613</c:v>
                </c:pt>
                <c:pt idx="58">
                  <c:v>9.7594999999999992</c:v>
                </c:pt>
                <c:pt idx="59">
                  <c:v>7.0949999999999998</c:v>
                </c:pt>
              </c:numCache>
            </c:numRef>
          </c:val>
          <c:smooth val="0"/>
          <c:extLst>
            <c:ext xmlns:c16="http://schemas.microsoft.com/office/drawing/2014/chart" uri="{C3380CC4-5D6E-409C-BE32-E72D297353CC}">
              <c16:uniqueId val="{0000000C-4771-4988-A514-6752EDB76518}"/>
            </c:ext>
          </c:extLst>
        </c:ser>
        <c:dLbls>
          <c:showLegendKey val="0"/>
          <c:showVal val="0"/>
          <c:showCatName val="0"/>
          <c:showSerName val="0"/>
          <c:showPercent val="0"/>
          <c:showBubbleSize val="0"/>
        </c:dLbls>
        <c:marker val="1"/>
        <c:smooth val="0"/>
        <c:axId val="1109505472"/>
        <c:axId val="1109502592"/>
      </c:lineChart>
      <c:dateAx>
        <c:axId val="81240832"/>
        <c:scaling>
          <c:orientation val="minMax"/>
        </c:scaling>
        <c:delete val="0"/>
        <c:axPos val="b"/>
        <c:numFmt formatCode="yyyy;@"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42368"/>
        <c:crosses val="autoZero"/>
        <c:auto val="1"/>
        <c:lblOffset val="100"/>
        <c:baseTimeUnit val="months"/>
        <c:majorUnit val="1"/>
        <c:majorTimeUnit val="years"/>
        <c:minorUnit val="12"/>
        <c:minorTimeUnit val="months"/>
      </c:dateAx>
      <c:valAx>
        <c:axId val="81242368"/>
        <c:scaling>
          <c:orientation val="minMax"/>
        </c:scaling>
        <c:delete val="0"/>
        <c:axPos val="l"/>
        <c:numFmt formatCode="General"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40832"/>
        <c:crossesAt val="1"/>
        <c:crossBetween val="between"/>
      </c:valAx>
      <c:valAx>
        <c:axId val="1109502592"/>
        <c:scaling>
          <c:orientation val="minMax"/>
        </c:scaling>
        <c:delete val="0"/>
        <c:axPos val="r"/>
        <c:numFmt formatCode="General" sourceLinked="1"/>
        <c:majorTickMark val="out"/>
        <c:minorTickMark val="none"/>
        <c:tickLblPos val="nextTo"/>
        <c:crossAx val="1109505472"/>
        <c:crosses val="max"/>
        <c:crossBetween val="between"/>
      </c:valAx>
      <c:dateAx>
        <c:axId val="1109505472"/>
        <c:scaling>
          <c:orientation val="minMax"/>
        </c:scaling>
        <c:delete val="1"/>
        <c:axPos val="b"/>
        <c:numFmt formatCode="m/d/yyyy" sourceLinked="1"/>
        <c:majorTickMark val="out"/>
        <c:minorTickMark val="none"/>
        <c:tickLblPos val="nextTo"/>
        <c:crossAx val="1109502592"/>
        <c:crosses val="autoZero"/>
        <c:auto val="1"/>
        <c:lblOffset val="100"/>
        <c:baseTimeUnit val="months"/>
        <c:majorUnit val="1"/>
        <c:minorUnit val="1"/>
      </c:dateAx>
      <c:spPr>
        <a:noFill/>
        <a:ln w="3175">
          <a:solidFill>
            <a:srgbClr val="000000"/>
          </a:solidFill>
          <a:prstDash val="solid"/>
        </a:ln>
      </c:spPr>
    </c:plotArea>
    <c:legend>
      <c:legendPos val="b"/>
      <c:layout>
        <c:manualLayout>
          <c:xMode val="edge"/>
          <c:yMode val="edge"/>
          <c:x val="0.12554328561690525"/>
          <c:y val="7.8938640132669977E-2"/>
          <c:w val="0.79314723926380371"/>
          <c:h val="2.9397493927520248E-2"/>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1EC13F9087145DF8CC3FD3F08BC314A"/>
        <w:category>
          <w:name w:val="Allmänt"/>
          <w:gallery w:val="placeholder"/>
        </w:category>
        <w:types>
          <w:type w:val="bbPlcHdr"/>
        </w:types>
        <w:behaviors>
          <w:behavior w:val="content"/>
        </w:behaviors>
        <w:guid w:val="{F6D2A4D2-206E-4871-993E-C99384DB2900}"/>
      </w:docPartPr>
      <w:docPartBody>
        <w:p w:rsidR="00C709B9" w:rsidRDefault="00C709B9" w:rsidP="00C709B9">
          <w:pPr>
            <w:pStyle w:val="31EC13F9087145DF8CC3FD3F08BC314A4"/>
          </w:pPr>
          <w:r>
            <w:rPr>
              <w:rStyle w:val="Platshllartext"/>
            </w:rPr>
            <w:t>Klicka här för att ange namnunderskrift1</w:t>
          </w:r>
        </w:p>
      </w:docPartBody>
    </w:docPart>
    <w:docPart>
      <w:docPartPr>
        <w:name w:val="DE84E8E45B7F41DDBBD1CBB5E6B86B16"/>
        <w:category>
          <w:name w:val="Allmänt"/>
          <w:gallery w:val="placeholder"/>
        </w:category>
        <w:types>
          <w:type w:val="bbPlcHdr"/>
        </w:types>
        <w:behaviors>
          <w:behavior w:val="content"/>
        </w:behaviors>
        <w:guid w:val="{17D7181B-1840-4ABC-A29E-902EDDFD3935}"/>
      </w:docPartPr>
      <w:docPartBody>
        <w:p w:rsidR="00C709B9" w:rsidRDefault="00C709B9" w:rsidP="00C709B9">
          <w:pPr>
            <w:pStyle w:val="DE84E8E45B7F41DDBBD1CBB5E6B86B164"/>
          </w:pPr>
          <w:r w:rsidRPr="009362C9">
            <w:rPr>
              <w:rStyle w:val="Platshllartext"/>
              <w:rFonts w:eastAsiaTheme="minorHAnsi"/>
            </w:rPr>
            <w:t xml:space="preserve">Klicka här för att ange </w:t>
          </w:r>
          <w:r>
            <w:rPr>
              <w:rStyle w:val="Platshllartext"/>
              <w:rFonts w:eastAsiaTheme="minorHAnsi"/>
            </w:rPr>
            <w:t>namnunderskrift2</w:t>
          </w:r>
          <w:r w:rsidRPr="009362C9">
            <w:rPr>
              <w:rStyle w:val="Platshllartext"/>
              <w:rFonts w:eastAsiaTheme="minorHAnsi"/>
            </w:rPr>
            <w:t>.</w:t>
          </w:r>
        </w:p>
      </w:docPartBody>
    </w:docPart>
    <w:docPart>
      <w:docPartPr>
        <w:name w:val="2D9439464A2D459FB60C19E837E687E0"/>
        <w:category>
          <w:name w:val="Allmänt"/>
          <w:gallery w:val="placeholder"/>
        </w:category>
        <w:types>
          <w:type w:val="bbPlcHdr"/>
        </w:types>
        <w:behaviors>
          <w:behavior w:val="content"/>
        </w:behaviors>
        <w:guid w:val="{4AA84EEF-4EDB-44C4-B7BE-EF2E6A2BAA33}"/>
      </w:docPartPr>
      <w:docPartBody>
        <w:p w:rsidR="00C709B9" w:rsidRDefault="00C709B9" w:rsidP="00C709B9">
          <w:pPr>
            <w:pStyle w:val="2D9439464A2D459FB60C19E837E687E04"/>
          </w:pPr>
          <w:r w:rsidRPr="007F5652">
            <w:rPr>
              <w:rStyle w:val="Platshllartext"/>
              <w:rFonts w:eastAsiaTheme="minorHAnsi"/>
            </w:rPr>
            <w:t>Klicka här för att ange föredragande statsråd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9B9"/>
    <w:rsid w:val="0046099C"/>
    <w:rsid w:val="00A53003"/>
    <w:rsid w:val="00BD1A7E"/>
    <w:rsid w:val="00C709B9"/>
    <w:rsid w:val="00D0179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C709B9"/>
    <w:rPr>
      <w:color w:val="808080"/>
    </w:rPr>
  </w:style>
  <w:style w:type="paragraph" w:customStyle="1" w:styleId="31EC13F9087145DF8CC3FD3F08BC314A4">
    <w:name w:val="31EC13F9087145DF8CC3FD3F08BC314A4"/>
    <w:rsid w:val="00C709B9"/>
    <w:pPr>
      <w:tabs>
        <w:tab w:val="left" w:pos="2693"/>
      </w:tabs>
      <w:overflowPunct w:val="0"/>
      <w:autoSpaceDE w:val="0"/>
      <w:autoSpaceDN w:val="0"/>
      <w:adjustRightInd w:val="0"/>
      <w:spacing w:before="240" w:after="290" w:line="240" w:lineRule="auto"/>
      <w:textAlignment w:val="baseline"/>
    </w:pPr>
    <w:rPr>
      <w:rFonts w:ascii="Times New Roman" w:eastAsia="Times New Roman" w:hAnsi="Times New Roman" w:cs="Times New Roman"/>
      <w:i/>
      <w:iCs/>
      <w:kern w:val="0"/>
      <w:sz w:val="20"/>
      <w:szCs w:val="20"/>
      <w:lang w:eastAsia="en-US"/>
      <w14:ligatures w14:val="none"/>
    </w:rPr>
  </w:style>
  <w:style w:type="paragraph" w:customStyle="1" w:styleId="DE84E8E45B7F41DDBBD1CBB5E6B86B164">
    <w:name w:val="DE84E8E45B7F41DDBBD1CBB5E6B86B164"/>
    <w:rsid w:val="00C709B9"/>
    <w:pPr>
      <w:tabs>
        <w:tab w:val="left" w:pos="2693"/>
        <w:tab w:val="left" w:pos="7474"/>
      </w:tabs>
      <w:overflowPunct w:val="0"/>
      <w:autoSpaceDE w:val="0"/>
      <w:autoSpaceDN w:val="0"/>
      <w:adjustRightInd w:val="0"/>
      <w:spacing w:after="0" w:line="240" w:lineRule="auto"/>
      <w:ind w:right="-2268"/>
      <w:textAlignment w:val="baseline"/>
    </w:pPr>
    <w:rPr>
      <w:rFonts w:ascii="Times New Roman" w:eastAsia="Times New Roman" w:hAnsi="Times New Roman" w:cs="Times New Roman"/>
      <w:i/>
      <w:iCs/>
      <w:kern w:val="0"/>
      <w:sz w:val="20"/>
      <w:szCs w:val="20"/>
      <w:lang w:eastAsia="en-US"/>
      <w14:ligatures w14:val="none"/>
    </w:rPr>
  </w:style>
  <w:style w:type="paragraph" w:customStyle="1" w:styleId="2D9439464A2D459FB60C19E837E687E04">
    <w:name w:val="2D9439464A2D459FB60C19E837E687E04"/>
    <w:rsid w:val="00C709B9"/>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RK">
    <a:dk1>
      <a:srgbClr val="000000"/>
    </a:dk1>
    <a:lt1>
      <a:sysClr val="window" lastClr="FFFFFF"/>
    </a:lt1>
    <a:dk2>
      <a:srgbClr val="000000"/>
    </a:dk2>
    <a:lt2>
      <a:srgbClr val="FFFFFF"/>
    </a:lt2>
    <a:accent1>
      <a:srgbClr val="00328B"/>
    </a:accent1>
    <a:accent2>
      <a:srgbClr val="007CC3"/>
    </a:accent2>
    <a:accent3>
      <a:srgbClr val="14467F"/>
    </a:accent3>
    <a:accent4>
      <a:srgbClr val="333333"/>
    </a:accent4>
    <a:accent5>
      <a:srgbClr val="958E8A"/>
    </a:accent5>
    <a:accent6>
      <a:srgbClr val="4D605E"/>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RK">
    <a:dk1>
      <a:srgbClr val="000000"/>
    </a:dk1>
    <a:lt1>
      <a:sysClr val="window" lastClr="FFFFFF"/>
    </a:lt1>
    <a:dk2>
      <a:srgbClr val="000000"/>
    </a:dk2>
    <a:lt2>
      <a:srgbClr val="FFFFFF"/>
    </a:lt2>
    <a:accent1>
      <a:srgbClr val="00328B"/>
    </a:accent1>
    <a:accent2>
      <a:srgbClr val="007CC3"/>
    </a:accent2>
    <a:accent3>
      <a:srgbClr val="14467F"/>
    </a:accent3>
    <a:accent4>
      <a:srgbClr val="333333"/>
    </a:accent4>
    <a:accent5>
      <a:srgbClr val="958E8A"/>
    </a:accent5>
    <a:accent6>
      <a:srgbClr val="4D605E"/>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RK">
    <a:dk1>
      <a:srgbClr val="000000"/>
    </a:dk1>
    <a:lt1>
      <a:sysClr val="window" lastClr="FFFFFF"/>
    </a:lt1>
    <a:dk2>
      <a:srgbClr val="000000"/>
    </a:dk2>
    <a:lt2>
      <a:srgbClr val="FFFFFF"/>
    </a:lt2>
    <a:accent1>
      <a:srgbClr val="00328B"/>
    </a:accent1>
    <a:accent2>
      <a:srgbClr val="007CC3"/>
    </a:accent2>
    <a:accent3>
      <a:srgbClr val="14467F"/>
    </a:accent3>
    <a:accent4>
      <a:srgbClr val="333333"/>
    </a:accent4>
    <a:accent5>
      <a:srgbClr val="958E8A"/>
    </a:accent5>
    <a:accent6>
      <a:srgbClr val="4D605E"/>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RK">
    <a:dk1>
      <a:srgbClr val="000000"/>
    </a:dk1>
    <a:lt1>
      <a:sysClr val="window" lastClr="FFFFFF"/>
    </a:lt1>
    <a:dk2>
      <a:srgbClr val="000000"/>
    </a:dk2>
    <a:lt2>
      <a:srgbClr val="FFFFFF"/>
    </a:lt2>
    <a:accent1>
      <a:srgbClr val="00328B"/>
    </a:accent1>
    <a:accent2>
      <a:srgbClr val="007CC3"/>
    </a:accent2>
    <a:accent3>
      <a:srgbClr val="14467F"/>
    </a:accent3>
    <a:accent4>
      <a:srgbClr val="333333"/>
    </a:accent4>
    <a:accent5>
      <a:srgbClr val="958E8A"/>
    </a:accent5>
    <a:accent6>
      <a:srgbClr val="4D605E"/>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RK">
    <a:dk1>
      <a:srgbClr val="000000"/>
    </a:dk1>
    <a:lt1>
      <a:sysClr val="window" lastClr="FFFFFF"/>
    </a:lt1>
    <a:dk2>
      <a:srgbClr val="000000"/>
    </a:dk2>
    <a:lt2>
      <a:srgbClr val="FFFFFF"/>
    </a:lt2>
    <a:accent1>
      <a:srgbClr val="00328B"/>
    </a:accent1>
    <a:accent2>
      <a:srgbClr val="007CC3"/>
    </a:accent2>
    <a:accent3>
      <a:srgbClr val="14467F"/>
    </a:accent3>
    <a:accent4>
      <a:srgbClr val="333333"/>
    </a:accent4>
    <a:accent5>
      <a:srgbClr val="958E8A"/>
    </a:accent5>
    <a:accent6>
      <a:srgbClr val="4D605E"/>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RK">
    <a:dk1>
      <a:srgbClr val="000000"/>
    </a:dk1>
    <a:lt1>
      <a:sysClr val="window" lastClr="FFFFFF"/>
    </a:lt1>
    <a:dk2>
      <a:srgbClr val="000000"/>
    </a:dk2>
    <a:lt2>
      <a:srgbClr val="FFFFFF"/>
    </a:lt2>
    <a:accent1>
      <a:srgbClr val="00328B"/>
    </a:accent1>
    <a:accent2>
      <a:srgbClr val="007CC3"/>
    </a:accent2>
    <a:accent3>
      <a:srgbClr val="14467F"/>
    </a:accent3>
    <a:accent4>
      <a:srgbClr val="333333"/>
    </a:accent4>
    <a:accent5>
      <a:srgbClr val="958E8A"/>
    </a:accent5>
    <a:accent6>
      <a:srgbClr val="4D605E"/>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RK">
    <a:dk1>
      <a:srgbClr val="000000"/>
    </a:dk1>
    <a:lt1>
      <a:sysClr val="window" lastClr="FFFFFF"/>
    </a:lt1>
    <a:dk2>
      <a:srgbClr val="000000"/>
    </a:dk2>
    <a:lt2>
      <a:srgbClr val="FFFFFF"/>
    </a:lt2>
    <a:accent1>
      <a:srgbClr val="00328B"/>
    </a:accent1>
    <a:accent2>
      <a:srgbClr val="007CC3"/>
    </a:accent2>
    <a:accent3>
      <a:srgbClr val="14467F"/>
    </a:accent3>
    <a:accent4>
      <a:srgbClr val="333333"/>
    </a:accent4>
    <a:accent5>
      <a:srgbClr val="958E8A"/>
    </a:accent5>
    <a:accent6>
      <a:srgbClr val="4D605E"/>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RK">
    <a:dk1>
      <a:srgbClr val="000000"/>
    </a:dk1>
    <a:lt1>
      <a:sysClr val="window" lastClr="FFFFFF"/>
    </a:lt1>
    <a:dk2>
      <a:srgbClr val="000000"/>
    </a:dk2>
    <a:lt2>
      <a:srgbClr val="FFFFFF"/>
    </a:lt2>
    <a:accent1>
      <a:srgbClr val="00328B"/>
    </a:accent1>
    <a:accent2>
      <a:srgbClr val="007CC3"/>
    </a:accent2>
    <a:accent3>
      <a:srgbClr val="14467F"/>
    </a:accent3>
    <a:accent4>
      <a:srgbClr val="333333"/>
    </a:accent4>
    <a:accent5>
      <a:srgbClr val="958E8A"/>
    </a:accent5>
    <a:accent6>
      <a:srgbClr val="4D605E"/>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RK">
    <a:dk1>
      <a:srgbClr val="000000"/>
    </a:dk1>
    <a:lt1>
      <a:sysClr val="window" lastClr="FFFFFF"/>
    </a:lt1>
    <a:dk2>
      <a:srgbClr val="000000"/>
    </a:dk2>
    <a:lt2>
      <a:srgbClr val="FFFFFF"/>
    </a:lt2>
    <a:accent1>
      <a:srgbClr val="00328B"/>
    </a:accent1>
    <a:accent2>
      <a:srgbClr val="007CC3"/>
    </a:accent2>
    <a:accent3>
      <a:srgbClr val="14467F"/>
    </a:accent3>
    <a:accent4>
      <a:srgbClr val="333333"/>
    </a:accent4>
    <a:accent5>
      <a:srgbClr val="958E8A"/>
    </a:accent5>
    <a:accent6>
      <a:srgbClr val="4D605E"/>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d07acfae-4dfa-4949-99a8-259efd31a6ae" ContentTypeId="0x010100BBA312BF02777149882D207184EC35C0"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RecordNumber xmlns="4e9c2f0c-7bf8-49af-8356-cbf363fc78a7" xsi:nil="true"/>
    <RKNyckelord xmlns="18f3d968-6251-40b0-9f11-012b293496c2" xsi:nil="true"/>
    <_dlc_DocId xmlns="4f5ca95d-8798-43a8-9b50-3b2f8b9416bf">6VV7YVCVAJZ7-373442560-14030</_dlc_DocId>
    <_dlc_DocIdUrl xmlns="4f5ca95d-8798-43a8-9b50-3b2f8b9416bf">
      <Url>https://dhs.sp.regeringskansliet.se/yta/sb-gransk/_layouts/15/DocIdRedir.aspx?ID=6VV7YVCVAJZ7-373442560-14030</Url>
      <Description>6VV7YVCVAJZ7-373442560-14030</Description>
    </_dlc_DocIdUrl>
  </documentManagement>
</p:properties>
</file>

<file path=customXml/item5.xml><?xml version="1.0" encoding="utf-8"?>
<dokumentvärden xmlns="http://rkdhs/mallar/lagstiftning/Skr/Skr.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Waltersson Grönvall, Jonson, Strömmer, Forssmed, Slottner, Wykman, Malmer Stenergard, Kullgren, Liljestrand, Bohlin, Carlson,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Skr.">2025/26:104</dokumentnummer>
  <titel>Utvärdering av statens upplåning och skuldförvaltning 2021–2025</titel>
  <template id="16"/>
  <kapitel/>
  <avsnitt/>
  <fastaavsnitt/>
  <bilagor>
    <bilaga bilagenummer="" bilageetikett="Bilaga"/>
  </bilagor>
</dokumentvärde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07292-A521-4021-83E4-BC287E9B4FE9}"/>
</file>

<file path=customXml/itemProps2.xml><?xml version="1.0" encoding="utf-8"?>
<ds:datastoreItem xmlns:ds="http://schemas.openxmlformats.org/officeDocument/2006/customXml" ds:itemID="{07DA2E8E-BE61-4A04-91FD-67B0D3CA4DCE}">
  <ds:schemaRefs>
    <ds:schemaRef ds:uri="http://schemas.microsoft.com/sharepoint/v3/contenttype/forms"/>
  </ds:schemaRefs>
</ds:datastoreItem>
</file>

<file path=customXml/itemProps3.xml><?xml version="1.0" encoding="utf-8"?>
<ds:datastoreItem xmlns:ds="http://schemas.openxmlformats.org/officeDocument/2006/customXml" ds:itemID="{43545241-54FB-44DB-8D71-38731654904D}"/>
</file>

<file path=customXml/itemProps4.xml><?xml version="1.0" encoding="utf-8"?>
<ds:datastoreItem xmlns:ds="http://schemas.openxmlformats.org/officeDocument/2006/customXml" ds:itemID="{EF8A4044-0E8E-4723-85FA-00896B0932EA}">
  <ds:schemaRefs>
    <ds:schemaRef ds:uri="398b51e1-350b-47c9-b561-4c6b34d05dd3"/>
    <ds:schemaRef ds:uri="http://purl.org/dc/elements/1.1/"/>
    <ds:schemaRef ds:uri="http://schemas.microsoft.com/office/2006/metadata/properties"/>
    <ds:schemaRef ds:uri="cc625d36-bb37-4650-91b9-0c96159295ba"/>
    <ds:schemaRef ds:uri="http://schemas.microsoft.com/office/infopath/2007/PartnerControls"/>
    <ds:schemaRef ds:uri="http://purl.org/dc/terms/"/>
    <ds:schemaRef ds:uri="http://schemas.openxmlformats.org/package/2006/metadata/core-properties"/>
    <ds:schemaRef ds:uri="18f3d968-6251-40b0-9f11-012b293496c2"/>
    <ds:schemaRef ds:uri="http://schemas.microsoft.com/office/2006/documentManagement/types"/>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6.xml><?xml version="1.0" encoding="utf-8"?>
<ds:datastoreItem xmlns:ds="http://schemas.openxmlformats.org/officeDocument/2006/customXml" ds:itemID="{9C999E85-82BC-4C28-9BB3-D9A549E824C5}">
  <ds:schemaRefs>
    <ds:schemaRef ds:uri="http://schemas.microsoft.com/sharepoint/events"/>
  </ds:schemaRefs>
</ds:datastoreItem>
</file>

<file path=customXml/itemProps7.xml><?xml version="1.0" encoding="utf-8"?>
<ds:datastoreItem xmlns:ds="http://schemas.openxmlformats.org/officeDocument/2006/customXml" ds:itemID="{B183EFCA-7B23-422E-97AE-962DD92F8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Skr-samling</Template>
  <TotalTime>0</TotalTime>
  <Pages>111</Pages>
  <Words>16658</Words>
  <Characters>88291</Characters>
  <Application>Microsoft Office Word</Application>
  <DocSecurity>0</DocSecurity>
  <Lines>735</Lines>
  <Paragraphs>209</Paragraphs>
  <ScaleCrop>false</ScaleCrop>
  <HeadingPairs>
    <vt:vector size="2" baseType="variant">
      <vt:variant>
        <vt:lpstr>Rubrik</vt:lpstr>
      </vt:variant>
      <vt:variant>
        <vt:i4>1</vt:i4>
      </vt:variant>
    </vt:vector>
  </HeadingPairs>
  <TitlesOfParts>
    <vt:vector size="1" baseType="lpstr">
      <vt:lpstr>Utvärdering av statens upplåning och skuldförvaltning 2021–2025</vt:lpstr>
    </vt:vector>
  </TitlesOfParts>
  <Company>Regeringskansliet</Company>
  <LinksUpToDate>false</LinksUpToDate>
  <CharactersWithSpaces>104740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Utvärdering av statens upplåning och skuldförvaltning 2021–2025</dc:title>
  <dc:creator>Louise Bowern</dc:creator>
  <dc:description/>
  <cp:lastModifiedBy>Tilde Olsson Åhman</cp:lastModifiedBy>
  <cp:revision>11</cp:revision>
  <cp:lastPrinted>2026-04-22T12:09:00Z</cp:lastPrinted>
  <dcterms:created xsi:type="dcterms:W3CDTF">2026-04-22T14:13:00Z</dcterms:created>
  <dcterms:modified xsi:type="dcterms:W3CDTF">2026-04-23T08:06:00Z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24d23080-6727-4c1a-9eb1-fb9cfd2f3fd7</vt:lpwstr>
  </property>
  <property fmtid="{D5CDD505-2E9C-101B-9397-08002B2CF9AE}" pid="4" name="Organisation">
    <vt:lpwstr>25;#Finansdepartementet|0b2f41b1-db50-472c-80a1-d21b0254fb2b</vt:lpwstr>
  </property>
  <property fmtid="{D5CDD505-2E9C-101B-9397-08002B2CF9AE}" pid="5" name="ActivityCategory">
    <vt:lpwstr/>
  </property>
</Properties>
</file>