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4.xml" ContentType="application/vnd.openxmlformats-officedocument.wordprocessingml.header+xml"/>
  <Override PartName="/word/footer3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7.xml" ContentType="application/vnd.openxmlformats-officedocument.wordprocessingml.head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6.xml" ContentType="application/vnd.openxmlformats-officedocument.wordprocessingml.header+xml"/>
  <Override PartName="/word/footer45.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9.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DBA48" w14:textId="77777777" w:rsidR="00037172" w:rsidRDefault="0003717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CA08AA3" wp14:editId="55F345FD">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86860B4" w14:textId="77777777" w:rsidR="00037172" w:rsidRPr="00811BB8" w:rsidRDefault="00037172" w:rsidP="00C37AA0">
                                <w:pPr>
                                  <w:pStyle w:val="Brdtext"/>
                                </w:pPr>
                                <w:r>
                                  <w:rPr>
                                    <w:noProof/>
                                    <w:lang w:eastAsia="sv-SE"/>
                                  </w:rPr>
                                  <w:drawing>
                                    <wp:inline distT="0" distB="0" distL="0" distR="0" wp14:anchorId="35C1E903" wp14:editId="6B14D574">
                                      <wp:extent cx="514155" cy="921598"/>
                                      <wp:effectExtent l="0" t="0" r="635" b="0"/>
                                      <wp:docPr id="193841749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08AA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86860B4" w14:textId="77777777" w:rsidR="00037172" w:rsidRPr="00811BB8" w:rsidRDefault="00037172" w:rsidP="00C37AA0">
                          <w:pPr>
                            <w:pStyle w:val="Brdtext"/>
                          </w:pPr>
                          <w:r>
                            <w:rPr>
                              <w:noProof/>
                              <w:lang w:eastAsia="sv-SE"/>
                            </w:rPr>
                            <w:drawing>
                              <wp:inline distT="0" distB="0" distL="0" distR="0" wp14:anchorId="35C1E903" wp14:editId="6B14D574">
                                <wp:extent cx="514155" cy="921598"/>
                                <wp:effectExtent l="0" t="0" r="635" b="0"/>
                                <wp:docPr id="193841749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5F00870" w14:textId="682ABB03" w:rsidR="00037172" w:rsidRDefault="00550DEF" w:rsidP="00333C9D">
          <w:pPr>
            <w:pStyle w:val="Prophuvudrubrik"/>
          </w:pPr>
          <w:r>
            <w:t>2025/26:213</w:t>
          </w:r>
        </w:p>
      </w:sdtContent>
    </w:sdt>
    <w:p w14:paraId="748097F0" w14:textId="77777777" w:rsidR="00037172" w:rsidRPr="005F407A" w:rsidRDefault="0003717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037172" w14:paraId="421EB8DB"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451B792" w14:textId="5661F6E5" w:rsidR="00037172" w:rsidRDefault="006973D1" w:rsidP="00333C9D">
                <w:pPr>
                  <w:pStyle w:val="Proprubrik"/>
                  <w:spacing w:after="20"/>
                </w:pPr>
                <w:r>
                  <w:t>Stärkt lagstiftning mot hedersrelaterat våld och förtryck</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DFC065F" w14:textId="10FEB56E" w:rsidR="00037172" w:rsidRDefault="006973D1"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88D5C67" w14:textId="37177E57" w:rsidR="00037172" w:rsidRPr="00141F91" w:rsidRDefault="00550DEF" w:rsidP="00333C9D">
                <w:pPr>
                  <w:pStyle w:val="Proprubrik"/>
                  <w:rPr>
                    <w:szCs w:val="26"/>
                  </w:rPr>
                </w:pPr>
                <w:r>
                  <w:rPr>
                    <w:szCs w:val="26"/>
                  </w:rPr>
                  <w:t>2025/26:213</w:t>
                </w:r>
              </w:p>
            </w:sdtContent>
          </w:sdt>
        </w:tc>
      </w:tr>
    </w:tbl>
    <w:p w14:paraId="2FA67071" w14:textId="77777777" w:rsidR="00037172" w:rsidRDefault="00037172" w:rsidP="00333C9D">
      <w:pPr>
        <w:pStyle w:val="Brdtext"/>
        <w:spacing w:before="60"/>
      </w:pPr>
    </w:p>
    <w:p w14:paraId="1F347273" w14:textId="77777777" w:rsidR="00037172" w:rsidRDefault="00037172" w:rsidP="00333C9D">
      <w:pPr>
        <w:pStyle w:val="Brdtext"/>
      </w:pPr>
      <w:r>
        <w:t>Regeringen överlämnar denna proposition till riksdagen.</w:t>
      </w:r>
    </w:p>
    <w:p w14:paraId="3A175F9F" w14:textId="77777777" w:rsidR="00037172" w:rsidRDefault="00037172" w:rsidP="00333C9D">
      <w:pPr>
        <w:pStyle w:val="Brdtext"/>
      </w:pPr>
    </w:p>
    <w:p w14:paraId="2DBC394B" w14:textId="14D564E1" w:rsidR="00037172" w:rsidRDefault="00037172" w:rsidP="00333C9D">
      <w:pPr>
        <w:pStyle w:val="Brdtext"/>
      </w:pPr>
      <w:r>
        <w:t xml:space="preserve">Stockholm </w:t>
      </w:r>
      <w:sdt>
        <w:sdtPr>
          <w:alias w:val="Datum"/>
          <w:tag w:val="Datum"/>
          <w:id w:val="-1894106154"/>
          <w:date w:fullDate="2026-03-19T00:00:00Z">
            <w:dateFormat w:val="'den' d MMMM yyyy"/>
            <w:lid w:val="sv-SE"/>
            <w:storeMappedDataAs w:val="dateTime"/>
            <w:calendar w:val="gregorian"/>
          </w:date>
        </w:sdtPr>
        <w:sdtEndPr/>
        <w:sdtContent>
          <w:r w:rsidR="00246D3B">
            <w:t>den 19 mars 2026</w:t>
          </w:r>
        </w:sdtContent>
      </w:sdt>
    </w:p>
    <w:p w14:paraId="28EEC69E" w14:textId="77777777" w:rsidR="00037172" w:rsidRDefault="00037172" w:rsidP="00333C9D">
      <w:pPr>
        <w:pStyle w:val="Brdtextmedindrag"/>
      </w:pPr>
    </w:p>
    <w:p w14:paraId="6B46631A" w14:textId="36E266D9" w:rsidR="00037172" w:rsidRDefault="00BF6FD4" w:rsidP="00333C9D">
      <w:pPr>
        <w:pStyle w:val="Propnamnunderskrift1"/>
      </w:pPr>
      <w:r w:rsidRPr="00BF6FD4">
        <w:t>Ebba Busch</w:t>
      </w:r>
    </w:p>
    <w:p w14:paraId="0654D622" w14:textId="453202DA" w:rsidR="00037172" w:rsidRDefault="00037172" w:rsidP="00333C9D">
      <w:pPr>
        <w:pStyle w:val="Propnamnunderskrift2"/>
        <w:tabs>
          <w:tab w:val="clear" w:pos="2693"/>
          <w:tab w:val="clear" w:pos="7474"/>
          <w:tab w:val="left" w:pos="2126"/>
        </w:tabs>
      </w:pPr>
      <w:r>
        <w:tab/>
        <w:t>Gunnar Strömmer</w:t>
      </w:r>
    </w:p>
    <w:p w14:paraId="7FA78939" w14:textId="02B51FC8" w:rsidR="00037172" w:rsidRPr="008624B2" w:rsidRDefault="0003717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973D1">
            <w:rPr>
              <w:i w:val="0"/>
            </w:rPr>
            <w:t>Justitiedepartementet</w:t>
          </w:r>
        </w:sdtContent>
      </w:sdt>
      <w:r w:rsidRPr="008F01E7">
        <w:rPr>
          <w:i w:val="0"/>
          <w:iCs w:val="0"/>
        </w:rPr>
        <w:t>)</w:t>
      </w:r>
    </w:p>
    <w:p w14:paraId="59485CB9" w14:textId="77777777" w:rsidR="00037172" w:rsidRDefault="00037172" w:rsidP="00333C9D">
      <w:pPr>
        <w:pStyle w:val="Proprubrik"/>
        <w:spacing w:before="80" w:after="400"/>
      </w:pPr>
      <w:r>
        <w:t>Propositionens huvudsakliga innehåll</w:t>
      </w:r>
    </w:p>
    <w:p w14:paraId="1015CF3E" w14:textId="77777777" w:rsidR="00037172" w:rsidRDefault="00037172" w:rsidP="00037172">
      <w:pPr>
        <w:pStyle w:val="Brdtext"/>
      </w:pPr>
      <w:bookmarkStart w:id="0" w:name="_Hlk219450519"/>
      <w:r>
        <w:t xml:space="preserve">Hedersrelaterat våld och förtryck är ett allvarligt samhällsproblem som ska bekämpas med kraft. För det krävs en heltäckande och ändamålsenlig lagstiftning som speglar problemets allvar. </w:t>
      </w:r>
      <w:bookmarkStart w:id="1" w:name="_Hlk216179883"/>
      <w:r>
        <w:t>Regeringen föreslår därför bland annat</w:t>
      </w:r>
    </w:p>
    <w:p w14:paraId="2FBC2B28" w14:textId="77777777" w:rsidR="00037172" w:rsidRDefault="00037172" w:rsidP="00037172">
      <w:pPr>
        <w:pStyle w:val="Punktlista"/>
      </w:pPr>
      <w:r>
        <w:t xml:space="preserve">att det straffbara området för brotten vilseledande till äktenskapsresa, som byter namn till äktenskapsresebrott, och äktenskapstvång utvidgas, </w:t>
      </w:r>
    </w:p>
    <w:p w14:paraId="60D068C2" w14:textId="77777777" w:rsidR="00037172" w:rsidRDefault="00037172" w:rsidP="00037172">
      <w:pPr>
        <w:pStyle w:val="Punktlista"/>
      </w:pPr>
      <w:r>
        <w:t>att det införs ett nytt brott, äktenskapsresebrott mot barn,</w:t>
      </w:r>
    </w:p>
    <w:p w14:paraId="364FC267" w14:textId="77777777" w:rsidR="00037172" w:rsidRDefault="00037172" w:rsidP="00037172">
      <w:pPr>
        <w:pStyle w:val="Punktlista"/>
      </w:pPr>
      <w:r>
        <w:t>att försök till äktenskapsresebrott och äktenskapsresebrott mot barn kriminaliseras,</w:t>
      </w:r>
    </w:p>
    <w:p w14:paraId="2CE1C0C9" w14:textId="77777777" w:rsidR="00037172" w:rsidRPr="00B64453" w:rsidRDefault="00037172" w:rsidP="00037172">
      <w:pPr>
        <w:pStyle w:val="Punktlista"/>
      </w:pPr>
      <w:r w:rsidRPr="00B64453">
        <w:t>att straffe</w:t>
      </w:r>
      <w:r>
        <w:t>n</w:t>
      </w:r>
      <w:r w:rsidRPr="00B64453">
        <w:t xml:space="preserve"> för äktenskapstvång, barnäktenskapsbrott och äktenskaps</w:t>
      </w:r>
      <w:r>
        <w:softHyphen/>
      </w:r>
      <w:r w:rsidRPr="00B64453">
        <w:t xml:space="preserve">resebrott skärps, </w:t>
      </w:r>
    </w:p>
    <w:p w14:paraId="6BADB0EA" w14:textId="77777777" w:rsidR="00037172" w:rsidRDefault="00037172" w:rsidP="00037172">
      <w:pPr>
        <w:pStyle w:val="Punktlista"/>
      </w:pPr>
      <w:r>
        <w:t xml:space="preserve">att </w:t>
      </w:r>
      <w:bookmarkStart w:id="2" w:name="_Hlk219321128"/>
      <w:r>
        <w:t>hemliga tvångsmedel ska kunna användas i utredningar om äkten</w:t>
      </w:r>
      <w:r>
        <w:softHyphen/>
        <w:t>skapstvång och barnäktenskapsbrott</w:t>
      </w:r>
      <w:bookmarkEnd w:id="2"/>
      <w:r>
        <w:t xml:space="preserve">, och </w:t>
      </w:r>
    </w:p>
    <w:p w14:paraId="0168EF4E" w14:textId="77777777" w:rsidR="00037172" w:rsidRDefault="00037172" w:rsidP="00037172">
      <w:pPr>
        <w:pStyle w:val="Punktlista"/>
      </w:pPr>
      <w:r>
        <w:t xml:space="preserve">att förbudet mot att erkänna otillåtna utländska äktenskap ska gälla utan undantag. </w:t>
      </w:r>
    </w:p>
    <w:bookmarkEnd w:id="1"/>
    <w:p w14:paraId="31B14533" w14:textId="77777777" w:rsidR="00037172" w:rsidRDefault="00037172" w:rsidP="00037172">
      <w:pPr>
        <w:pStyle w:val="Brdtextefterpunktlista"/>
      </w:pPr>
      <w:r>
        <w:t>Lagändringarna föreslås träda i kraft den 2 juli 2026.</w:t>
      </w:r>
    </w:p>
    <w:bookmarkEnd w:id="0"/>
    <w:p w14:paraId="4819F95A" w14:textId="77777777" w:rsidR="00037172" w:rsidRDefault="00037172" w:rsidP="00333C9D">
      <w:pPr>
        <w:pStyle w:val="Brdtext"/>
      </w:pPr>
    </w:p>
    <w:p w14:paraId="277FCADD" w14:textId="77777777" w:rsidR="00037172" w:rsidRPr="008F2013" w:rsidRDefault="00037172" w:rsidP="005E3C60">
      <w:pPr>
        <w:pStyle w:val="Innehllsfrteckning"/>
        <w:pageBreakBefore/>
        <w:rPr>
          <w:sz w:val="30"/>
          <w:szCs w:val="30"/>
        </w:rPr>
      </w:pPr>
      <w:r>
        <w:rPr>
          <w:rFonts w:eastAsiaTheme="minorHAnsi"/>
        </w:rPr>
        <w:lastRenderedPageBreak/>
        <w:t>Innehållsförteckning</w:t>
      </w:r>
    </w:p>
    <w:p w14:paraId="0B54D0E2" w14:textId="70E01AAF" w:rsidR="000C5FBA" w:rsidRDefault="0003717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807582" w:history="1">
        <w:r w:rsidR="000C5FBA" w:rsidRPr="00B5620D">
          <w:rPr>
            <w:rStyle w:val="Hyperlnk"/>
          </w:rPr>
          <w:t>1</w:t>
        </w:r>
        <w:r w:rsidR="000C5FBA">
          <w:rPr>
            <w:rFonts w:asciiTheme="minorHAnsi" w:eastAsiaTheme="minorEastAsia" w:hAnsiTheme="minorHAnsi"/>
            <w:kern w:val="2"/>
            <w:sz w:val="24"/>
            <w:szCs w:val="24"/>
            <w:lang w:eastAsia="sv-SE"/>
            <w14:ligatures w14:val="standardContextual"/>
          </w:rPr>
          <w:tab/>
        </w:r>
        <w:r w:rsidR="000C5FBA" w:rsidRPr="00B5620D">
          <w:rPr>
            <w:rStyle w:val="Hyperlnk"/>
          </w:rPr>
          <w:t>Förslag till riksdagsbeslut</w:t>
        </w:r>
        <w:r w:rsidR="000C5FBA">
          <w:rPr>
            <w:webHidden/>
          </w:rPr>
          <w:tab/>
        </w:r>
        <w:r w:rsidR="000C5FBA">
          <w:rPr>
            <w:webHidden/>
          </w:rPr>
          <w:fldChar w:fldCharType="begin"/>
        </w:r>
        <w:r w:rsidR="000C5FBA">
          <w:rPr>
            <w:webHidden/>
          </w:rPr>
          <w:instrText xml:space="preserve"> PAGEREF _Toc224807582 \h </w:instrText>
        </w:r>
        <w:r w:rsidR="000C5FBA">
          <w:rPr>
            <w:webHidden/>
          </w:rPr>
        </w:r>
        <w:r w:rsidR="000C5FBA">
          <w:rPr>
            <w:webHidden/>
          </w:rPr>
          <w:fldChar w:fldCharType="separate"/>
        </w:r>
        <w:r w:rsidR="000C5FBA">
          <w:rPr>
            <w:webHidden/>
          </w:rPr>
          <w:t>4</w:t>
        </w:r>
        <w:r w:rsidR="000C5FBA">
          <w:rPr>
            <w:webHidden/>
          </w:rPr>
          <w:fldChar w:fldCharType="end"/>
        </w:r>
      </w:hyperlink>
    </w:p>
    <w:p w14:paraId="4FDE1776" w14:textId="4500D7DD"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583" w:history="1">
        <w:r w:rsidRPr="00B5620D">
          <w:rPr>
            <w:rStyle w:val="Hyperlnk"/>
          </w:rPr>
          <w:t>2</w:t>
        </w:r>
        <w:r>
          <w:rPr>
            <w:rFonts w:asciiTheme="minorHAnsi" w:eastAsiaTheme="minorEastAsia" w:hAnsiTheme="minorHAnsi"/>
            <w:kern w:val="2"/>
            <w:sz w:val="24"/>
            <w:szCs w:val="24"/>
            <w:lang w:eastAsia="sv-SE"/>
            <w14:ligatures w14:val="standardContextual"/>
          </w:rPr>
          <w:tab/>
        </w:r>
        <w:r w:rsidRPr="00B5620D">
          <w:rPr>
            <w:rStyle w:val="Hyperlnk"/>
          </w:rPr>
          <w:t>Lagtext</w:t>
        </w:r>
        <w:r>
          <w:rPr>
            <w:webHidden/>
          </w:rPr>
          <w:tab/>
        </w:r>
        <w:r>
          <w:rPr>
            <w:webHidden/>
          </w:rPr>
          <w:fldChar w:fldCharType="begin"/>
        </w:r>
        <w:r>
          <w:rPr>
            <w:webHidden/>
          </w:rPr>
          <w:instrText xml:space="preserve"> PAGEREF _Toc224807583 \h </w:instrText>
        </w:r>
        <w:r>
          <w:rPr>
            <w:webHidden/>
          </w:rPr>
        </w:r>
        <w:r>
          <w:rPr>
            <w:webHidden/>
          </w:rPr>
          <w:fldChar w:fldCharType="separate"/>
        </w:r>
        <w:r>
          <w:rPr>
            <w:webHidden/>
          </w:rPr>
          <w:t>5</w:t>
        </w:r>
        <w:r>
          <w:rPr>
            <w:webHidden/>
          </w:rPr>
          <w:fldChar w:fldCharType="end"/>
        </w:r>
      </w:hyperlink>
    </w:p>
    <w:p w14:paraId="1636EDE6" w14:textId="030123EA"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84" w:history="1">
        <w:r w:rsidRPr="00B5620D">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 till lag om ändring i rättegångsbalken</w:t>
        </w:r>
        <w:r>
          <w:rPr>
            <w:webHidden/>
          </w:rPr>
          <w:tab/>
        </w:r>
        <w:r>
          <w:rPr>
            <w:webHidden/>
          </w:rPr>
          <w:fldChar w:fldCharType="begin"/>
        </w:r>
        <w:r>
          <w:rPr>
            <w:webHidden/>
          </w:rPr>
          <w:instrText xml:space="preserve"> PAGEREF _Toc224807584 \h </w:instrText>
        </w:r>
        <w:r>
          <w:rPr>
            <w:webHidden/>
          </w:rPr>
        </w:r>
        <w:r>
          <w:rPr>
            <w:webHidden/>
          </w:rPr>
          <w:fldChar w:fldCharType="separate"/>
        </w:r>
        <w:r>
          <w:rPr>
            <w:webHidden/>
          </w:rPr>
          <w:t>5</w:t>
        </w:r>
        <w:r>
          <w:rPr>
            <w:webHidden/>
          </w:rPr>
          <w:fldChar w:fldCharType="end"/>
        </w:r>
      </w:hyperlink>
    </w:p>
    <w:p w14:paraId="545156D6" w14:textId="60618BD6"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85" w:history="1">
        <w:r w:rsidRPr="00B5620D">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 till lag om ändring i brottsbalken</w:t>
        </w:r>
        <w:r>
          <w:rPr>
            <w:webHidden/>
          </w:rPr>
          <w:tab/>
        </w:r>
        <w:r>
          <w:rPr>
            <w:webHidden/>
          </w:rPr>
          <w:fldChar w:fldCharType="begin"/>
        </w:r>
        <w:r>
          <w:rPr>
            <w:webHidden/>
          </w:rPr>
          <w:instrText xml:space="preserve"> PAGEREF _Toc224807585 \h </w:instrText>
        </w:r>
        <w:r>
          <w:rPr>
            <w:webHidden/>
          </w:rPr>
        </w:r>
        <w:r>
          <w:rPr>
            <w:webHidden/>
          </w:rPr>
          <w:fldChar w:fldCharType="separate"/>
        </w:r>
        <w:r>
          <w:rPr>
            <w:webHidden/>
          </w:rPr>
          <w:t>9</w:t>
        </w:r>
        <w:r>
          <w:rPr>
            <w:webHidden/>
          </w:rPr>
          <w:fldChar w:fldCharType="end"/>
        </w:r>
      </w:hyperlink>
    </w:p>
    <w:p w14:paraId="4F7D381E" w14:textId="0A4C6AA6"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86" w:history="1">
        <w:r w:rsidRPr="00B5620D">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 till lag om ändring i äktenskapsbalken</w:t>
        </w:r>
        <w:r>
          <w:rPr>
            <w:webHidden/>
          </w:rPr>
          <w:tab/>
        </w:r>
        <w:r>
          <w:rPr>
            <w:webHidden/>
          </w:rPr>
          <w:fldChar w:fldCharType="begin"/>
        </w:r>
        <w:r>
          <w:rPr>
            <w:webHidden/>
          </w:rPr>
          <w:instrText xml:space="preserve"> PAGEREF _Toc224807586 \h </w:instrText>
        </w:r>
        <w:r>
          <w:rPr>
            <w:webHidden/>
          </w:rPr>
        </w:r>
        <w:r>
          <w:rPr>
            <w:webHidden/>
          </w:rPr>
          <w:fldChar w:fldCharType="separate"/>
        </w:r>
        <w:r>
          <w:rPr>
            <w:webHidden/>
          </w:rPr>
          <w:t>12</w:t>
        </w:r>
        <w:r>
          <w:rPr>
            <w:webHidden/>
          </w:rPr>
          <w:fldChar w:fldCharType="end"/>
        </w:r>
      </w:hyperlink>
    </w:p>
    <w:p w14:paraId="11DEB1B7" w14:textId="23E9D40D"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87" w:history="1">
        <w:r w:rsidRPr="00B5620D">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spacing w:val="-2"/>
          </w:rPr>
          <w:t>Förslag till lag om ändring i lagen (1904:26</w:t>
        </w:r>
        <w:r w:rsidRPr="00B5620D">
          <w:rPr>
            <w:rStyle w:val="Hyperlnk"/>
            <w:rFonts w:ascii="Cambria" w:eastAsiaTheme="majorEastAsia" w:hAnsi="Cambria"/>
            <w:spacing w:val="-2"/>
          </w:rPr>
          <w:t> </w:t>
        </w:r>
        <w:r w:rsidRPr="00B5620D">
          <w:rPr>
            <w:rStyle w:val="Hyperlnk"/>
            <w:rFonts w:eastAsiaTheme="majorEastAsia"/>
            <w:spacing w:val="-2"/>
          </w:rPr>
          <w:t>s.</w:t>
        </w:r>
        <w:r w:rsidRPr="00B5620D">
          <w:rPr>
            <w:rStyle w:val="Hyperlnk"/>
            <w:rFonts w:ascii="Cambria" w:eastAsiaTheme="majorEastAsia" w:hAnsi="Cambria"/>
            <w:spacing w:val="-2"/>
          </w:rPr>
          <w:t> </w:t>
        </w:r>
        <w:r w:rsidRPr="00B5620D">
          <w:rPr>
            <w:rStyle w:val="Hyperlnk"/>
            <w:rFonts w:eastAsiaTheme="majorEastAsia"/>
            <w:spacing w:val="-2"/>
          </w:rPr>
          <w:t>1)</w:t>
        </w:r>
        <w:r w:rsidRPr="00B5620D">
          <w:rPr>
            <w:rStyle w:val="Hyperlnk"/>
            <w:rFonts w:eastAsiaTheme="majorEastAsia"/>
          </w:rPr>
          <w:t xml:space="preserve"> om vissa internationella rättsförhållanden rörande äktenskap och förmynderskap</w:t>
        </w:r>
        <w:r>
          <w:rPr>
            <w:webHidden/>
          </w:rPr>
          <w:tab/>
        </w:r>
        <w:r>
          <w:rPr>
            <w:webHidden/>
          </w:rPr>
          <w:fldChar w:fldCharType="begin"/>
        </w:r>
        <w:r>
          <w:rPr>
            <w:webHidden/>
          </w:rPr>
          <w:instrText xml:space="preserve"> PAGEREF _Toc224807587 \h </w:instrText>
        </w:r>
        <w:r>
          <w:rPr>
            <w:webHidden/>
          </w:rPr>
        </w:r>
        <w:r>
          <w:rPr>
            <w:webHidden/>
          </w:rPr>
          <w:fldChar w:fldCharType="separate"/>
        </w:r>
        <w:r>
          <w:rPr>
            <w:webHidden/>
          </w:rPr>
          <w:t>13</w:t>
        </w:r>
        <w:r>
          <w:rPr>
            <w:webHidden/>
          </w:rPr>
          <w:fldChar w:fldCharType="end"/>
        </w:r>
      </w:hyperlink>
    </w:p>
    <w:p w14:paraId="275472A7" w14:textId="1FE64D02"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588" w:history="1">
        <w:r w:rsidRPr="00B5620D">
          <w:rPr>
            <w:rStyle w:val="Hyperlnk"/>
          </w:rPr>
          <w:t>3</w:t>
        </w:r>
        <w:r>
          <w:rPr>
            <w:rFonts w:asciiTheme="minorHAnsi" w:eastAsiaTheme="minorEastAsia" w:hAnsiTheme="minorHAnsi"/>
            <w:kern w:val="2"/>
            <w:sz w:val="24"/>
            <w:szCs w:val="24"/>
            <w:lang w:eastAsia="sv-SE"/>
            <w14:ligatures w14:val="standardContextual"/>
          </w:rPr>
          <w:tab/>
        </w:r>
        <w:r w:rsidRPr="00B5620D">
          <w:rPr>
            <w:rStyle w:val="Hyperlnk"/>
          </w:rPr>
          <w:t>Ärendet och dess beredning</w:t>
        </w:r>
        <w:r>
          <w:rPr>
            <w:webHidden/>
          </w:rPr>
          <w:tab/>
        </w:r>
        <w:r>
          <w:rPr>
            <w:webHidden/>
          </w:rPr>
          <w:fldChar w:fldCharType="begin"/>
        </w:r>
        <w:r>
          <w:rPr>
            <w:webHidden/>
          </w:rPr>
          <w:instrText xml:space="preserve"> PAGEREF _Toc224807588 \h </w:instrText>
        </w:r>
        <w:r>
          <w:rPr>
            <w:webHidden/>
          </w:rPr>
        </w:r>
        <w:r>
          <w:rPr>
            <w:webHidden/>
          </w:rPr>
          <w:fldChar w:fldCharType="separate"/>
        </w:r>
        <w:r>
          <w:rPr>
            <w:webHidden/>
          </w:rPr>
          <w:t>14</w:t>
        </w:r>
        <w:r>
          <w:rPr>
            <w:webHidden/>
          </w:rPr>
          <w:fldChar w:fldCharType="end"/>
        </w:r>
      </w:hyperlink>
    </w:p>
    <w:p w14:paraId="6DBF3AD8" w14:textId="631A0A52"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589" w:history="1">
        <w:r w:rsidRPr="00B5620D">
          <w:rPr>
            <w:rStyle w:val="Hyperlnk"/>
          </w:rPr>
          <w:t>4</w:t>
        </w:r>
        <w:r>
          <w:rPr>
            <w:rFonts w:asciiTheme="minorHAnsi" w:eastAsiaTheme="minorEastAsia" w:hAnsiTheme="minorHAnsi"/>
            <w:kern w:val="2"/>
            <w:sz w:val="24"/>
            <w:szCs w:val="24"/>
            <w:lang w:eastAsia="sv-SE"/>
            <w14:ligatures w14:val="standardContextual"/>
          </w:rPr>
          <w:tab/>
        </w:r>
        <w:r w:rsidRPr="00B5620D">
          <w:rPr>
            <w:rStyle w:val="Hyperlnk"/>
          </w:rPr>
          <w:t>Lagstiftningsåtgärder mot hedersrelaterat våld och förtryck</w:t>
        </w:r>
        <w:r>
          <w:rPr>
            <w:webHidden/>
          </w:rPr>
          <w:tab/>
        </w:r>
        <w:r>
          <w:rPr>
            <w:webHidden/>
          </w:rPr>
          <w:fldChar w:fldCharType="begin"/>
        </w:r>
        <w:r>
          <w:rPr>
            <w:webHidden/>
          </w:rPr>
          <w:instrText xml:space="preserve"> PAGEREF _Toc224807589 \h </w:instrText>
        </w:r>
        <w:r>
          <w:rPr>
            <w:webHidden/>
          </w:rPr>
        </w:r>
        <w:r>
          <w:rPr>
            <w:webHidden/>
          </w:rPr>
          <w:fldChar w:fldCharType="separate"/>
        </w:r>
        <w:r>
          <w:rPr>
            <w:webHidden/>
          </w:rPr>
          <w:t>15</w:t>
        </w:r>
        <w:r>
          <w:rPr>
            <w:webHidden/>
          </w:rPr>
          <w:fldChar w:fldCharType="end"/>
        </w:r>
      </w:hyperlink>
    </w:p>
    <w:p w14:paraId="5C4169ED" w14:textId="2D2444F9"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0" w:history="1">
        <w:r w:rsidRPr="00B5620D">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Hedersrelaterat våld och förtryck och ofrivilliga och otillåtna äktenskap</w:t>
        </w:r>
        <w:r>
          <w:rPr>
            <w:webHidden/>
          </w:rPr>
          <w:tab/>
        </w:r>
        <w:r>
          <w:rPr>
            <w:webHidden/>
          </w:rPr>
          <w:fldChar w:fldCharType="begin"/>
        </w:r>
        <w:r>
          <w:rPr>
            <w:webHidden/>
          </w:rPr>
          <w:instrText xml:space="preserve"> PAGEREF _Toc224807590 \h </w:instrText>
        </w:r>
        <w:r>
          <w:rPr>
            <w:webHidden/>
          </w:rPr>
        </w:r>
        <w:r>
          <w:rPr>
            <w:webHidden/>
          </w:rPr>
          <w:fldChar w:fldCharType="separate"/>
        </w:r>
        <w:r>
          <w:rPr>
            <w:webHidden/>
          </w:rPr>
          <w:t>15</w:t>
        </w:r>
        <w:r>
          <w:rPr>
            <w:webHidden/>
          </w:rPr>
          <w:fldChar w:fldCharType="end"/>
        </w:r>
      </w:hyperlink>
    </w:p>
    <w:p w14:paraId="548993DF" w14:textId="5F4F7CE8"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1" w:history="1">
        <w:r w:rsidRPr="00B5620D">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Vidtagna åtgärder mot hedersrelaterat våld och förtryck</w:t>
        </w:r>
        <w:r>
          <w:rPr>
            <w:webHidden/>
          </w:rPr>
          <w:tab/>
        </w:r>
        <w:r>
          <w:rPr>
            <w:webHidden/>
          </w:rPr>
          <w:fldChar w:fldCharType="begin"/>
        </w:r>
        <w:r>
          <w:rPr>
            <w:webHidden/>
          </w:rPr>
          <w:instrText xml:space="preserve"> PAGEREF _Toc224807591 \h </w:instrText>
        </w:r>
        <w:r>
          <w:rPr>
            <w:webHidden/>
          </w:rPr>
        </w:r>
        <w:r>
          <w:rPr>
            <w:webHidden/>
          </w:rPr>
          <w:fldChar w:fldCharType="separate"/>
        </w:r>
        <w:r>
          <w:rPr>
            <w:webHidden/>
          </w:rPr>
          <w:t>15</w:t>
        </w:r>
        <w:r>
          <w:rPr>
            <w:webHidden/>
          </w:rPr>
          <w:fldChar w:fldCharType="end"/>
        </w:r>
      </w:hyperlink>
    </w:p>
    <w:p w14:paraId="3CFAA5A2" w14:textId="144D7E5E"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2" w:history="1">
        <w:r w:rsidRPr="00B5620D">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Lagstiftningen måste stärkas och bli mer heltäckande</w:t>
        </w:r>
        <w:r>
          <w:rPr>
            <w:webHidden/>
          </w:rPr>
          <w:tab/>
        </w:r>
        <w:r>
          <w:rPr>
            <w:webHidden/>
          </w:rPr>
          <w:fldChar w:fldCharType="begin"/>
        </w:r>
        <w:r>
          <w:rPr>
            <w:webHidden/>
          </w:rPr>
          <w:instrText xml:space="preserve"> PAGEREF _Toc224807592 \h </w:instrText>
        </w:r>
        <w:r>
          <w:rPr>
            <w:webHidden/>
          </w:rPr>
        </w:r>
        <w:r>
          <w:rPr>
            <w:webHidden/>
          </w:rPr>
          <w:fldChar w:fldCharType="separate"/>
        </w:r>
        <w:r>
          <w:rPr>
            <w:webHidden/>
          </w:rPr>
          <w:t>17</w:t>
        </w:r>
        <w:r>
          <w:rPr>
            <w:webHidden/>
          </w:rPr>
          <w:fldChar w:fldCharType="end"/>
        </w:r>
      </w:hyperlink>
    </w:p>
    <w:p w14:paraId="76B10699" w14:textId="19739DB1"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593" w:history="1">
        <w:r w:rsidRPr="00B5620D">
          <w:rPr>
            <w:rStyle w:val="Hyperlnk"/>
          </w:rPr>
          <w:t>5</w:t>
        </w:r>
        <w:r>
          <w:rPr>
            <w:rFonts w:asciiTheme="minorHAnsi" w:eastAsiaTheme="minorEastAsia" w:hAnsiTheme="minorHAnsi"/>
            <w:kern w:val="2"/>
            <w:sz w:val="24"/>
            <w:szCs w:val="24"/>
            <w:lang w:eastAsia="sv-SE"/>
            <w14:ligatures w14:val="standardContextual"/>
          </w:rPr>
          <w:tab/>
        </w:r>
        <w:r w:rsidRPr="00B5620D">
          <w:rPr>
            <w:rStyle w:val="Hyperlnk"/>
          </w:rPr>
          <w:t>Skärpt lagstiftning rörande vissa hedersrelaterade brott</w:t>
        </w:r>
        <w:r>
          <w:rPr>
            <w:webHidden/>
          </w:rPr>
          <w:tab/>
        </w:r>
        <w:r>
          <w:rPr>
            <w:webHidden/>
          </w:rPr>
          <w:fldChar w:fldCharType="begin"/>
        </w:r>
        <w:r>
          <w:rPr>
            <w:webHidden/>
          </w:rPr>
          <w:instrText xml:space="preserve"> PAGEREF _Toc224807593 \h </w:instrText>
        </w:r>
        <w:r>
          <w:rPr>
            <w:webHidden/>
          </w:rPr>
        </w:r>
        <w:r>
          <w:rPr>
            <w:webHidden/>
          </w:rPr>
          <w:fldChar w:fldCharType="separate"/>
        </w:r>
        <w:r>
          <w:rPr>
            <w:webHidden/>
          </w:rPr>
          <w:t>19</w:t>
        </w:r>
        <w:r>
          <w:rPr>
            <w:webHidden/>
          </w:rPr>
          <w:fldChar w:fldCharType="end"/>
        </w:r>
      </w:hyperlink>
    </w:p>
    <w:p w14:paraId="0057181E" w14:textId="4763FD60"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4" w:history="1">
        <w:r w:rsidRPr="00B5620D">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Det straffbara området för äktenskapstvång ska utvidgas</w:t>
        </w:r>
        <w:r>
          <w:rPr>
            <w:webHidden/>
          </w:rPr>
          <w:tab/>
        </w:r>
        <w:r>
          <w:rPr>
            <w:webHidden/>
          </w:rPr>
          <w:fldChar w:fldCharType="begin"/>
        </w:r>
        <w:r>
          <w:rPr>
            <w:webHidden/>
          </w:rPr>
          <w:instrText xml:space="preserve"> PAGEREF _Toc224807594 \h </w:instrText>
        </w:r>
        <w:r>
          <w:rPr>
            <w:webHidden/>
          </w:rPr>
        </w:r>
        <w:r>
          <w:rPr>
            <w:webHidden/>
          </w:rPr>
          <w:fldChar w:fldCharType="separate"/>
        </w:r>
        <w:r>
          <w:rPr>
            <w:webHidden/>
          </w:rPr>
          <w:t>19</w:t>
        </w:r>
        <w:r>
          <w:rPr>
            <w:webHidden/>
          </w:rPr>
          <w:fldChar w:fldCharType="end"/>
        </w:r>
      </w:hyperlink>
    </w:p>
    <w:p w14:paraId="2844E62E" w14:textId="20C6F496"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5" w:history="1">
        <w:r w:rsidRPr="00B5620D">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Skyddet mot äktenskapsresor stärks</w:t>
        </w:r>
        <w:r>
          <w:rPr>
            <w:webHidden/>
          </w:rPr>
          <w:tab/>
        </w:r>
        <w:r>
          <w:rPr>
            <w:webHidden/>
          </w:rPr>
          <w:fldChar w:fldCharType="begin"/>
        </w:r>
        <w:r>
          <w:rPr>
            <w:webHidden/>
          </w:rPr>
          <w:instrText xml:space="preserve"> PAGEREF _Toc224807595 \h </w:instrText>
        </w:r>
        <w:r>
          <w:rPr>
            <w:webHidden/>
          </w:rPr>
        </w:r>
        <w:r>
          <w:rPr>
            <w:webHidden/>
          </w:rPr>
          <w:fldChar w:fldCharType="separate"/>
        </w:r>
        <w:r>
          <w:rPr>
            <w:webHidden/>
          </w:rPr>
          <w:t>22</w:t>
        </w:r>
        <w:r>
          <w:rPr>
            <w:webHidden/>
          </w:rPr>
          <w:fldChar w:fldCharType="end"/>
        </w:r>
      </w:hyperlink>
    </w:p>
    <w:p w14:paraId="763F3DCA" w14:textId="5CE0C7A8"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596" w:history="1">
        <w:r w:rsidRPr="00B5620D">
          <w:rPr>
            <w:rStyle w:val="Hyperlnk"/>
            <w:rFonts w:eastAsiaTheme="majorEastAsia"/>
          </w:rPr>
          <w:t>5.2.1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Ett utvidgat straffansvar för äktenskapsresebrott</w:t>
        </w:r>
        <w:r>
          <w:rPr>
            <w:webHidden/>
          </w:rPr>
          <w:tab/>
        </w:r>
        <w:r>
          <w:rPr>
            <w:webHidden/>
          </w:rPr>
          <w:fldChar w:fldCharType="begin"/>
        </w:r>
        <w:r>
          <w:rPr>
            <w:webHidden/>
          </w:rPr>
          <w:instrText xml:space="preserve"> PAGEREF _Toc224807596 \h </w:instrText>
        </w:r>
        <w:r>
          <w:rPr>
            <w:webHidden/>
          </w:rPr>
        </w:r>
        <w:r>
          <w:rPr>
            <w:webHidden/>
          </w:rPr>
          <w:fldChar w:fldCharType="separate"/>
        </w:r>
        <w:r>
          <w:rPr>
            <w:webHidden/>
          </w:rPr>
          <w:t>22</w:t>
        </w:r>
        <w:r>
          <w:rPr>
            <w:webHidden/>
          </w:rPr>
          <w:fldChar w:fldCharType="end"/>
        </w:r>
      </w:hyperlink>
    </w:p>
    <w:p w14:paraId="733256C1" w14:textId="78184959"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597" w:history="1">
        <w:r w:rsidRPr="00B5620D">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En ny straffbestämmelse om äktenskapsresebrott mot barn</w:t>
        </w:r>
        <w:r>
          <w:rPr>
            <w:webHidden/>
          </w:rPr>
          <w:tab/>
        </w:r>
        <w:r>
          <w:rPr>
            <w:webHidden/>
          </w:rPr>
          <w:fldChar w:fldCharType="begin"/>
        </w:r>
        <w:r>
          <w:rPr>
            <w:webHidden/>
          </w:rPr>
          <w:instrText xml:space="preserve"> PAGEREF _Toc224807597 \h </w:instrText>
        </w:r>
        <w:r>
          <w:rPr>
            <w:webHidden/>
          </w:rPr>
        </w:r>
        <w:r>
          <w:rPr>
            <w:webHidden/>
          </w:rPr>
          <w:fldChar w:fldCharType="separate"/>
        </w:r>
        <w:r>
          <w:rPr>
            <w:webHidden/>
          </w:rPr>
          <w:t>24</w:t>
        </w:r>
        <w:r>
          <w:rPr>
            <w:webHidden/>
          </w:rPr>
          <w:fldChar w:fldCharType="end"/>
        </w:r>
      </w:hyperlink>
    </w:p>
    <w:p w14:paraId="6D372B5D" w14:textId="0D305FBA"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598" w:history="1">
        <w:r w:rsidRPr="00B5620D">
          <w:rPr>
            <w:rStyle w:val="Hyperlnk"/>
            <w:rFonts w:eastAsiaTheme="majorEastAsia"/>
          </w:rPr>
          <w:t>5.2.3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Försök till äktenskapsresebrotten ska kriminaliseras</w:t>
        </w:r>
        <w:r>
          <w:rPr>
            <w:webHidden/>
          </w:rPr>
          <w:tab/>
        </w:r>
        <w:r>
          <w:rPr>
            <w:webHidden/>
          </w:rPr>
          <w:fldChar w:fldCharType="begin"/>
        </w:r>
        <w:r>
          <w:rPr>
            <w:webHidden/>
          </w:rPr>
          <w:instrText xml:space="preserve"> PAGEREF _Toc224807598 \h </w:instrText>
        </w:r>
        <w:r>
          <w:rPr>
            <w:webHidden/>
          </w:rPr>
        </w:r>
        <w:r>
          <w:rPr>
            <w:webHidden/>
          </w:rPr>
          <w:fldChar w:fldCharType="separate"/>
        </w:r>
        <w:r>
          <w:rPr>
            <w:webHidden/>
          </w:rPr>
          <w:t>27</w:t>
        </w:r>
        <w:r>
          <w:rPr>
            <w:webHidden/>
          </w:rPr>
          <w:fldChar w:fldCharType="end"/>
        </w:r>
      </w:hyperlink>
    </w:p>
    <w:p w14:paraId="7887755C" w14:textId="6FF544F4"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599" w:history="1">
        <w:r w:rsidRPr="00B5620D">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Straffskalorna för hedersrelaterade brott</w:t>
        </w:r>
        <w:r>
          <w:rPr>
            <w:webHidden/>
          </w:rPr>
          <w:tab/>
        </w:r>
        <w:r>
          <w:rPr>
            <w:webHidden/>
          </w:rPr>
          <w:fldChar w:fldCharType="begin"/>
        </w:r>
        <w:r>
          <w:rPr>
            <w:webHidden/>
          </w:rPr>
          <w:instrText xml:space="preserve"> PAGEREF _Toc224807599 \h </w:instrText>
        </w:r>
        <w:r>
          <w:rPr>
            <w:webHidden/>
          </w:rPr>
        </w:r>
        <w:r>
          <w:rPr>
            <w:webHidden/>
          </w:rPr>
          <w:fldChar w:fldCharType="separate"/>
        </w:r>
        <w:r>
          <w:rPr>
            <w:webHidden/>
          </w:rPr>
          <w:t>31</w:t>
        </w:r>
        <w:r>
          <w:rPr>
            <w:webHidden/>
          </w:rPr>
          <w:fldChar w:fldCharType="end"/>
        </w:r>
      </w:hyperlink>
    </w:p>
    <w:p w14:paraId="7FAE3DE2" w14:textId="0AE26BD9"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600" w:history="1">
        <w:r w:rsidRPr="00B5620D">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Straffen för äktenskapstvång och barnäktenskapsbrott skärps</w:t>
        </w:r>
        <w:r>
          <w:rPr>
            <w:webHidden/>
          </w:rPr>
          <w:tab/>
        </w:r>
        <w:r>
          <w:rPr>
            <w:webHidden/>
          </w:rPr>
          <w:fldChar w:fldCharType="begin"/>
        </w:r>
        <w:r>
          <w:rPr>
            <w:webHidden/>
          </w:rPr>
          <w:instrText xml:space="preserve"> PAGEREF _Toc224807600 \h </w:instrText>
        </w:r>
        <w:r>
          <w:rPr>
            <w:webHidden/>
          </w:rPr>
        </w:r>
        <w:r>
          <w:rPr>
            <w:webHidden/>
          </w:rPr>
          <w:fldChar w:fldCharType="separate"/>
        </w:r>
        <w:r>
          <w:rPr>
            <w:webHidden/>
          </w:rPr>
          <w:t>31</w:t>
        </w:r>
        <w:r>
          <w:rPr>
            <w:webHidden/>
          </w:rPr>
          <w:fldChar w:fldCharType="end"/>
        </w:r>
      </w:hyperlink>
    </w:p>
    <w:p w14:paraId="5A8903DB" w14:textId="3A6A2592"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601" w:history="1">
        <w:r w:rsidRPr="00B5620D">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Straffskalan för äktenskapsresebrott skärps</w:t>
        </w:r>
        <w:r>
          <w:rPr>
            <w:webHidden/>
          </w:rPr>
          <w:tab/>
        </w:r>
        <w:r>
          <w:rPr>
            <w:webHidden/>
          </w:rPr>
          <w:fldChar w:fldCharType="begin"/>
        </w:r>
        <w:r>
          <w:rPr>
            <w:webHidden/>
          </w:rPr>
          <w:instrText xml:space="preserve"> PAGEREF _Toc224807601 \h </w:instrText>
        </w:r>
        <w:r>
          <w:rPr>
            <w:webHidden/>
          </w:rPr>
        </w:r>
        <w:r>
          <w:rPr>
            <w:webHidden/>
          </w:rPr>
          <w:fldChar w:fldCharType="separate"/>
        </w:r>
        <w:r>
          <w:rPr>
            <w:webHidden/>
          </w:rPr>
          <w:t>35</w:t>
        </w:r>
        <w:r>
          <w:rPr>
            <w:webHidden/>
          </w:rPr>
          <w:fldChar w:fldCharType="end"/>
        </w:r>
      </w:hyperlink>
    </w:p>
    <w:p w14:paraId="5565D308" w14:textId="72FF14B1"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602" w:history="1">
        <w:r w:rsidRPr="00B5620D">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Straffskalan för äktenskapsresebrott mot barn ska överensstämma med den för äktenskapsresebrott</w:t>
        </w:r>
        <w:r>
          <w:rPr>
            <w:webHidden/>
          </w:rPr>
          <w:tab/>
        </w:r>
        <w:r>
          <w:rPr>
            <w:webHidden/>
          </w:rPr>
          <w:fldChar w:fldCharType="begin"/>
        </w:r>
        <w:r>
          <w:rPr>
            <w:webHidden/>
          </w:rPr>
          <w:instrText xml:space="preserve"> PAGEREF _Toc224807602 \h </w:instrText>
        </w:r>
        <w:r>
          <w:rPr>
            <w:webHidden/>
          </w:rPr>
        </w:r>
        <w:r>
          <w:rPr>
            <w:webHidden/>
          </w:rPr>
          <w:fldChar w:fldCharType="separate"/>
        </w:r>
        <w:r>
          <w:rPr>
            <w:webHidden/>
          </w:rPr>
          <w:t>37</w:t>
        </w:r>
        <w:r>
          <w:rPr>
            <w:webHidden/>
          </w:rPr>
          <w:fldChar w:fldCharType="end"/>
        </w:r>
      </w:hyperlink>
    </w:p>
    <w:p w14:paraId="3E5DB804" w14:textId="5F871BE1" w:rsidR="000C5FBA" w:rsidRDefault="000C5FB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807603" w:history="1">
        <w:r w:rsidRPr="00B5620D">
          <w:rPr>
            <w:rStyle w:val="Hyperlnk"/>
            <w:rFonts w:eastAsiaTheme="majorEastAsia"/>
          </w:rPr>
          <w:t>5.3.4</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Straffskalan för hedersförtryck</w:t>
        </w:r>
        <w:r>
          <w:rPr>
            <w:webHidden/>
          </w:rPr>
          <w:tab/>
        </w:r>
        <w:r>
          <w:rPr>
            <w:webHidden/>
          </w:rPr>
          <w:fldChar w:fldCharType="begin"/>
        </w:r>
        <w:r>
          <w:rPr>
            <w:webHidden/>
          </w:rPr>
          <w:instrText xml:space="preserve"> PAGEREF _Toc224807603 \h </w:instrText>
        </w:r>
        <w:r>
          <w:rPr>
            <w:webHidden/>
          </w:rPr>
        </w:r>
        <w:r>
          <w:rPr>
            <w:webHidden/>
          </w:rPr>
          <w:fldChar w:fldCharType="separate"/>
        </w:r>
        <w:r>
          <w:rPr>
            <w:webHidden/>
          </w:rPr>
          <w:t>38</w:t>
        </w:r>
        <w:r>
          <w:rPr>
            <w:webHidden/>
          </w:rPr>
          <w:fldChar w:fldCharType="end"/>
        </w:r>
      </w:hyperlink>
    </w:p>
    <w:p w14:paraId="2C6950B0" w14:textId="4DB5CFF9"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04" w:history="1">
        <w:r w:rsidRPr="00B5620D">
          <w:rPr>
            <w:rStyle w:val="Hyperlnk"/>
          </w:rPr>
          <w:t>6</w:t>
        </w:r>
        <w:r>
          <w:rPr>
            <w:rFonts w:asciiTheme="minorHAnsi" w:eastAsiaTheme="minorEastAsia" w:hAnsiTheme="minorHAnsi"/>
            <w:kern w:val="2"/>
            <w:sz w:val="24"/>
            <w:szCs w:val="24"/>
            <w:lang w:eastAsia="sv-SE"/>
            <w14:ligatures w14:val="standardContextual"/>
          </w:rPr>
          <w:tab/>
        </w:r>
        <w:r w:rsidRPr="00B5620D">
          <w:rPr>
            <w:rStyle w:val="Hyperlnk"/>
          </w:rPr>
          <w:t>Hemliga tvångsmedel i utredningar om äktenskapstvång och barnäktenskapsbrott</w:t>
        </w:r>
        <w:r>
          <w:rPr>
            <w:webHidden/>
          </w:rPr>
          <w:tab/>
        </w:r>
        <w:r>
          <w:rPr>
            <w:webHidden/>
          </w:rPr>
          <w:fldChar w:fldCharType="begin"/>
        </w:r>
        <w:r>
          <w:rPr>
            <w:webHidden/>
          </w:rPr>
          <w:instrText xml:space="preserve"> PAGEREF _Toc224807604 \h </w:instrText>
        </w:r>
        <w:r>
          <w:rPr>
            <w:webHidden/>
          </w:rPr>
        </w:r>
        <w:r>
          <w:rPr>
            <w:webHidden/>
          </w:rPr>
          <w:fldChar w:fldCharType="separate"/>
        </w:r>
        <w:r>
          <w:rPr>
            <w:webHidden/>
          </w:rPr>
          <w:t>41</w:t>
        </w:r>
        <w:r>
          <w:rPr>
            <w:webHidden/>
          </w:rPr>
          <w:fldChar w:fldCharType="end"/>
        </w:r>
      </w:hyperlink>
    </w:p>
    <w:p w14:paraId="5F49449B" w14:textId="205EB8E9"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05" w:history="1">
        <w:r w:rsidRPr="00B5620D">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Allmänna utgångspunkter vid användningen av hemliga tvångsmedel</w:t>
        </w:r>
        <w:r>
          <w:rPr>
            <w:webHidden/>
          </w:rPr>
          <w:tab/>
        </w:r>
        <w:r>
          <w:rPr>
            <w:webHidden/>
          </w:rPr>
          <w:fldChar w:fldCharType="begin"/>
        </w:r>
        <w:r>
          <w:rPr>
            <w:webHidden/>
          </w:rPr>
          <w:instrText xml:space="preserve"> PAGEREF _Toc224807605 \h </w:instrText>
        </w:r>
        <w:r>
          <w:rPr>
            <w:webHidden/>
          </w:rPr>
        </w:r>
        <w:r>
          <w:rPr>
            <w:webHidden/>
          </w:rPr>
          <w:fldChar w:fldCharType="separate"/>
        </w:r>
        <w:r>
          <w:rPr>
            <w:webHidden/>
          </w:rPr>
          <w:t>41</w:t>
        </w:r>
        <w:r>
          <w:rPr>
            <w:webHidden/>
          </w:rPr>
          <w:fldChar w:fldCharType="end"/>
        </w:r>
      </w:hyperlink>
    </w:p>
    <w:p w14:paraId="18D9D1E4" w14:textId="2CB4F8AF"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06" w:history="1">
        <w:r w:rsidRPr="00B5620D">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Skyddet för den personliga integriteten</w:t>
        </w:r>
        <w:r>
          <w:rPr>
            <w:webHidden/>
          </w:rPr>
          <w:tab/>
        </w:r>
        <w:r>
          <w:rPr>
            <w:webHidden/>
          </w:rPr>
          <w:fldChar w:fldCharType="begin"/>
        </w:r>
        <w:r>
          <w:rPr>
            <w:webHidden/>
          </w:rPr>
          <w:instrText xml:space="preserve"> PAGEREF _Toc224807606 \h </w:instrText>
        </w:r>
        <w:r>
          <w:rPr>
            <w:webHidden/>
          </w:rPr>
        </w:r>
        <w:r>
          <w:rPr>
            <w:webHidden/>
          </w:rPr>
          <w:fldChar w:fldCharType="separate"/>
        </w:r>
        <w:r>
          <w:rPr>
            <w:webHidden/>
          </w:rPr>
          <w:t>42</w:t>
        </w:r>
        <w:r>
          <w:rPr>
            <w:webHidden/>
          </w:rPr>
          <w:fldChar w:fldCharType="end"/>
        </w:r>
      </w:hyperlink>
    </w:p>
    <w:p w14:paraId="7755DAA9" w14:textId="02EA8C33"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07" w:history="1">
        <w:r w:rsidRPr="00B5620D">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En avvägning mellan behov och integritetsintrång</w:t>
        </w:r>
        <w:r>
          <w:rPr>
            <w:webHidden/>
          </w:rPr>
          <w:tab/>
        </w:r>
        <w:r>
          <w:rPr>
            <w:webHidden/>
          </w:rPr>
          <w:fldChar w:fldCharType="begin"/>
        </w:r>
        <w:r>
          <w:rPr>
            <w:webHidden/>
          </w:rPr>
          <w:instrText xml:space="preserve"> PAGEREF _Toc224807607 \h </w:instrText>
        </w:r>
        <w:r>
          <w:rPr>
            <w:webHidden/>
          </w:rPr>
        </w:r>
        <w:r>
          <w:rPr>
            <w:webHidden/>
          </w:rPr>
          <w:fldChar w:fldCharType="separate"/>
        </w:r>
        <w:r>
          <w:rPr>
            <w:webHidden/>
          </w:rPr>
          <w:t>43</w:t>
        </w:r>
        <w:r>
          <w:rPr>
            <w:webHidden/>
          </w:rPr>
          <w:fldChar w:fldCharType="end"/>
        </w:r>
      </w:hyperlink>
    </w:p>
    <w:p w14:paraId="33B2867F" w14:textId="5F18CF9F"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08" w:history="1">
        <w:r w:rsidRPr="00B5620D">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Hemliga tvångsmedel ska få användas i utredningar om äktenskapstvång och barnäktenskapsbrott</w:t>
        </w:r>
        <w:r>
          <w:rPr>
            <w:webHidden/>
          </w:rPr>
          <w:tab/>
        </w:r>
        <w:r>
          <w:rPr>
            <w:webHidden/>
          </w:rPr>
          <w:fldChar w:fldCharType="begin"/>
        </w:r>
        <w:r>
          <w:rPr>
            <w:webHidden/>
          </w:rPr>
          <w:instrText xml:space="preserve"> PAGEREF _Toc224807608 \h </w:instrText>
        </w:r>
        <w:r>
          <w:rPr>
            <w:webHidden/>
          </w:rPr>
        </w:r>
        <w:r>
          <w:rPr>
            <w:webHidden/>
          </w:rPr>
          <w:fldChar w:fldCharType="separate"/>
        </w:r>
        <w:r>
          <w:rPr>
            <w:webHidden/>
          </w:rPr>
          <w:t>44</w:t>
        </w:r>
        <w:r>
          <w:rPr>
            <w:webHidden/>
          </w:rPr>
          <w:fldChar w:fldCharType="end"/>
        </w:r>
      </w:hyperlink>
    </w:p>
    <w:p w14:paraId="62DE8EC6" w14:textId="570A7340"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09" w:history="1">
        <w:r w:rsidRPr="00B5620D">
          <w:rPr>
            <w:rStyle w:val="Hyperlnk"/>
          </w:rPr>
          <w:t>7</w:t>
        </w:r>
        <w:r>
          <w:rPr>
            <w:rFonts w:asciiTheme="minorHAnsi" w:eastAsiaTheme="minorEastAsia" w:hAnsiTheme="minorHAnsi"/>
            <w:kern w:val="2"/>
            <w:sz w:val="24"/>
            <w:szCs w:val="24"/>
            <w:lang w:eastAsia="sv-SE"/>
            <w14:ligatures w14:val="standardContextual"/>
          </w:rPr>
          <w:tab/>
        </w:r>
        <w:r w:rsidRPr="00B5620D">
          <w:rPr>
            <w:rStyle w:val="Hyperlnk"/>
          </w:rPr>
          <w:t>Otillåtna utländska äktenskap</w:t>
        </w:r>
        <w:r>
          <w:rPr>
            <w:webHidden/>
          </w:rPr>
          <w:tab/>
        </w:r>
        <w:r>
          <w:rPr>
            <w:webHidden/>
          </w:rPr>
          <w:fldChar w:fldCharType="begin"/>
        </w:r>
        <w:r>
          <w:rPr>
            <w:webHidden/>
          </w:rPr>
          <w:instrText xml:space="preserve"> PAGEREF _Toc224807609 \h </w:instrText>
        </w:r>
        <w:r>
          <w:rPr>
            <w:webHidden/>
          </w:rPr>
        </w:r>
        <w:r>
          <w:rPr>
            <w:webHidden/>
          </w:rPr>
          <w:fldChar w:fldCharType="separate"/>
        </w:r>
        <w:r>
          <w:rPr>
            <w:webHidden/>
          </w:rPr>
          <w:t>51</w:t>
        </w:r>
        <w:r>
          <w:rPr>
            <w:webHidden/>
          </w:rPr>
          <w:fldChar w:fldCharType="end"/>
        </w:r>
      </w:hyperlink>
    </w:p>
    <w:p w14:paraId="0F183D91" w14:textId="26516B67"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10" w:history="1">
        <w:r w:rsidRPr="00B5620D">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Erkännande av utländska äktenskap</w:t>
        </w:r>
        <w:r>
          <w:rPr>
            <w:webHidden/>
          </w:rPr>
          <w:tab/>
        </w:r>
        <w:r>
          <w:rPr>
            <w:webHidden/>
          </w:rPr>
          <w:fldChar w:fldCharType="begin"/>
        </w:r>
        <w:r>
          <w:rPr>
            <w:webHidden/>
          </w:rPr>
          <w:instrText xml:space="preserve"> PAGEREF _Toc224807610 \h </w:instrText>
        </w:r>
        <w:r>
          <w:rPr>
            <w:webHidden/>
          </w:rPr>
        </w:r>
        <w:r>
          <w:rPr>
            <w:webHidden/>
          </w:rPr>
          <w:fldChar w:fldCharType="separate"/>
        </w:r>
        <w:r>
          <w:rPr>
            <w:webHidden/>
          </w:rPr>
          <w:t>51</w:t>
        </w:r>
        <w:r>
          <w:rPr>
            <w:webHidden/>
          </w:rPr>
          <w:fldChar w:fldCharType="end"/>
        </w:r>
      </w:hyperlink>
    </w:p>
    <w:p w14:paraId="2FFE8BEA" w14:textId="2BCF184B"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11" w:history="1">
        <w:r w:rsidRPr="00B5620D">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Tidigare reformer</w:t>
        </w:r>
        <w:r>
          <w:rPr>
            <w:webHidden/>
          </w:rPr>
          <w:tab/>
        </w:r>
        <w:r>
          <w:rPr>
            <w:webHidden/>
          </w:rPr>
          <w:fldChar w:fldCharType="begin"/>
        </w:r>
        <w:r>
          <w:rPr>
            <w:webHidden/>
          </w:rPr>
          <w:instrText xml:space="preserve"> PAGEREF _Toc224807611 \h </w:instrText>
        </w:r>
        <w:r>
          <w:rPr>
            <w:webHidden/>
          </w:rPr>
        </w:r>
        <w:r>
          <w:rPr>
            <w:webHidden/>
          </w:rPr>
          <w:fldChar w:fldCharType="separate"/>
        </w:r>
        <w:r>
          <w:rPr>
            <w:webHidden/>
          </w:rPr>
          <w:t>52</w:t>
        </w:r>
        <w:r>
          <w:rPr>
            <w:webHidden/>
          </w:rPr>
          <w:fldChar w:fldCharType="end"/>
        </w:r>
      </w:hyperlink>
    </w:p>
    <w:p w14:paraId="534A583D" w14:textId="33790B1F" w:rsidR="000C5FBA" w:rsidRDefault="000C5FBA">
      <w:pPr>
        <w:pStyle w:val="Innehll2"/>
        <w:rPr>
          <w:rFonts w:asciiTheme="minorHAnsi" w:eastAsiaTheme="minorEastAsia" w:hAnsiTheme="minorHAnsi" w:cstheme="minorBidi"/>
          <w:kern w:val="2"/>
          <w:sz w:val="24"/>
          <w:szCs w:val="24"/>
          <w:lang w:eastAsia="sv-SE"/>
          <w14:ligatures w14:val="standardContextual"/>
        </w:rPr>
      </w:pPr>
      <w:hyperlink w:anchor="_Toc224807612" w:history="1">
        <w:r w:rsidRPr="00B5620D">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Otillåtna utländska äktenskap ska aldrig erkännas</w:t>
        </w:r>
        <w:r>
          <w:rPr>
            <w:webHidden/>
          </w:rPr>
          <w:tab/>
        </w:r>
        <w:r>
          <w:rPr>
            <w:webHidden/>
          </w:rPr>
          <w:fldChar w:fldCharType="begin"/>
        </w:r>
        <w:r>
          <w:rPr>
            <w:webHidden/>
          </w:rPr>
          <w:instrText xml:space="preserve"> PAGEREF _Toc224807612 \h </w:instrText>
        </w:r>
        <w:r>
          <w:rPr>
            <w:webHidden/>
          </w:rPr>
        </w:r>
        <w:r>
          <w:rPr>
            <w:webHidden/>
          </w:rPr>
          <w:fldChar w:fldCharType="separate"/>
        </w:r>
        <w:r>
          <w:rPr>
            <w:webHidden/>
          </w:rPr>
          <w:t>53</w:t>
        </w:r>
        <w:r>
          <w:rPr>
            <w:webHidden/>
          </w:rPr>
          <w:fldChar w:fldCharType="end"/>
        </w:r>
      </w:hyperlink>
    </w:p>
    <w:p w14:paraId="6627F9E5" w14:textId="02CDDB62"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13" w:history="1">
        <w:r w:rsidRPr="00B5620D">
          <w:rPr>
            <w:rStyle w:val="Hyperlnk"/>
          </w:rPr>
          <w:t>8</w:t>
        </w:r>
        <w:r>
          <w:rPr>
            <w:rFonts w:asciiTheme="minorHAnsi" w:eastAsiaTheme="minorEastAsia" w:hAnsiTheme="minorHAnsi"/>
            <w:kern w:val="2"/>
            <w:sz w:val="24"/>
            <w:szCs w:val="24"/>
            <w:lang w:eastAsia="sv-SE"/>
            <w14:ligatures w14:val="standardContextual"/>
          </w:rPr>
          <w:tab/>
        </w:r>
        <w:r w:rsidRPr="00B5620D">
          <w:rPr>
            <w:rStyle w:val="Hyperlnk"/>
          </w:rPr>
          <w:t>Fullmaktsäktenskap</w:t>
        </w:r>
        <w:r>
          <w:rPr>
            <w:webHidden/>
          </w:rPr>
          <w:tab/>
        </w:r>
        <w:r>
          <w:rPr>
            <w:webHidden/>
          </w:rPr>
          <w:fldChar w:fldCharType="begin"/>
        </w:r>
        <w:r>
          <w:rPr>
            <w:webHidden/>
          </w:rPr>
          <w:instrText xml:space="preserve"> PAGEREF _Toc224807613 \h </w:instrText>
        </w:r>
        <w:r>
          <w:rPr>
            <w:webHidden/>
          </w:rPr>
        </w:r>
        <w:r>
          <w:rPr>
            <w:webHidden/>
          </w:rPr>
          <w:fldChar w:fldCharType="separate"/>
        </w:r>
        <w:r>
          <w:rPr>
            <w:webHidden/>
          </w:rPr>
          <w:t>64</w:t>
        </w:r>
        <w:r>
          <w:rPr>
            <w:webHidden/>
          </w:rPr>
          <w:fldChar w:fldCharType="end"/>
        </w:r>
      </w:hyperlink>
    </w:p>
    <w:p w14:paraId="26AAA8F3" w14:textId="18BCB2AA"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14" w:history="1">
        <w:r w:rsidRPr="00B5620D">
          <w:rPr>
            <w:rStyle w:val="Hyperlnk"/>
          </w:rPr>
          <w:t>9</w:t>
        </w:r>
        <w:r>
          <w:rPr>
            <w:rFonts w:asciiTheme="minorHAnsi" w:eastAsiaTheme="minorEastAsia" w:hAnsiTheme="minorHAnsi"/>
            <w:kern w:val="2"/>
            <w:sz w:val="24"/>
            <w:szCs w:val="24"/>
            <w:lang w:eastAsia="sv-SE"/>
            <w14:ligatures w14:val="standardContextual"/>
          </w:rPr>
          <w:tab/>
        </w:r>
        <w:r w:rsidRPr="00B5620D">
          <w:rPr>
            <w:rStyle w:val="Hyperlnk"/>
          </w:rPr>
          <w:t>Ikraftträdande- och övergångsbestämmelser</w:t>
        </w:r>
        <w:r>
          <w:rPr>
            <w:webHidden/>
          </w:rPr>
          <w:tab/>
        </w:r>
        <w:r>
          <w:rPr>
            <w:webHidden/>
          </w:rPr>
          <w:fldChar w:fldCharType="begin"/>
        </w:r>
        <w:r>
          <w:rPr>
            <w:webHidden/>
          </w:rPr>
          <w:instrText xml:space="preserve"> PAGEREF _Toc224807614 \h </w:instrText>
        </w:r>
        <w:r>
          <w:rPr>
            <w:webHidden/>
          </w:rPr>
        </w:r>
        <w:r>
          <w:rPr>
            <w:webHidden/>
          </w:rPr>
          <w:fldChar w:fldCharType="separate"/>
        </w:r>
        <w:r>
          <w:rPr>
            <w:webHidden/>
          </w:rPr>
          <w:t>67</w:t>
        </w:r>
        <w:r>
          <w:rPr>
            <w:webHidden/>
          </w:rPr>
          <w:fldChar w:fldCharType="end"/>
        </w:r>
      </w:hyperlink>
    </w:p>
    <w:p w14:paraId="7C20352F" w14:textId="304D1B44"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15" w:history="1">
        <w:r w:rsidRPr="00B5620D">
          <w:rPr>
            <w:rStyle w:val="Hyperlnk"/>
          </w:rPr>
          <w:t>10</w:t>
        </w:r>
        <w:r>
          <w:rPr>
            <w:rFonts w:asciiTheme="minorHAnsi" w:eastAsiaTheme="minorEastAsia" w:hAnsiTheme="minorHAnsi"/>
            <w:kern w:val="2"/>
            <w:sz w:val="24"/>
            <w:szCs w:val="24"/>
            <w:lang w:eastAsia="sv-SE"/>
            <w14:ligatures w14:val="standardContextual"/>
          </w:rPr>
          <w:tab/>
        </w:r>
        <w:r w:rsidRPr="00B5620D">
          <w:rPr>
            <w:rStyle w:val="Hyperlnk"/>
          </w:rPr>
          <w:t>Konsekvenser</w:t>
        </w:r>
        <w:r>
          <w:rPr>
            <w:webHidden/>
          </w:rPr>
          <w:tab/>
        </w:r>
        <w:r>
          <w:rPr>
            <w:webHidden/>
          </w:rPr>
          <w:fldChar w:fldCharType="begin"/>
        </w:r>
        <w:r>
          <w:rPr>
            <w:webHidden/>
          </w:rPr>
          <w:instrText xml:space="preserve"> PAGEREF _Toc224807615 \h </w:instrText>
        </w:r>
        <w:r>
          <w:rPr>
            <w:webHidden/>
          </w:rPr>
        </w:r>
        <w:r>
          <w:rPr>
            <w:webHidden/>
          </w:rPr>
          <w:fldChar w:fldCharType="separate"/>
        </w:r>
        <w:r>
          <w:rPr>
            <w:webHidden/>
          </w:rPr>
          <w:t>71</w:t>
        </w:r>
        <w:r>
          <w:rPr>
            <w:webHidden/>
          </w:rPr>
          <w:fldChar w:fldCharType="end"/>
        </w:r>
      </w:hyperlink>
    </w:p>
    <w:p w14:paraId="7AA55424" w14:textId="5B30A9C8"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16" w:history="1">
        <w:r w:rsidRPr="00B5620D">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Konsekvenser för det brottsbekämpande arbetet och för enskilda</w:t>
        </w:r>
        <w:r>
          <w:rPr>
            <w:webHidden/>
          </w:rPr>
          <w:tab/>
        </w:r>
        <w:r>
          <w:rPr>
            <w:webHidden/>
          </w:rPr>
          <w:fldChar w:fldCharType="begin"/>
        </w:r>
        <w:r>
          <w:rPr>
            <w:webHidden/>
          </w:rPr>
          <w:instrText xml:space="preserve"> PAGEREF _Toc224807616 \h </w:instrText>
        </w:r>
        <w:r>
          <w:rPr>
            <w:webHidden/>
          </w:rPr>
        </w:r>
        <w:r>
          <w:rPr>
            <w:webHidden/>
          </w:rPr>
          <w:fldChar w:fldCharType="separate"/>
        </w:r>
        <w:r>
          <w:rPr>
            <w:webHidden/>
          </w:rPr>
          <w:t>71</w:t>
        </w:r>
        <w:r>
          <w:rPr>
            <w:webHidden/>
          </w:rPr>
          <w:fldChar w:fldCharType="end"/>
        </w:r>
      </w:hyperlink>
    </w:p>
    <w:p w14:paraId="3399E3E3" w14:textId="728EAC66"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17" w:history="1">
        <w:r w:rsidRPr="00B5620D">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Ekonomiska konsekvenser</w:t>
        </w:r>
        <w:r>
          <w:rPr>
            <w:webHidden/>
          </w:rPr>
          <w:tab/>
        </w:r>
        <w:r>
          <w:rPr>
            <w:webHidden/>
          </w:rPr>
          <w:fldChar w:fldCharType="begin"/>
        </w:r>
        <w:r>
          <w:rPr>
            <w:webHidden/>
          </w:rPr>
          <w:instrText xml:space="preserve"> PAGEREF _Toc224807617 \h </w:instrText>
        </w:r>
        <w:r>
          <w:rPr>
            <w:webHidden/>
          </w:rPr>
        </w:r>
        <w:r>
          <w:rPr>
            <w:webHidden/>
          </w:rPr>
          <w:fldChar w:fldCharType="separate"/>
        </w:r>
        <w:r>
          <w:rPr>
            <w:webHidden/>
          </w:rPr>
          <w:t>74</w:t>
        </w:r>
        <w:r>
          <w:rPr>
            <w:webHidden/>
          </w:rPr>
          <w:fldChar w:fldCharType="end"/>
        </w:r>
      </w:hyperlink>
    </w:p>
    <w:p w14:paraId="31C84A37" w14:textId="423FC635" w:rsidR="000C5FBA" w:rsidRDefault="000C5FBA">
      <w:pPr>
        <w:pStyle w:val="Innehll1"/>
        <w:rPr>
          <w:rFonts w:asciiTheme="minorHAnsi" w:eastAsiaTheme="minorEastAsia" w:hAnsiTheme="minorHAnsi"/>
          <w:kern w:val="2"/>
          <w:sz w:val="24"/>
          <w:szCs w:val="24"/>
          <w:lang w:eastAsia="sv-SE"/>
          <w14:ligatures w14:val="standardContextual"/>
        </w:rPr>
      </w:pPr>
      <w:hyperlink w:anchor="_Toc224807618" w:history="1">
        <w:r w:rsidRPr="00B5620D">
          <w:rPr>
            <w:rStyle w:val="Hyperlnk"/>
          </w:rPr>
          <w:t>11</w:t>
        </w:r>
        <w:r>
          <w:rPr>
            <w:rFonts w:asciiTheme="minorHAnsi" w:eastAsiaTheme="minorEastAsia" w:hAnsiTheme="minorHAnsi"/>
            <w:kern w:val="2"/>
            <w:sz w:val="24"/>
            <w:szCs w:val="24"/>
            <w:lang w:eastAsia="sv-SE"/>
            <w14:ligatures w14:val="standardContextual"/>
          </w:rPr>
          <w:tab/>
        </w:r>
        <w:r w:rsidRPr="00B5620D">
          <w:rPr>
            <w:rStyle w:val="Hyperlnk"/>
          </w:rPr>
          <w:t>Författningskommentar</w:t>
        </w:r>
        <w:r>
          <w:rPr>
            <w:webHidden/>
          </w:rPr>
          <w:tab/>
        </w:r>
        <w:r>
          <w:rPr>
            <w:webHidden/>
          </w:rPr>
          <w:fldChar w:fldCharType="begin"/>
        </w:r>
        <w:r>
          <w:rPr>
            <w:webHidden/>
          </w:rPr>
          <w:instrText xml:space="preserve"> PAGEREF _Toc224807618 \h </w:instrText>
        </w:r>
        <w:r>
          <w:rPr>
            <w:webHidden/>
          </w:rPr>
        </w:r>
        <w:r>
          <w:rPr>
            <w:webHidden/>
          </w:rPr>
          <w:fldChar w:fldCharType="separate"/>
        </w:r>
        <w:r>
          <w:rPr>
            <w:webHidden/>
          </w:rPr>
          <w:t>77</w:t>
        </w:r>
        <w:r>
          <w:rPr>
            <w:webHidden/>
          </w:rPr>
          <w:fldChar w:fldCharType="end"/>
        </w:r>
      </w:hyperlink>
    </w:p>
    <w:p w14:paraId="6BD3F625" w14:textId="59825097"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19" w:history="1">
        <w:r w:rsidRPr="00B5620D">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_Toc224807619 \h </w:instrText>
        </w:r>
        <w:r>
          <w:rPr>
            <w:webHidden/>
          </w:rPr>
        </w:r>
        <w:r>
          <w:rPr>
            <w:webHidden/>
          </w:rPr>
          <w:fldChar w:fldCharType="separate"/>
        </w:r>
        <w:r>
          <w:rPr>
            <w:webHidden/>
          </w:rPr>
          <w:t>77</w:t>
        </w:r>
        <w:r>
          <w:rPr>
            <w:webHidden/>
          </w:rPr>
          <w:fldChar w:fldCharType="end"/>
        </w:r>
      </w:hyperlink>
    </w:p>
    <w:p w14:paraId="3D96E54C" w14:textId="691CEE19"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20" w:history="1">
        <w:r w:rsidRPr="00B5620D">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Förslaget till lag om ändring i brottsbalken</w:t>
        </w:r>
        <w:r>
          <w:rPr>
            <w:webHidden/>
          </w:rPr>
          <w:tab/>
        </w:r>
        <w:r>
          <w:rPr>
            <w:webHidden/>
          </w:rPr>
          <w:fldChar w:fldCharType="begin"/>
        </w:r>
        <w:r>
          <w:rPr>
            <w:webHidden/>
          </w:rPr>
          <w:instrText xml:space="preserve"> PAGEREF _Toc224807620 \h </w:instrText>
        </w:r>
        <w:r>
          <w:rPr>
            <w:webHidden/>
          </w:rPr>
        </w:r>
        <w:r>
          <w:rPr>
            <w:webHidden/>
          </w:rPr>
          <w:fldChar w:fldCharType="separate"/>
        </w:r>
        <w:r>
          <w:rPr>
            <w:webHidden/>
          </w:rPr>
          <w:t>80</w:t>
        </w:r>
        <w:r>
          <w:rPr>
            <w:webHidden/>
          </w:rPr>
          <w:fldChar w:fldCharType="end"/>
        </w:r>
      </w:hyperlink>
    </w:p>
    <w:p w14:paraId="60E77830" w14:textId="610E0D89"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21" w:history="1">
        <w:r w:rsidRPr="00B5620D">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Förslaget till lag om ändring i äktenskapsbalken</w:t>
        </w:r>
        <w:r>
          <w:rPr>
            <w:webHidden/>
          </w:rPr>
          <w:tab/>
        </w:r>
        <w:r>
          <w:rPr>
            <w:webHidden/>
          </w:rPr>
          <w:fldChar w:fldCharType="begin"/>
        </w:r>
        <w:r>
          <w:rPr>
            <w:webHidden/>
          </w:rPr>
          <w:instrText xml:space="preserve"> PAGEREF _Toc224807621 \h </w:instrText>
        </w:r>
        <w:r>
          <w:rPr>
            <w:webHidden/>
          </w:rPr>
        </w:r>
        <w:r>
          <w:rPr>
            <w:webHidden/>
          </w:rPr>
          <w:fldChar w:fldCharType="separate"/>
        </w:r>
        <w:r>
          <w:rPr>
            <w:webHidden/>
          </w:rPr>
          <w:t>85</w:t>
        </w:r>
        <w:r>
          <w:rPr>
            <w:webHidden/>
          </w:rPr>
          <w:fldChar w:fldCharType="end"/>
        </w:r>
      </w:hyperlink>
    </w:p>
    <w:p w14:paraId="2AFAB2A3" w14:textId="34A43DCE" w:rsidR="000C5FBA" w:rsidRDefault="000C5F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807622" w:history="1">
        <w:r w:rsidRPr="00B5620D">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B5620D">
          <w:rPr>
            <w:rStyle w:val="Hyperlnk"/>
            <w:rFonts w:eastAsiaTheme="majorEastAsia"/>
          </w:rPr>
          <w:t>Förslaget till lag om ändring i lagen (1904:26 s.</w:t>
        </w:r>
        <w:r w:rsidRPr="00B5620D">
          <w:rPr>
            <w:rStyle w:val="Hyperlnk"/>
            <w:rFonts w:ascii="Cambria" w:eastAsiaTheme="majorEastAsia" w:hAnsi="Cambria"/>
          </w:rPr>
          <w:t> </w:t>
        </w:r>
        <w:r w:rsidRPr="00B5620D">
          <w:rPr>
            <w:rStyle w:val="Hyperlnk"/>
            <w:rFonts w:eastAsiaTheme="majorEastAsia"/>
          </w:rPr>
          <w:t>1) om vissa internationella rättsförhållanden rörande äktenskap och förmynderskap</w:t>
        </w:r>
        <w:r>
          <w:rPr>
            <w:webHidden/>
          </w:rPr>
          <w:tab/>
        </w:r>
        <w:r>
          <w:rPr>
            <w:webHidden/>
          </w:rPr>
          <w:fldChar w:fldCharType="begin"/>
        </w:r>
        <w:r>
          <w:rPr>
            <w:webHidden/>
          </w:rPr>
          <w:instrText xml:space="preserve"> PAGEREF _Toc224807622 \h </w:instrText>
        </w:r>
        <w:r>
          <w:rPr>
            <w:webHidden/>
          </w:rPr>
        </w:r>
        <w:r>
          <w:rPr>
            <w:webHidden/>
          </w:rPr>
          <w:fldChar w:fldCharType="separate"/>
        </w:r>
        <w:r>
          <w:rPr>
            <w:webHidden/>
          </w:rPr>
          <w:t>86</w:t>
        </w:r>
        <w:r>
          <w:rPr>
            <w:webHidden/>
          </w:rPr>
          <w:fldChar w:fldCharType="end"/>
        </w:r>
      </w:hyperlink>
    </w:p>
    <w:p w14:paraId="6EA3F1F3" w14:textId="1032FD13" w:rsidR="000C5FBA" w:rsidRDefault="000C5FBA">
      <w:pPr>
        <w:pStyle w:val="Innehll4"/>
        <w:rPr>
          <w:rFonts w:asciiTheme="minorHAnsi" w:eastAsiaTheme="minorEastAsia" w:hAnsiTheme="minorHAnsi"/>
          <w:noProof/>
          <w:kern w:val="2"/>
          <w:sz w:val="24"/>
          <w:szCs w:val="24"/>
          <w:lang w:eastAsia="sv-SE"/>
          <w14:ligatures w14:val="standardContextual"/>
        </w:rPr>
      </w:pPr>
      <w:hyperlink w:anchor="_Toc224807623" w:history="1">
        <w:r w:rsidRPr="00B5620D">
          <w:rPr>
            <w:rStyle w:val="Hyperlnk"/>
            <w:noProof/>
          </w:rPr>
          <w:t>Sammanfattning av betänkandet Stärkt lagstiftning mot hedersrelaterat våld och förtryck (SOU 2025:59)</w:t>
        </w:r>
        <w:r>
          <w:rPr>
            <w:noProof/>
            <w:webHidden/>
          </w:rPr>
          <w:tab/>
        </w:r>
        <w:r>
          <w:rPr>
            <w:noProof/>
            <w:webHidden/>
          </w:rPr>
          <w:fldChar w:fldCharType="begin"/>
        </w:r>
        <w:r>
          <w:rPr>
            <w:noProof/>
            <w:webHidden/>
          </w:rPr>
          <w:instrText xml:space="preserve"> PAGEREF _Toc224807623 \h </w:instrText>
        </w:r>
        <w:r>
          <w:rPr>
            <w:noProof/>
            <w:webHidden/>
          </w:rPr>
        </w:r>
        <w:r>
          <w:rPr>
            <w:noProof/>
            <w:webHidden/>
          </w:rPr>
          <w:fldChar w:fldCharType="separate"/>
        </w:r>
        <w:r>
          <w:rPr>
            <w:noProof/>
            <w:webHidden/>
          </w:rPr>
          <w:t>88</w:t>
        </w:r>
        <w:r>
          <w:rPr>
            <w:noProof/>
            <w:webHidden/>
          </w:rPr>
          <w:fldChar w:fldCharType="end"/>
        </w:r>
      </w:hyperlink>
    </w:p>
    <w:p w14:paraId="2285F635" w14:textId="5FF3098B" w:rsidR="000C5FBA" w:rsidRDefault="000C5FBA">
      <w:pPr>
        <w:pStyle w:val="Innehll4"/>
        <w:rPr>
          <w:rFonts w:asciiTheme="minorHAnsi" w:eastAsiaTheme="minorEastAsia" w:hAnsiTheme="minorHAnsi"/>
          <w:noProof/>
          <w:kern w:val="2"/>
          <w:sz w:val="24"/>
          <w:szCs w:val="24"/>
          <w:lang w:eastAsia="sv-SE"/>
          <w14:ligatures w14:val="standardContextual"/>
        </w:rPr>
      </w:pPr>
      <w:hyperlink w:anchor="_Toc224807624" w:history="1">
        <w:r w:rsidRPr="00B5620D">
          <w:rPr>
            <w:rStyle w:val="Hyperlnk"/>
            <w:noProof/>
          </w:rPr>
          <w:t>Betänkandets lagförslag</w:t>
        </w:r>
        <w:r>
          <w:rPr>
            <w:noProof/>
            <w:webHidden/>
          </w:rPr>
          <w:tab/>
        </w:r>
        <w:r>
          <w:rPr>
            <w:noProof/>
            <w:webHidden/>
          </w:rPr>
          <w:fldChar w:fldCharType="begin"/>
        </w:r>
        <w:r>
          <w:rPr>
            <w:noProof/>
            <w:webHidden/>
          </w:rPr>
          <w:instrText xml:space="preserve"> PAGEREF _Toc224807624 \h </w:instrText>
        </w:r>
        <w:r>
          <w:rPr>
            <w:noProof/>
            <w:webHidden/>
          </w:rPr>
        </w:r>
        <w:r>
          <w:rPr>
            <w:noProof/>
            <w:webHidden/>
          </w:rPr>
          <w:fldChar w:fldCharType="separate"/>
        </w:r>
        <w:r>
          <w:rPr>
            <w:noProof/>
            <w:webHidden/>
          </w:rPr>
          <w:t>96</w:t>
        </w:r>
        <w:r>
          <w:rPr>
            <w:noProof/>
            <w:webHidden/>
          </w:rPr>
          <w:fldChar w:fldCharType="end"/>
        </w:r>
      </w:hyperlink>
    </w:p>
    <w:p w14:paraId="08431DB5" w14:textId="74D9CB49" w:rsidR="000C5FBA" w:rsidRDefault="000C5FBA">
      <w:pPr>
        <w:pStyle w:val="Innehll4"/>
        <w:rPr>
          <w:rFonts w:asciiTheme="minorHAnsi" w:eastAsiaTheme="minorEastAsia" w:hAnsiTheme="minorHAnsi"/>
          <w:noProof/>
          <w:kern w:val="2"/>
          <w:sz w:val="24"/>
          <w:szCs w:val="24"/>
          <w:lang w:eastAsia="sv-SE"/>
          <w14:ligatures w14:val="standardContextual"/>
        </w:rPr>
      </w:pPr>
      <w:hyperlink w:anchor="_Toc224807625" w:history="1">
        <w:r w:rsidRPr="00B5620D">
          <w:rPr>
            <w:rStyle w:val="Hyperlnk"/>
            <w:noProof/>
          </w:rPr>
          <w:t>Förteckning över remissinstanserna</w:t>
        </w:r>
        <w:r>
          <w:rPr>
            <w:noProof/>
            <w:webHidden/>
          </w:rPr>
          <w:tab/>
        </w:r>
        <w:r>
          <w:rPr>
            <w:noProof/>
            <w:webHidden/>
          </w:rPr>
          <w:fldChar w:fldCharType="begin"/>
        </w:r>
        <w:r>
          <w:rPr>
            <w:noProof/>
            <w:webHidden/>
          </w:rPr>
          <w:instrText xml:space="preserve"> PAGEREF _Toc224807625 \h </w:instrText>
        </w:r>
        <w:r>
          <w:rPr>
            <w:noProof/>
            <w:webHidden/>
          </w:rPr>
        </w:r>
        <w:r>
          <w:rPr>
            <w:noProof/>
            <w:webHidden/>
          </w:rPr>
          <w:fldChar w:fldCharType="separate"/>
        </w:r>
        <w:r>
          <w:rPr>
            <w:noProof/>
            <w:webHidden/>
          </w:rPr>
          <w:t>102</w:t>
        </w:r>
        <w:r>
          <w:rPr>
            <w:noProof/>
            <w:webHidden/>
          </w:rPr>
          <w:fldChar w:fldCharType="end"/>
        </w:r>
      </w:hyperlink>
    </w:p>
    <w:p w14:paraId="11D7630D" w14:textId="7D09F897" w:rsidR="000C5FBA" w:rsidRDefault="000C5FBA">
      <w:pPr>
        <w:pStyle w:val="Innehll4"/>
        <w:rPr>
          <w:rFonts w:asciiTheme="minorHAnsi" w:eastAsiaTheme="minorEastAsia" w:hAnsiTheme="minorHAnsi"/>
          <w:noProof/>
          <w:kern w:val="2"/>
          <w:sz w:val="24"/>
          <w:szCs w:val="24"/>
          <w:lang w:eastAsia="sv-SE"/>
          <w14:ligatures w14:val="standardContextual"/>
        </w:rPr>
      </w:pPr>
      <w:hyperlink w:anchor="_Toc224807626" w:history="1">
        <w:r w:rsidRPr="00B5620D">
          <w:rPr>
            <w:rStyle w:val="Hyperlnk"/>
            <w:noProof/>
          </w:rPr>
          <w:t>Lagrådsremissens lagförslag</w:t>
        </w:r>
        <w:r>
          <w:rPr>
            <w:noProof/>
            <w:webHidden/>
          </w:rPr>
          <w:tab/>
        </w:r>
        <w:r>
          <w:rPr>
            <w:noProof/>
            <w:webHidden/>
          </w:rPr>
          <w:fldChar w:fldCharType="begin"/>
        </w:r>
        <w:r>
          <w:rPr>
            <w:noProof/>
            <w:webHidden/>
          </w:rPr>
          <w:instrText xml:space="preserve"> PAGEREF _Toc224807626 \h </w:instrText>
        </w:r>
        <w:r>
          <w:rPr>
            <w:noProof/>
            <w:webHidden/>
          </w:rPr>
        </w:r>
        <w:r>
          <w:rPr>
            <w:noProof/>
            <w:webHidden/>
          </w:rPr>
          <w:fldChar w:fldCharType="separate"/>
        </w:r>
        <w:r>
          <w:rPr>
            <w:noProof/>
            <w:webHidden/>
          </w:rPr>
          <w:t>103</w:t>
        </w:r>
        <w:r>
          <w:rPr>
            <w:noProof/>
            <w:webHidden/>
          </w:rPr>
          <w:fldChar w:fldCharType="end"/>
        </w:r>
      </w:hyperlink>
    </w:p>
    <w:p w14:paraId="0EFFA957" w14:textId="538A1255" w:rsidR="000C5FBA" w:rsidRDefault="000C5FBA">
      <w:pPr>
        <w:pStyle w:val="Innehll4"/>
        <w:rPr>
          <w:rFonts w:asciiTheme="minorHAnsi" w:eastAsiaTheme="minorEastAsia" w:hAnsiTheme="minorHAnsi"/>
          <w:noProof/>
          <w:kern w:val="2"/>
          <w:sz w:val="24"/>
          <w:szCs w:val="24"/>
          <w:lang w:eastAsia="sv-SE"/>
          <w14:ligatures w14:val="standardContextual"/>
        </w:rPr>
      </w:pPr>
      <w:hyperlink w:anchor="_Toc224807627" w:history="1">
        <w:r w:rsidRPr="00B5620D">
          <w:rPr>
            <w:rStyle w:val="Hyperlnk"/>
            <w:noProof/>
          </w:rPr>
          <w:t>Lagrådets yttrande</w:t>
        </w:r>
        <w:r>
          <w:rPr>
            <w:noProof/>
            <w:webHidden/>
          </w:rPr>
          <w:tab/>
        </w:r>
        <w:r>
          <w:rPr>
            <w:noProof/>
            <w:webHidden/>
          </w:rPr>
          <w:fldChar w:fldCharType="begin"/>
        </w:r>
        <w:r>
          <w:rPr>
            <w:noProof/>
            <w:webHidden/>
          </w:rPr>
          <w:instrText xml:space="preserve"> PAGEREF _Toc224807627 \h </w:instrText>
        </w:r>
        <w:r>
          <w:rPr>
            <w:noProof/>
            <w:webHidden/>
          </w:rPr>
        </w:r>
        <w:r>
          <w:rPr>
            <w:noProof/>
            <w:webHidden/>
          </w:rPr>
          <w:fldChar w:fldCharType="separate"/>
        </w:r>
        <w:r>
          <w:rPr>
            <w:noProof/>
            <w:webHidden/>
          </w:rPr>
          <w:t>112</w:t>
        </w:r>
        <w:r>
          <w:rPr>
            <w:noProof/>
            <w:webHidden/>
          </w:rPr>
          <w:fldChar w:fldCharType="end"/>
        </w:r>
      </w:hyperlink>
    </w:p>
    <w:p w14:paraId="01102A41" w14:textId="379796EC" w:rsidR="000C5FBA" w:rsidRDefault="000C5FBA">
      <w:pPr>
        <w:pStyle w:val="Innehll5"/>
        <w:rPr>
          <w:rFonts w:asciiTheme="minorHAnsi" w:eastAsiaTheme="minorEastAsia" w:hAnsiTheme="minorHAnsi"/>
          <w:noProof/>
          <w:kern w:val="2"/>
          <w:sz w:val="24"/>
          <w:szCs w:val="24"/>
          <w:lang w:eastAsia="sv-SE"/>
          <w14:ligatures w14:val="standardContextual"/>
        </w:rPr>
      </w:pPr>
      <w:hyperlink w:anchor="_Toc224807628" w:history="1">
        <w:r w:rsidRPr="00B5620D">
          <w:rPr>
            <w:rStyle w:val="Hyperlnk"/>
            <w:noProof/>
          </w:rPr>
          <w:t>Utdrag ur protokoll vid regeringssammanträde den 19 mars 2026</w:t>
        </w:r>
        <w:r>
          <w:rPr>
            <w:noProof/>
            <w:webHidden/>
          </w:rPr>
          <w:tab/>
        </w:r>
        <w:r>
          <w:rPr>
            <w:noProof/>
            <w:webHidden/>
          </w:rPr>
          <w:fldChar w:fldCharType="begin"/>
        </w:r>
        <w:r>
          <w:rPr>
            <w:noProof/>
            <w:webHidden/>
          </w:rPr>
          <w:instrText xml:space="preserve"> PAGEREF _Toc224807628 \h </w:instrText>
        </w:r>
        <w:r>
          <w:rPr>
            <w:noProof/>
            <w:webHidden/>
          </w:rPr>
        </w:r>
        <w:r>
          <w:rPr>
            <w:noProof/>
            <w:webHidden/>
          </w:rPr>
          <w:fldChar w:fldCharType="separate"/>
        </w:r>
        <w:r>
          <w:rPr>
            <w:noProof/>
            <w:webHidden/>
          </w:rPr>
          <w:t>117</w:t>
        </w:r>
        <w:r>
          <w:rPr>
            <w:noProof/>
            <w:webHidden/>
          </w:rPr>
          <w:fldChar w:fldCharType="end"/>
        </w:r>
      </w:hyperlink>
    </w:p>
    <w:p w14:paraId="5A2CC76C" w14:textId="6431A334" w:rsidR="00037172" w:rsidRDefault="00037172" w:rsidP="005E3C60">
      <w:pPr>
        <w:pStyle w:val="Brdtext"/>
      </w:pPr>
      <w:r>
        <w:fldChar w:fldCharType="end"/>
      </w:r>
    </w:p>
    <w:p w14:paraId="02EB6B74" w14:textId="77777777" w:rsidR="00037172" w:rsidRPr="005A72C8" w:rsidRDefault="00037172" w:rsidP="00333C9D">
      <w:pPr>
        <w:pStyle w:val="Rubrik1"/>
      </w:pPr>
      <w:r>
        <w:br w:type="page"/>
      </w:r>
      <w:bookmarkStart w:id="3" w:name="_Toc337112318"/>
      <w:bookmarkStart w:id="4" w:name="_Toc4079163"/>
      <w:bookmarkStart w:id="5" w:name="_Toc224807582"/>
      <w:r w:rsidRPr="005A72C8">
        <w:lastRenderedPageBreak/>
        <w:t>Förslag till riksdagsbeslut</w:t>
      </w:r>
      <w:bookmarkEnd w:id="3"/>
      <w:bookmarkEnd w:id="4"/>
      <w:bookmarkEnd w:id="5"/>
    </w:p>
    <w:p w14:paraId="1C86063A" w14:textId="77777777" w:rsidR="00037172" w:rsidRDefault="00037172" w:rsidP="00333C9D">
      <w:pPr>
        <w:pStyle w:val="Brdtext"/>
      </w:pPr>
      <w:r w:rsidRPr="009831A0">
        <w:t>Regeringens förslag:</w:t>
      </w:r>
    </w:p>
    <w:p w14:paraId="5D9BC3C8" w14:textId="23C555C2" w:rsidR="00037172" w:rsidRPr="00037172" w:rsidRDefault="00037172" w:rsidP="00037172">
      <w:pPr>
        <w:pStyle w:val="Numreradlista"/>
      </w:pPr>
      <w:r w:rsidRPr="00037172">
        <w:t>Riksdagen antar regeringens förslag till lag om ändring i rättegångs</w:t>
      </w:r>
      <w:r w:rsidRPr="00037172">
        <w:softHyphen/>
        <w:t>balken.</w:t>
      </w:r>
    </w:p>
    <w:p w14:paraId="3BB2AAEB" w14:textId="62B0723C" w:rsidR="00037172" w:rsidRPr="00037172" w:rsidRDefault="00037172" w:rsidP="00037172">
      <w:pPr>
        <w:pStyle w:val="Numreradlista"/>
      </w:pPr>
      <w:r w:rsidRPr="00037172">
        <w:t>Riksdagen antar regeringens förslag till lag om ändring i brottsbalken.</w:t>
      </w:r>
    </w:p>
    <w:p w14:paraId="5053DC5A" w14:textId="70439904" w:rsidR="00037172" w:rsidRPr="00037172" w:rsidRDefault="00037172" w:rsidP="00037172">
      <w:pPr>
        <w:pStyle w:val="Numreradlista"/>
      </w:pPr>
      <w:r w:rsidRPr="00037172">
        <w:t>Riksdagen antar regeringens förslag till lag om ändring i äktenskaps</w:t>
      </w:r>
      <w:r w:rsidRPr="00037172">
        <w:softHyphen/>
        <w:t>balken.</w:t>
      </w:r>
    </w:p>
    <w:p w14:paraId="3C394083" w14:textId="16507D0D" w:rsidR="00037172" w:rsidRPr="00037172" w:rsidRDefault="00037172" w:rsidP="00037172">
      <w:pPr>
        <w:pStyle w:val="Numreradlista"/>
      </w:pPr>
      <w:r w:rsidRPr="00037172">
        <w:t>Riksdagen antar regeringens förslag till lag om ändring i lagen (1904:26</w:t>
      </w:r>
      <w:r w:rsidR="00012D86">
        <w:t> </w:t>
      </w:r>
      <w:r w:rsidRPr="00037172">
        <w:t>s. 1) om vissa internationella rättsförhållanden rörande äktenskap och förmynderskap.</w:t>
      </w:r>
    </w:p>
    <w:p w14:paraId="5CA9A4AE" w14:textId="77777777" w:rsidR="00037172" w:rsidRPr="00144361" w:rsidRDefault="00037172" w:rsidP="00037172">
      <w:pPr>
        <w:pStyle w:val="Brdtext"/>
      </w:pPr>
    </w:p>
    <w:p w14:paraId="731F8E3C" w14:textId="77777777" w:rsidR="00037172" w:rsidRPr="00152749" w:rsidRDefault="00037172" w:rsidP="00152749">
      <w:pPr>
        <w:pStyle w:val="Brdtextmedindrag"/>
      </w:pPr>
      <w:r>
        <w:br w:type="page"/>
      </w:r>
    </w:p>
    <w:p w14:paraId="1B9B078D" w14:textId="77777777" w:rsidR="00E6002D" w:rsidRDefault="00E6002D" w:rsidP="00E6002D">
      <w:pPr>
        <w:pStyle w:val="Rubrik1"/>
        <w:spacing w:before="0"/>
      </w:pPr>
      <w:bookmarkStart w:id="6" w:name="_Toc221561231"/>
      <w:bookmarkStart w:id="7" w:name="_Toc224807583"/>
      <w:r>
        <w:lastRenderedPageBreak/>
        <w:t>Lagtext</w:t>
      </w:r>
      <w:bookmarkEnd w:id="6"/>
      <w:bookmarkEnd w:id="7"/>
    </w:p>
    <w:p w14:paraId="257D7402" w14:textId="77777777" w:rsidR="00E6002D" w:rsidRDefault="00E6002D" w:rsidP="00E6002D">
      <w:pPr>
        <w:pStyle w:val="Brdtext"/>
      </w:pPr>
      <w:r>
        <w:t>Regeringen har följande förslag till lagtext.</w:t>
      </w:r>
    </w:p>
    <w:p w14:paraId="58D824A7" w14:textId="77777777" w:rsidR="00E6002D" w:rsidRDefault="00E6002D" w:rsidP="00E6002D">
      <w:pPr>
        <w:pStyle w:val="Rubrik2"/>
      </w:pPr>
      <w:bookmarkStart w:id="8" w:name="_Toc224807584"/>
      <w:r>
        <w:t>Förslag till lag om ändring i rättegångsbalken</w:t>
      </w:r>
      <w:bookmarkEnd w:id="8"/>
    </w:p>
    <w:p w14:paraId="7702EFC9" w14:textId="77777777" w:rsidR="00E6002D" w:rsidRDefault="00E6002D" w:rsidP="00E6002D">
      <w:pPr>
        <w:pStyle w:val="Brdtext"/>
      </w:pPr>
      <w:r>
        <w:t>Härigenom föreskrivs att 27 kap. 18 a och 18 b §§ rättegångsbalken ska ha föl</w:t>
      </w:r>
      <w:r>
        <w:softHyphen/>
        <w:t xml:space="preserve">jande lydelse. </w:t>
      </w:r>
    </w:p>
    <w:p w14:paraId="46B5D90C" w14:textId="77777777" w:rsidR="00E6002D" w:rsidRDefault="00E6002D" w:rsidP="00E6002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6002D" w:rsidRPr="005B0E77" w14:paraId="480FA479" w14:textId="77777777" w:rsidTr="00A9083F">
        <w:tc>
          <w:tcPr>
            <w:tcW w:w="2500" w:type="pct"/>
            <w:shd w:val="clear" w:color="auto" w:fill="auto"/>
            <w:tcMar>
              <w:left w:w="0" w:type="dxa"/>
            </w:tcMar>
          </w:tcPr>
          <w:p w14:paraId="495471E8" w14:textId="77777777" w:rsidR="00E6002D" w:rsidRPr="005B0E77" w:rsidRDefault="00E6002D" w:rsidP="00A9083F">
            <w:pPr>
              <w:pStyle w:val="Brdtext"/>
              <w:rPr>
                <w:i/>
              </w:rPr>
            </w:pPr>
            <w:r>
              <w:rPr>
                <w:i/>
              </w:rPr>
              <w:t>Nuvarande lydelse</w:t>
            </w:r>
          </w:p>
        </w:tc>
        <w:tc>
          <w:tcPr>
            <w:tcW w:w="2500" w:type="pct"/>
            <w:shd w:val="clear" w:color="auto" w:fill="auto"/>
            <w:tcMar>
              <w:right w:w="0" w:type="dxa"/>
            </w:tcMar>
          </w:tcPr>
          <w:p w14:paraId="47A2B53C" w14:textId="77777777" w:rsidR="00E6002D" w:rsidRPr="005B0E77" w:rsidRDefault="00E6002D" w:rsidP="00A9083F">
            <w:pPr>
              <w:pStyle w:val="Brdtext"/>
              <w:rPr>
                <w:i/>
              </w:rPr>
            </w:pPr>
            <w:r w:rsidRPr="005B0E77">
              <w:rPr>
                <w:i/>
              </w:rPr>
              <w:t>Föreslagen lydelse</w:t>
            </w:r>
          </w:p>
        </w:tc>
      </w:tr>
    </w:tbl>
    <w:p w14:paraId="1B25A275" w14:textId="77777777" w:rsidR="00E6002D" w:rsidRDefault="00E6002D" w:rsidP="00E6002D">
      <w:pPr>
        <w:pStyle w:val="Brdtext"/>
        <w:jc w:val="center"/>
        <w:rPr>
          <w:b/>
        </w:rPr>
      </w:pPr>
    </w:p>
    <w:p w14:paraId="0DD61695" w14:textId="77777777" w:rsidR="00E6002D" w:rsidRDefault="00E6002D" w:rsidP="00E6002D">
      <w:pPr>
        <w:pStyle w:val="Brdtext"/>
        <w:jc w:val="center"/>
        <w:rPr>
          <w:b/>
        </w:rPr>
      </w:pPr>
      <w:r>
        <w:rPr>
          <w:b/>
        </w:rPr>
        <w:t>27 kap.</w:t>
      </w:r>
    </w:p>
    <w:p w14:paraId="692D0ED2" w14:textId="77777777" w:rsidR="00E6002D" w:rsidRDefault="00E6002D" w:rsidP="00E6002D">
      <w:pPr>
        <w:pStyle w:val="Brdtext"/>
        <w:jc w:val="center"/>
      </w:pPr>
      <w:r>
        <w:t>18 a §</w:t>
      </w:r>
      <w:r>
        <w:rPr>
          <w:rStyle w:val="Fotnotsreferens"/>
        </w:rPr>
        <w:footnoteReference w:id="2"/>
      </w:r>
    </w:p>
    <w:p w14:paraId="009E6D14" w14:textId="77777777" w:rsidR="00E6002D" w:rsidRDefault="00E6002D" w:rsidP="00E6002D">
      <w:pPr>
        <w:pStyle w:val="Brdtextmedindrag"/>
        <w:ind w:firstLine="0"/>
      </w:pPr>
      <w:r w:rsidRPr="00C36219">
        <w:rPr>
          <w:spacing w:val="-4"/>
        </w:rPr>
        <w:t>Hemlig avlyssning av elektronisk kommunikation får användas om</w:t>
      </w:r>
      <w:r w:rsidRPr="006C2D34">
        <w:t xml:space="preserve"> </w:t>
      </w:r>
      <w:r w:rsidRPr="00A312F3">
        <w:rPr>
          <w:spacing w:val="-4"/>
        </w:rPr>
        <w:t>någon är skäligen misstänkt för brott som avses i andra stycket och</w:t>
      </w:r>
      <w:r>
        <w:t xml:space="preserve"> </w:t>
      </w:r>
      <w:r w:rsidRPr="006C2D34">
        <w:t>åt</w:t>
      </w:r>
      <w:r>
        <w:softHyphen/>
      </w:r>
      <w:r w:rsidRPr="006C2D34">
        <w:t>gärden är av synnerlig vikt</w:t>
      </w:r>
      <w:r>
        <w:t xml:space="preserve"> </w:t>
      </w:r>
      <w:r w:rsidRPr="006C2D34">
        <w:t>för utredningen.</w:t>
      </w:r>
    </w:p>
    <w:p w14:paraId="58CB4320" w14:textId="77777777" w:rsidR="00E6002D" w:rsidRDefault="00E6002D" w:rsidP="00E6002D">
      <w:pPr>
        <w:pStyle w:val="Brdtextmedindrag"/>
      </w:pPr>
      <w:r>
        <w:t>Hemlig avlyssning av elektronisk kommunikation enligt denna paragraf får användas vid en förundersökning om</w:t>
      </w:r>
    </w:p>
    <w:p w14:paraId="08DAF893" w14:textId="77777777" w:rsidR="00E6002D" w:rsidRDefault="00E6002D" w:rsidP="00E6002D">
      <w:pPr>
        <w:pStyle w:val="Brdtextmedindrag"/>
      </w:pPr>
      <w:r>
        <w:t>1. ett brott för vilket det inte är föreskrivet lindrigare straff än fängelse i två år,</w:t>
      </w:r>
    </w:p>
    <w:tbl>
      <w:tblPr>
        <w:tblW w:w="5000" w:type="pct"/>
        <w:tblLook w:val="0600" w:firstRow="0" w:lastRow="0" w:firstColumn="0" w:lastColumn="0" w:noHBand="1" w:noVBand="1"/>
      </w:tblPr>
      <w:tblGrid>
        <w:gridCol w:w="2948"/>
        <w:gridCol w:w="2949"/>
      </w:tblGrid>
      <w:tr w:rsidR="00E6002D" w14:paraId="7E5B20A6" w14:textId="77777777" w:rsidTr="00A9083F">
        <w:tc>
          <w:tcPr>
            <w:tcW w:w="2500" w:type="pct"/>
            <w:shd w:val="clear" w:color="auto" w:fill="auto"/>
            <w:tcMar>
              <w:left w:w="0" w:type="dxa"/>
            </w:tcMar>
          </w:tcPr>
          <w:p w14:paraId="537EC517" w14:textId="77777777" w:rsidR="00E6002D" w:rsidRPr="002F31F7" w:rsidRDefault="00E6002D" w:rsidP="00A9083F">
            <w:pPr>
              <w:pStyle w:val="Brdtextmedindrag"/>
            </w:pPr>
            <w:r w:rsidRPr="002F31F7">
              <w:rPr>
                <w:spacing w:val="2"/>
              </w:rPr>
              <w:t>2.</w:t>
            </w:r>
            <w:r w:rsidRPr="002F31F7">
              <w:rPr>
                <w:i/>
                <w:iCs/>
                <w:spacing w:val="2"/>
              </w:rPr>
              <w:t> </w:t>
            </w:r>
            <w:r w:rsidRPr="002F31F7">
              <w:rPr>
                <w:spacing w:val="2"/>
              </w:rPr>
              <w:t>grovt dataintrång enligt 4 kap.</w:t>
            </w:r>
            <w:r w:rsidRPr="00212B67">
              <w:t xml:space="preserve"> 9</w:t>
            </w:r>
            <w:r>
              <w:t> </w:t>
            </w:r>
            <w:r w:rsidRPr="00212B67">
              <w:t>c</w:t>
            </w:r>
            <w:r>
              <w:t> </w:t>
            </w:r>
            <w:r w:rsidRPr="00212B67">
              <w:t>§ andra stycket brotts</w:t>
            </w:r>
            <w:r>
              <w:softHyphen/>
            </w:r>
            <w:r w:rsidRPr="00212B67">
              <w:t>balken,</w:t>
            </w:r>
          </w:p>
        </w:tc>
        <w:tc>
          <w:tcPr>
            <w:tcW w:w="2500" w:type="pct"/>
            <w:shd w:val="clear" w:color="auto" w:fill="auto"/>
            <w:tcMar>
              <w:right w:w="0" w:type="dxa"/>
            </w:tcMar>
          </w:tcPr>
          <w:p w14:paraId="415BEB35" w14:textId="77777777" w:rsidR="00E6002D" w:rsidRPr="00806C3B" w:rsidRDefault="00E6002D" w:rsidP="00A9083F">
            <w:pPr>
              <w:pStyle w:val="Brdtextmedindrag"/>
              <w:rPr>
                <w:i/>
                <w:iCs/>
              </w:rPr>
            </w:pPr>
            <w:r w:rsidRPr="002F31F7">
              <w:rPr>
                <w:spacing w:val="-4"/>
              </w:rPr>
              <w:t>2. </w:t>
            </w:r>
            <w:r w:rsidRPr="002F31F7">
              <w:rPr>
                <w:i/>
                <w:iCs/>
                <w:spacing w:val="-4"/>
              </w:rPr>
              <w:t>äktenskapstvång, barn</w:t>
            </w:r>
            <w:r w:rsidRPr="002F31F7">
              <w:rPr>
                <w:i/>
                <w:iCs/>
                <w:spacing w:val="-4"/>
              </w:rPr>
              <w:softHyphen/>
              <w:t>äkten</w:t>
            </w:r>
            <w:r w:rsidRPr="002F31F7">
              <w:rPr>
                <w:i/>
                <w:iCs/>
                <w:spacing w:val="-4"/>
              </w:rPr>
              <w:softHyphen/>
              <w:t>skapsbrott</w:t>
            </w:r>
            <w:r w:rsidRPr="00274ADF">
              <w:rPr>
                <w:i/>
                <w:iCs/>
              </w:rPr>
              <w:t xml:space="preserve"> </w:t>
            </w:r>
            <w:r>
              <w:rPr>
                <w:i/>
                <w:iCs/>
              </w:rPr>
              <w:t>eller</w:t>
            </w:r>
            <w:r>
              <w:t xml:space="preserve"> </w:t>
            </w:r>
            <w:r w:rsidRPr="00212B67">
              <w:t xml:space="preserve">grovt dataintrång </w:t>
            </w:r>
            <w:r w:rsidRPr="002F31F7">
              <w:rPr>
                <w:spacing w:val="-6"/>
              </w:rPr>
              <w:t xml:space="preserve">enligt 4 kap. </w:t>
            </w:r>
            <w:r w:rsidRPr="002F31F7">
              <w:rPr>
                <w:i/>
                <w:iCs/>
                <w:spacing w:val="-6"/>
              </w:rPr>
              <w:t xml:space="preserve">4 c § </w:t>
            </w:r>
            <w:r w:rsidRPr="002F31F7">
              <w:rPr>
                <w:i/>
                <w:iCs/>
                <w:spacing w:val="2"/>
              </w:rPr>
              <w:t>eller</w:t>
            </w:r>
            <w:r w:rsidRPr="002F31F7">
              <w:rPr>
                <w:spacing w:val="2"/>
              </w:rPr>
              <w:t xml:space="preserve"> 9 c § andra stycket brotts</w:t>
            </w:r>
            <w:r w:rsidRPr="002F31F7">
              <w:rPr>
                <w:spacing w:val="2"/>
              </w:rPr>
              <w:softHyphen/>
              <w:t>balken,</w:t>
            </w:r>
          </w:p>
        </w:tc>
      </w:tr>
    </w:tbl>
    <w:p w14:paraId="09007CB0" w14:textId="77777777" w:rsidR="00E6002D" w:rsidRDefault="00E6002D" w:rsidP="00E6002D">
      <w:pPr>
        <w:pStyle w:val="Brdtextmedindrag"/>
      </w:pPr>
      <w:r w:rsidRPr="00934762">
        <w:t>3</w:t>
      </w:r>
      <w:r>
        <w:t xml:space="preserve">. grovt sexuellt övergrepp, sexuellt utnyttjande av barn, sexuellt övergrepp mot barn, grovt sexuellt övergrepp mot barn, utnyttjande av barn för sexuell posering, grovt utnyttjande av barn för sexuell </w:t>
      </w:r>
      <w:r w:rsidRPr="002F31F7">
        <w:rPr>
          <w:spacing w:val="-2"/>
        </w:rPr>
        <w:t>posering, utnyttjande av barn genom köp av sexuell handling</w:t>
      </w:r>
      <w:r w:rsidRPr="002F31F7">
        <w:rPr>
          <w:spacing w:val="-4"/>
        </w:rPr>
        <w:t xml:space="preserve">, </w:t>
      </w:r>
      <w:r w:rsidRPr="002F31F7">
        <w:rPr>
          <w:spacing w:val="-2"/>
        </w:rPr>
        <w:t>sexuellt ofredande</w:t>
      </w:r>
      <w:r>
        <w:t xml:space="preserve"> mot barn eller grovt sexuellt ofredande mot barn enligt 6 kap. 2 § tredje stycket, 5 §, 6 §, 8 §, 9 § eller 10 § första eller tredje stycket brottsbalken,</w:t>
      </w:r>
    </w:p>
    <w:p w14:paraId="72BC337E" w14:textId="77777777" w:rsidR="00E6002D" w:rsidRDefault="00E6002D" w:rsidP="00E6002D">
      <w:pPr>
        <w:pStyle w:val="Brdtextmedindrag"/>
      </w:pPr>
      <w:r>
        <w:t>4. kontakt för att träffa ett barn i sexuellt syfte enligt 6 kap. 10 a § brottsbalken, om det kan antas att brottet inte leder till endast böter,</w:t>
      </w:r>
    </w:p>
    <w:p w14:paraId="39105485" w14:textId="77777777" w:rsidR="00E6002D" w:rsidRDefault="00E6002D" w:rsidP="00E6002D">
      <w:pPr>
        <w:pStyle w:val="Brdtextmedindrag"/>
      </w:pPr>
      <w:r w:rsidRPr="003A2DB0">
        <w:rPr>
          <w:spacing w:val="-2"/>
        </w:rPr>
        <w:t>5. grovt bedrägeri enligt 9 kap. 3 § brottsbalken, om gärningen har</w:t>
      </w:r>
      <w:r>
        <w:t xml:space="preserve"> begåtts med hjälp av elektronisk kommunikation,</w:t>
      </w:r>
    </w:p>
    <w:p w14:paraId="428753F3" w14:textId="77777777" w:rsidR="00E6002D" w:rsidRDefault="00E6002D" w:rsidP="00E6002D">
      <w:pPr>
        <w:pStyle w:val="Brdtextmedindrag"/>
      </w:pPr>
      <w:r w:rsidRPr="003A2DB0">
        <w:rPr>
          <w:spacing w:val="-4"/>
        </w:rPr>
        <w:t>6. utpressning enligt 9 kap. 4 § första stycket brottsbalken, om det</w:t>
      </w:r>
      <w:r>
        <w:t xml:space="preserve"> kan antas att brottets straffvärde överstiger fängelse i tre månader,</w:t>
      </w:r>
    </w:p>
    <w:p w14:paraId="5CAC5EC0" w14:textId="77777777" w:rsidR="00E6002D" w:rsidRDefault="00E6002D" w:rsidP="00E6002D">
      <w:pPr>
        <w:pStyle w:val="Brdtextmedindrag"/>
      </w:pPr>
      <w:r>
        <w:t>7. sabotage enligt 13 kap. 4 § brottsbalken,</w:t>
      </w:r>
    </w:p>
    <w:p w14:paraId="5BBBE4E8" w14:textId="77777777" w:rsidR="00E6002D" w:rsidRDefault="00E6002D" w:rsidP="00E6002D">
      <w:pPr>
        <w:pStyle w:val="Brdtextmedindrag"/>
      </w:pPr>
      <w:r>
        <w:t>8. </w:t>
      </w:r>
      <w:r w:rsidRPr="00370D08">
        <w:rPr>
          <w:spacing w:val="2"/>
        </w:rPr>
        <w:t>mordbrand, allmänfarlig ödeläggelse, kapning, sjö- eller</w:t>
      </w:r>
      <w:r>
        <w:t xml:space="preserve"> </w:t>
      </w:r>
      <w:r w:rsidRPr="003A2DB0">
        <w:rPr>
          <w:spacing w:val="-4"/>
        </w:rPr>
        <w:t>luft</w:t>
      </w:r>
      <w:r w:rsidRPr="003A2DB0">
        <w:rPr>
          <w:spacing w:val="-4"/>
        </w:rPr>
        <w:softHyphen/>
        <w:t>farts</w:t>
      </w:r>
      <w:r>
        <w:rPr>
          <w:spacing w:val="-4"/>
        </w:rPr>
        <w:softHyphen/>
      </w:r>
      <w:r w:rsidRPr="003A2DB0">
        <w:rPr>
          <w:spacing w:val="-4"/>
        </w:rPr>
        <w:t>sabotage eller flygplatssabotage enligt 13 kap. 1 §, 3 § första eller</w:t>
      </w:r>
      <w:r>
        <w:t xml:space="preserve"> </w:t>
      </w:r>
      <w:r w:rsidRPr="00151471">
        <w:rPr>
          <w:spacing w:val="2"/>
        </w:rPr>
        <w:t>andra stycket, 5 a § eller 5 b § brottsbalken, om brottet innefattar sabotage</w:t>
      </w:r>
      <w:r>
        <w:t xml:space="preserve"> enligt 4 § samma kapitel,</w:t>
      </w:r>
    </w:p>
    <w:p w14:paraId="52498D78" w14:textId="77777777" w:rsidR="00E6002D" w:rsidRDefault="00E6002D" w:rsidP="00E6002D">
      <w:pPr>
        <w:pStyle w:val="Brdtextmedindrag"/>
      </w:pPr>
      <w:r w:rsidRPr="003A2DB0">
        <w:rPr>
          <w:spacing w:val="-2"/>
        </w:rPr>
        <w:t>9. mened enligt 15 kap. 1 § första stycket brottsbalken, om det kan</w:t>
      </w:r>
      <w:r>
        <w:t xml:space="preserve"> antas att brottets straffvärde överstiger fängelse i tre månader,</w:t>
      </w:r>
    </w:p>
    <w:p w14:paraId="6AC511BA" w14:textId="77777777" w:rsidR="00E6002D" w:rsidRDefault="00E6002D" w:rsidP="00E6002D">
      <w:pPr>
        <w:pStyle w:val="Brdtextmedindrag"/>
      </w:pPr>
      <w:r>
        <w:t>10. grovt barnpornografibrott eller barnpornografibrott som inte är ringa enligt 16 kap. 10 a § brottsbalken,</w:t>
      </w:r>
    </w:p>
    <w:p w14:paraId="2546044F" w14:textId="77777777" w:rsidR="00E6002D" w:rsidRDefault="00E6002D" w:rsidP="00E6002D">
      <w:pPr>
        <w:pStyle w:val="Brdtextmedindrag"/>
      </w:pPr>
      <w:r w:rsidRPr="003A2DB0">
        <w:rPr>
          <w:spacing w:val="-4"/>
        </w:rPr>
        <w:lastRenderedPageBreak/>
        <w:t>11. övergrepp i rättssak eller skyddande av brottsling enligt 17 kap</w:t>
      </w:r>
      <w:r>
        <w:t xml:space="preserve">. 10 § första eller fjärde stycket eller 11 § första eller andra stycket </w:t>
      </w:r>
      <w:r w:rsidRPr="003A2DB0">
        <w:rPr>
          <w:spacing w:val="-4"/>
        </w:rPr>
        <w:t>brottsbalken, om det kan antas att brottets straffvärde överstiger fäng</w:t>
      </w:r>
      <w:r w:rsidRPr="003A2DB0">
        <w:rPr>
          <w:spacing w:val="-4"/>
        </w:rPr>
        <w:softHyphen/>
        <w:t>else</w:t>
      </w:r>
      <w:r>
        <w:t xml:space="preserve"> i tre månader,</w:t>
      </w:r>
    </w:p>
    <w:p w14:paraId="0A20085E" w14:textId="77777777" w:rsidR="00E6002D" w:rsidRDefault="00E6002D" w:rsidP="00E6002D">
      <w:pPr>
        <w:pStyle w:val="Brdtextmedindrag"/>
      </w:pPr>
      <w:r w:rsidRPr="003A2DB0">
        <w:rPr>
          <w:spacing w:val="-2"/>
        </w:rPr>
        <w:t>12. grovt skyddande av brottsling enligt 17 kap. 11 § tredje stycket</w:t>
      </w:r>
      <w:r>
        <w:t xml:space="preserve"> brottsbalken,</w:t>
      </w:r>
    </w:p>
    <w:p w14:paraId="09EDC46F" w14:textId="77777777" w:rsidR="00E6002D" w:rsidRDefault="00E6002D" w:rsidP="00E6002D">
      <w:pPr>
        <w:pStyle w:val="Brdtextmedindrag"/>
      </w:pPr>
      <w:r>
        <w:t>13. brott mot medborgerlig frihet enligt 18 kap. 5 § brottsbalken,</w:t>
      </w:r>
    </w:p>
    <w:p w14:paraId="01959857" w14:textId="77777777" w:rsidR="00E6002D" w:rsidRDefault="00E6002D" w:rsidP="00E6002D">
      <w:pPr>
        <w:pStyle w:val="Brdtextmedindrag"/>
      </w:pPr>
      <w:r>
        <w:t xml:space="preserve">14. spioneri, utlandsspioneri, obehörig befattning med hemlig uppgift, grov obehörig befattning med hemlig uppgift eller olovlig </w:t>
      </w:r>
      <w:r w:rsidRPr="003A2DB0">
        <w:rPr>
          <w:spacing w:val="-2"/>
        </w:rPr>
        <w:t>underrättelse</w:t>
      </w:r>
      <w:r>
        <w:rPr>
          <w:spacing w:val="-2"/>
        </w:rPr>
        <w:softHyphen/>
      </w:r>
      <w:r w:rsidRPr="003A2DB0">
        <w:rPr>
          <w:spacing w:val="-2"/>
        </w:rPr>
        <w:t>verksamhet mot Sverige, mot främmande makt eller mot</w:t>
      </w:r>
      <w:r>
        <w:t xml:space="preserve"> person enligt 19 kap. 5, 6 a, 7, 8, 10, 10 a eller 10 b § brottsbalken,</w:t>
      </w:r>
    </w:p>
    <w:p w14:paraId="6301F60E" w14:textId="77777777" w:rsidR="00E6002D" w:rsidRDefault="00E6002D" w:rsidP="00E6002D">
      <w:pPr>
        <w:pStyle w:val="Brdtextmedindrag"/>
      </w:pPr>
      <w:r w:rsidRPr="002C5825">
        <w:rPr>
          <w:spacing w:val="-4"/>
        </w:rPr>
        <w:t>15. grovt penningtvättsbrott eller näringspenningtvätt, grovt brott,</w:t>
      </w:r>
      <w:r>
        <w:t xml:space="preserve"> </w:t>
      </w:r>
      <w:r w:rsidRPr="002C5825">
        <w:rPr>
          <w:spacing w:val="-4"/>
        </w:rPr>
        <w:t>enligt 5 § eller 7 § andra stycket lagen (2014:307) om straff för penning</w:t>
      </w:r>
      <w:r w:rsidRPr="002C5825">
        <w:rPr>
          <w:spacing w:val="-4"/>
        </w:rPr>
        <w:softHyphen/>
        <w:t>tvättsbrott</w:t>
      </w:r>
      <w:r>
        <w:t>,</w:t>
      </w:r>
    </w:p>
    <w:p w14:paraId="5D49569F" w14:textId="77777777" w:rsidR="00E6002D" w:rsidRDefault="00E6002D" w:rsidP="00E6002D">
      <w:pPr>
        <w:pStyle w:val="Brdtextmedindrag"/>
      </w:pPr>
      <w:r w:rsidRPr="002C5825">
        <w:rPr>
          <w:spacing w:val="2"/>
        </w:rPr>
        <w:t xml:space="preserve">16. grovt insiderbrott enligt 2 kap. 1 § tredje stycket lagen </w:t>
      </w:r>
      <w:r w:rsidRPr="002C5825">
        <w:rPr>
          <w:spacing w:val="-2"/>
        </w:rPr>
        <w:t>(2016:1307) om straff för marknadsmissbruk på värdepappers</w:t>
      </w:r>
      <w:r w:rsidRPr="002C5825">
        <w:rPr>
          <w:spacing w:val="-2"/>
        </w:rPr>
        <w:softHyphen/>
        <w:t>mark</w:t>
      </w:r>
      <w:r w:rsidRPr="002C5825">
        <w:rPr>
          <w:spacing w:val="-2"/>
        </w:rPr>
        <w:softHyphen/>
        <w:t>naden,</w:t>
      </w:r>
    </w:p>
    <w:p w14:paraId="618CE767" w14:textId="77777777" w:rsidR="00E6002D" w:rsidRDefault="00E6002D" w:rsidP="00E6002D">
      <w:pPr>
        <w:pStyle w:val="Brdtextmedindrag"/>
      </w:pPr>
      <w:r w:rsidRPr="002C5825">
        <w:rPr>
          <w:spacing w:val="-2"/>
        </w:rPr>
        <w:t>17. </w:t>
      </w:r>
      <w:r w:rsidRPr="00C203C8">
        <w:rPr>
          <w:spacing w:val="-2"/>
        </w:rPr>
        <w:t>företagsspioneri eller olovligt röjande av teknisk företagshemlighet</w:t>
      </w:r>
      <w:r w:rsidRPr="002C5825">
        <w:rPr>
          <w:spacing w:val="-2"/>
        </w:rPr>
        <w:t xml:space="preserve"> enligt 26 </w:t>
      </w:r>
      <w:r w:rsidRPr="00C203C8">
        <w:rPr>
          <w:spacing w:val="-2"/>
        </w:rPr>
        <w:t>eller 26 a</w:t>
      </w:r>
      <w:r>
        <w:rPr>
          <w:spacing w:val="-2"/>
        </w:rPr>
        <w:t> §</w:t>
      </w:r>
      <w:r w:rsidRPr="002C5825">
        <w:rPr>
          <w:spacing w:val="-2"/>
        </w:rPr>
        <w:t xml:space="preserve"> lagen (2018:558) om företags</w:t>
      </w:r>
      <w:r w:rsidRPr="002C5825">
        <w:rPr>
          <w:spacing w:val="-2"/>
        </w:rPr>
        <w:softHyphen/>
        <w:t>hem</w:t>
      </w:r>
      <w:r w:rsidRPr="002C5825">
        <w:rPr>
          <w:spacing w:val="-2"/>
        </w:rPr>
        <w:softHyphen/>
        <w:t>lig</w:t>
      </w:r>
      <w:r>
        <w:rPr>
          <w:spacing w:val="-2"/>
        </w:rPr>
        <w:softHyphen/>
      </w:r>
      <w:r w:rsidRPr="002C5825">
        <w:rPr>
          <w:spacing w:val="-2"/>
        </w:rPr>
        <w:t>heter</w:t>
      </w:r>
      <w:r>
        <w:t xml:space="preserve">, om det finns anledning att anta att gärningen har begåtts på </w:t>
      </w:r>
      <w:r w:rsidRPr="002C5825">
        <w:rPr>
          <w:spacing w:val="-2"/>
        </w:rPr>
        <w:t>uppdrag av eller har understötts av en främmande makt eller av någon</w:t>
      </w:r>
      <w:r>
        <w:t xml:space="preserve"> som har agerat för en främmande makts räkning,</w:t>
      </w:r>
    </w:p>
    <w:p w14:paraId="75964BDB" w14:textId="77777777" w:rsidR="00E6002D" w:rsidRDefault="00E6002D" w:rsidP="00E6002D">
      <w:pPr>
        <w:pStyle w:val="Brdtextmedindrag"/>
      </w:pPr>
      <w:r>
        <w:t xml:space="preserve">18. deltagande i en terroristorganisation, samröre med en </w:t>
      </w:r>
      <w:r w:rsidRPr="002C5825">
        <w:rPr>
          <w:spacing w:val="-4"/>
        </w:rPr>
        <w:t>ter</w:t>
      </w:r>
      <w:r w:rsidRPr="002C5825">
        <w:rPr>
          <w:spacing w:val="-4"/>
        </w:rPr>
        <w:softHyphen/>
        <w:t>ro</w:t>
      </w:r>
      <w:r w:rsidRPr="002C5825">
        <w:rPr>
          <w:spacing w:val="-4"/>
        </w:rPr>
        <w:softHyphen/>
        <w:t>rist</w:t>
      </w:r>
      <w:r>
        <w:rPr>
          <w:spacing w:val="-4"/>
        </w:rPr>
        <w:softHyphen/>
      </w:r>
      <w:r w:rsidRPr="002C5825">
        <w:rPr>
          <w:spacing w:val="-4"/>
        </w:rPr>
        <w:t>organisation, finansiering av terrorism eller särskilt allvarlig brotts</w:t>
      </w:r>
      <w:r w:rsidRPr="002C5825">
        <w:rPr>
          <w:spacing w:val="-4"/>
        </w:rPr>
        <w:softHyphen/>
      </w:r>
      <w:r w:rsidRPr="00943E77">
        <w:rPr>
          <w:spacing w:val="-2"/>
        </w:rPr>
        <w:t xml:space="preserve">lighet, offentlig uppmaning till terrorism eller särskilt allvarlig </w:t>
      </w:r>
      <w:r w:rsidRPr="00943E77">
        <w:rPr>
          <w:spacing w:val="2"/>
        </w:rPr>
        <w:t>brotts</w:t>
      </w:r>
      <w:r w:rsidRPr="00943E77">
        <w:rPr>
          <w:spacing w:val="2"/>
        </w:rPr>
        <w:softHyphen/>
        <w:t>lighet, rekrytering till terrorism eller särskilt allvarlig brotts</w:t>
      </w:r>
      <w:r w:rsidRPr="00943E77">
        <w:rPr>
          <w:spacing w:val="2"/>
        </w:rPr>
        <w:softHyphen/>
        <w:t>lighet</w:t>
      </w:r>
      <w:r>
        <w:t>, utbildning för terrorism eller särskilt allvarlig brottslighet eller resa för terrorism eller särskilt allvarlig brottslighet enligt 4 a, 5, 6, 7, 8, 9 eller 10 § terrorist</w:t>
      </w:r>
      <w:r>
        <w:softHyphen/>
        <w:t>brottslagen (2022:666),</w:t>
      </w:r>
    </w:p>
    <w:p w14:paraId="21E910EA" w14:textId="77777777" w:rsidR="00E6002D" w:rsidRDefault="00E6002D" w:rsidP="00E6002D">
      <w:pPr>
        <w:pStyle w:val="Brdtextmedindrag"/>
      </w:pPr>
      <w:r>
        <w:t>19. försök, förberedelse eller stämpling till ett brott som avses i 1–5, 7, 8, 10 eller 12–18, om en sådan gärning är belagd med straff,</w:t>
      </w:r>
    </w:p>
    <w:p w14:paraId="053A9A55" w14:textId="77777777" w:rsidR="00E6002D" w:rsidRDefault="00E6002D" w:rsidP="00E6002D">
      <w:pPr>
        <w:pStyle w:val="Brdtextmedindrag"/>
      </w:pPr>
      <w:r>
        <w:t>20. försök, förberedelse eller stämpling till ett brott som avses i 6, 9 eller 11, om en sådan gärning är belagd med straff och det kan antas att gärningens straffvärde överstiger fängelse i tre månader,</w:t>
      </w:r>
    </w:p>
    <w:p w14:paraId="343F60A2" w14:textId="77777777" w:rsidR="00E6002D" w:rsidRDefault="00E6002D" w:rsidP="00E6002D">
      <w:pPr>
        <w:pStyle w:val="Brdtextmedindrag"/>
      </w:pPr>
      <w:r>
        <w:t>21. ett annat brott, om det kan antas att brottets straffvärde över</w:t>
      </w:r>
      <w:r>
        <w:softHyphen/>
        <w:t>stiger fängelse i två år, eller</w:t>
      </w:r>
    </w:p>
    <w:p w14:paraId="7E6AF1B4" w14:textId="77777777" w:rsidR="00E6002D" w:rsidRDefault="00E6002D" w:rsidP="00E6002D">
      <w:pPr>
        <w:pStyle w:val="Brdtextmedindrag"/>
      </w:pPr>
      <w:r>
        <w:t>22. flera brott, om</w:t>
      </w:r>
    </w:p>
    <w:p w14:paraId="67C771D6" w14:textId="77777777" w:rsidR="00E6002D" w:rsidRDefault="00E6002D" w:rsidP="00E6002D">
      <w:pPr>
        <w:pStyle w:val="Brdtextmedindrag"/>
      </w:pPr>
      <w:r>
        <w:t>a) en och samma person är skäligen misstänkt för samtliga brott,</w:t>
      </w:r>
    </w:p>
    <w:p w14:paraId="69670ADD" w14:textId="77777777" w:rsidR="00E6002D" w:rsidRDefault="00E6002D" w:rsidP="00E6002D">
      <w:pPr>
        <w:pStyle w:val="Brdtextmedindrag"/>
      </w:pPr>
      <w:r>
        <w:t>b) det kan antas att den samlade brottslighetens straffvärde över</w:t>
      </w:r>
      <w:r>
        <w:softHyphen/>
        <w:t>stiger fängelse i två år,</w:t>
      </w:r>
    </w:p>
    <w:p w14:paraId="31189E3F" w14:textId="77777777" w:rsidR="00E6002D" w:rsidRDefault="00E6002D" w:rsidP="00E6002D">
      <w:pPr>
        <w:pStyle w:val="Brdtextmedindrag"/>
      </w:pPr>
      <w:r>
        <w:t xml:space="preserve">c) det kan antas att vart och ett av brotten har utgjort ett led i en </w:t>
      </w:r>
      <w:r w:rsidRPr="002C5825">
        <w:rPr>
          <w:spacing w:val="-2"/>
        </w:rPr>
        <w:t>brottslig</w:t>
      </w:r>
      <w:r>
        <w:rPr>
          <w:spacing w:val="-2"/>
        </w:rPr>
        <w:softHyphen/>
      </w:r>
      <w:r w:rsidRPr="002C5825">
        <w:rPr>
          <w:spacing w:val="-2"/>
        </w:rPr>
        <w:t>het som har utövats i organiserad form eller systematiskt, och</w:t>
      </w:r>
    </w:p>
    <w:p w14:paraId="187BA830" w14:textId="77777777" w:rsidR="00E6002D" w:rsidRPr="002C5825" w:rsidRDefault="00E6002D" w:rsidP="00E6002D">
      <w:pPr>
        <w:pStyle w:val="Brdtextmedindrag"/>
        <w:rPr>
          <w:spacing w:val="2"/>
        </w:rPr>
      </w:pPr>
      <w:r w:rsidRPr="002C5825">
        <w:rPr>
          <w:spacing w:val="2"/>
        </w:rPr>
        <w:t>d) det för vart och ett av brotten är föreskrivet fängelse i ett år eller mer.</w:t>
      </w:r>
    </w:p>
    <w:p w14:paraId="5AEFEFFC" w14:textId="77777777" w:rsidR="00E6002D" w:rsidRPr="00C74C45" w:rsidRDefault="00E6002D" w:rsidP="00E6002D">
      <w:pPr>
        <w:pStyle w:val="Brdtextmedindrag"/>
      </w:pPr>
      <w:r w:rsidRPr="00C74C45">
        <w:t>Hemlig avlyssning av elektronisk kommunikation enligt denna paragraf får endast avse ett telefonnummer eller en annan adress eller en viss elektronisk kommunikationsutrustning som</w:t>
      </w:r>
    </w:p>
    <w:p w14:paraId="41D67961" w14:textId="77777777" w:rsidR="00E6002D" w:rsidRDefault="00E6002D" w:rsidP="00E6002D">
      <w:pPr>
        <w:pStyle w:val="Brdtextmedindrag"/>
      </w:pPr>
      <w:r w:rsidRPr="00996515">
        <w:t>1.</w:t>
      </w:r>
      <w:r>
        <w:t> </w:t>
      </w:r>
      <w:r w:rsidRPr="00996515">
        <w:t>under</w:t>
      </w:r>
      <w:r w:rsidRPr="00C74C45">
        <w:t xml:space="preserve"> den tid som tillståndet avser innehas eller har innehafts av den misstänkte eller annars kan antas ha använts eller komma att användas av den misstänkte,</w:t>
      </w:r>
      <w:r>
        <w:t xml:space="preserve"> </w:t>
      </w:r>
      <w:r w:rsidRPr="00C74C45">
        <w:t>eller</w:t>
      </w:r>
    </w:p>
    <w:p w14:paraId="5BFB481E" w14:textId="77777777" w:rsidR="00E6002D" w:rsidRDefault="00E6002D" w:rsidP="00E6002D">
      <w:pPr>
        <w:pStyle w:val="Brdtextmedindrag"/>
        <w:rPr>
          <w:spacing w:val="-4"/>
        </w:rPr>
      </w:pPr>
      <w:r>
        <w:t>2. </w:t>
      </w:r>
      <w:r w:rsidRPr="00C74C45">
        <w:t xml:space="preserve">det finns synnerlig anledning att anta att den misstänkte under </w:t>
      </w:r>
      <w:r w:rsidRPr="002C5825">
        <w:rPr>
          <w:spacing w:val="-4"/>
        </w:rPr>
        <w:t>den tid som tillståndet avser har kontaktat eller kommer att kontakta.</w:t>
      </w:r>
    </w:p>
    <w:p w14:paraId="520A847C" w14:textId="77777777" w:rsidR="00E6002D" w:rsidRDefault="00E6002D" w:rsidP="00E6002D">
      <w:pPr>
        <w:pStyle w:val="Brdtextmedindrag"/>
      </w:pPr>
    </w:p>
    <w:p w14:paraId="78895DDD" w14:textId="77777777" w:rsidR="00E6002D" w:rsidRDefault="00E6002D" w:rsidP="00E6002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6002D" w:rsidRPr="005B0E77" w14:paraId="4E406452" w14:textId="77777777" w:rsidTr="00A9083F">
        <w:tc>
          <w:tcPr>
            <w:tcW w:w="2500" w:type="pct"/>
            <w:shd w:val="clear" w:color="auto" w:fill="auto"/>
            <w:tcMar>
              <w:left w:w="0" w:type="dxa"/>
            </w:tcMar>
          </w:tcPr>
          <w:p w14:paraId="48E2D8CD" w14:textId="4A093800" w:rsidR="00E6002D" w:rsidRPr="005B0E77" w:rsidRDefault="00E6002D" w:rsidP="00A9083F">
            <w:pPr>
              <w:pStyle w:val="Brdtext"/>
              <w:jc w:val="left"/>
              <w:rPr>
                <w:i/>
              </w:rPr>
            </w:pPr>
            <w:r>
              <w:rPr>
                <w:i/>
              </w:rPr>
              <w:lastRenderedPageBreak/>
              <w:t xml:space="preserve">Lydelse enligt </w:t>
            </w:r>
            <w:r w:rsidR="001C25BF">
              <w:rPr>
                <w:i/>
              </w:rPr>
              <w:t xml:space="preserve">prop. </w:t>
            </w:r>
            <w:r w:rsidR="001C25BF" w:rsidRPr="001C25BF">
              <w:rPr>
                <w:i/>
              </w:rPr>
              <w:t>2025/26:141</w:t>
            </w:r>
          </w:p>
        </w:tc>
        <w:tc>
          <w:tcPr>
            <w:tcW w:w="2500" w:type="pct"/>
            <w:shd w:val="clear" w:color="auto" w:fill="auto"/>
            <w:tcMar>
              <w:right w:w="0" w:type="dxa"/>
            </w:tcMar>
          </w:tcPr>
          <w:p w14:paraId="41A41181" w14:textId="77777777" w:rsidR="00E6002D" w:rsidRPr="005B0E77" w:rsidRDefault="00E6002D" w:rsidP="00A9083F">
            <w:pPr>
              <w:pStyle w:val="Brdtext"/>
              <w:rPr>
                <w:i/>
              </w:rPr>
            </w:pPr>
            <w:r w:rsidRPr="005B0E77">
              <w:rPr>
                <w:i/>
              </w:rPr>
              <w:t>Föreslagen lydelse</w:t>
            </w:r>
          </w:p>
        </w:tc>
      </w:tr>
    </w:tbl>
    <w:p w14:paraId="17556B31" w14:textId="77777777" w:rsidR="00E6002D" w:rsidRDefault="00E6002D" w:rsidP="00E6002D">
      <w:pPr>
        <w:pStyle w:val="Brdtext"/>
        <w:jc w:val="center"/>
        <w:rPr>
          <w:b/>
        </w:rPr>
      </w:pPr>
    </w:p>
    <w:p w14:paraId="42FE02A1" w14:textId="77777777" w:rsidR="00E6002D" w:rsidRDefault="00E6002D" w:rsidP="00E6002D">
      <w:pPr>
        <w:pStyle w:val="Brdtext"/>
        <w:jc w:val="center"/>
      </w:pPr>
      <w:r>
        <w:t>18 b §</w:t>
      </w:r>
    </w:p>
    <w:p w14:paraId="25B7AD70" w14:textId="77777777" w:rsidR="00E6002D" w:rsidRDefault="00E6002D" w:rsidP="00E6002D">
      <w:pPr>
        <w:pStyle w:val="Brdtextmedindrag"/>
        <w:ind w:firstLine="0"/>
      </w:pPr>
      <w:r w:rsidRPr="00C36219">
        <w:rPr>
          <w:spacing w:val="-4"/>
        </w:rPr>
        <w:t xml:space="preserve">Hemlig avlyssning av elektronisk kommunikation får </w:t>
      </w:r>
      <w:r w:rsidRPr="000779A3">
        <w:rPr>
          <w:spacing w:val="-4"/>
        </w:rPr>
        <w:t xml:space="preserve">även </w:t>
      </w:r>
      <w:r w:rsidRPr="00C36219">
        <w:rPr>
          <w:spacing w:val="-4"/>
        </w:rPr>
        <w:t xml:space="preserve">användas </w:t>
      </w:r>
      <w:r w:rsidRPr="000779A3">
        <w:rPr>
          <w:spacing w:val="-4"/>
        </w:rPr>
        <w:t xml:space="preserve">i syfte att utreda vem som </w:t>
      </w:r>
      <w:r w:rsidRPr="00A312F3">
        <w:rPr>
          <w:spacing w:val="-4"/>
        </w:rPr>
        <w:t xml:space="preserve">skäligen </w:t>
      </w:r>
      <w:r w:rsidRPr="000779A3">
        <w:rPr>
          <w:spacing w:val="-4"/>
        </w:rPr>
        <w:t xml:space="preserve">kan misstänkas </w:t>
      </w:r>
      <w:r w:rsidRPr="00A312F3">
        <w:rPr>
          <w:spacing w:val="-4"/>
        </w:rPr>
        <w:t>för brott som avses i andra stycket</w:t>
      </w:r>
      <w:r w:rsidRPr="000779A3">
        <w:rPr>
          <w:spacing w:val="-4"/>
        </w:rPr>
        <w:t>, om åtgärden är av synnerlig vikt för utredningen.</w:t>
      </w:r>
    </w:p>
    <w:p w14:paraId="12855817" w14:textId="77777777" w:rsidR="00E6002D" w:rsidRDefault="00E6002D" w:rsidP="00E6002D">
      <w:pPr>
        <w:pStyle w:val="Brdtextmedindrag"/>
      </w:pPr>
      <w:r>
        <w:t>Hemlig avlyssning av elektronisk kommunikation enligt denna paragraf får användas vid en förundersökning om</w:t>
      </w:r>
    </w:p>
    <w:p w14:paraId="209118E3" w14:textId="77777777" w:rsidR="00E6002D" w:rsidRDefault="00E6002D" w:rsidP="00E6002D">
      <w:pPr>
        <w:pStyle w:val="Brdtextmedindrag"/>
      </w:pPr>
      <w:r>
        <w:t>1. ett brott för vilket det inte är föreskrivet lindrigare straff än fängelse i fyra år,</w:t>
      </w:r>
    </w:p>
    <w:tbl>
      <w:tblPr>
        <w:tblW w:w="5000" w:type="pct"/>
        <w:tblLook w:val="0600" w:firstRow="0" w:lastRow="0" w:firstColumn="0" w:lastColumn="0" w:noHBand="1" w:noVBand="1"/>
      </w:tblPr>
      <w:tblGrid>
        <w:gridCol w:w="2948"/>
        <w:gridCol w:w="2949"/>
      </w:tblGrid>
      <w:tr w:rsidR="00E6002D" w14:paraId="11338B75" w14:textId="77777777" w:rsidTr="00A9083F">
        <w:tc>
          <w:tcPr>
            <w:tcW w:w="2500" w:type="pct"/>
            <w:shd w:val="clear" w:color="auto" w:fill="auto"/>
            <w:tcMar>
              <w:left w:w="0" w:type="dxa"/>
            </w:tcMar>
          </w:tcPr>
          <w:p w14:paraId="79748E95" w14:textId="77777777" w:rsidR="00E6002D" w:rsidRPr="002F31F7" w:rsidRDefault="00E6002D" w:rsidP="00A9083F">
            <w:pPr>
              <w:pStyle w:val="Brdtextmedindrag"/>
            </w:pPr>
            <w:r w:rsidRPr="002F31F7">
              <w:rPr>
                <w:spacing w:val="2"/>
              </w:rPr>
              <w:t>2.</w:t>
            </w:r>
            <w:r>
              <w:rPr>
                <w:spacing w:val="2"/>
              </w:rPr>
              <w:t> </w:t>
            </w:r>
            <w:r w:rsidRPr="002F31F7">
              <w:rPr>
                <w:spacing w:val="2"/>
              </w:rPr>
              <w:t>grovt dataintrång enligt 4</w:t>
            </w:r>
            <w:r>
              <w:rPr>
                <w:spacing w:val="2"/>
              </w:rPr>
              <w:t> kap.</w:t>
            </w:r>
            <w:r w:rsidRPr="000779A3">
              <w:rPr>
                <w:spacing w:val="2"/>
              </w:rPr>
              <w:t xml:space="preserve"> 9</w:t>
            </w:r>
            <w:r>
              <w:rPr>
                <w:spacing w:val="2"/>
              </w:rPr>
              <w:t> </w:t>
            </w:r>
            <w:r w:rsidRPr="000779A3">
              <w:rPr>
                <w:spacing w:val="2"/>
              </w:rPr>
              <w:t>c</w:t>
            </w:r>
            <w:r>
              <w:rPr>
                <w:spacing w:val="2"/>
              </w:rPr>
              <w:t> </w:t>
            </w:r>
            <w:r w:rsidRPr="000779A3">
              <w:rPr>
                <w:spacing w:val="2"/>
              </w:rPr>
              <w:t>§ andra stycket brottsbalken, om det kan antas att brottets straffvärde överstiger fängelse i ett år,</w:t>
            </w:r>
          </w:p>
        </w:tc>
        <w:tc>
          <w:tcPr>
            <w:tcW w:w="2500" w:type="pct"/>
            <w:shd w:val="clear" w:color="auto" w:fill="auto"/>
            <w:tcMar>
              <w:right w:w="0" w:type="dxa"/>
            </w:tcMar>
          </w:tcPr>
          <w:p w14:paraId="078EED55" w14:textId="77777777" w:rsidR="00E6002D" w:rsidRPr="00806C3B" w:rsidRDefault="00E6002D" w:rsidP="00A9083F">
            <w:pPr>
              <w:pStyle w:val="Brdtextmedindrag"/>
              <w:rPr>
                <w:i/>
                <w:iCs/>
              </w:rPr>
            </w:pPr>
            <w:r w:rsidRPr="002F31F7">
              <w:rPr>
                <w:spacing w:val="-4"/>
              </w:rPr>
              <w:t>2. </w:t>
            </w:r>
            <w:r w:rsidRPr="002F31F7">
              <w:rPr>
                <w:i/>
                <w:iCs/>
                <w:spacing w:val="-4"/>
              </w:rPr>
              <w:t>äktenskapstvång</w:t>
            </w:r>
            <w:r>
              <w:rPr>
                <w:i/>
                <w:iCs/>
                <w:spacing w:val="-4"/>
              </w:rPr>
              <w:t xml:space="preserve">, </w:t>
            </w:r>
            <w:r w:rsidRPr="002F31F7">
              <w:rPr>
                <w:i/>
                <w:iCs/>
                <w:spacing w:val="-4"/>
              </w:rPr>
              <w:t>barn</w:t>
            </w:r>
            <w:r w:rsidRPr="002F31F7">
              <w:rPr>
                <w:i/>
                <w:iCs/>
                <w:spacing w:val="-4"/>
              </w:rPr>
              <w:softHyphen/>
              <w:t>äkten</w:t>
            </w:r>
            <w:r w:rsidRPr="002F31F7">
              <w:rPr>
                <w:i/>
                <w:iCs/>
                <w:spacing w:val="-4"/>
              </w:rPr>
              <w:softHyphen/>
              <w:t>skaps</w:t>
            </w:r>
            <w:r>
              <w:rPr>
                <w:i/>
                <w:iCs/>
                <w:spacing w:val="-4"/>
              </w:rPr>
              <w:softHyphen/>
            </w:r>
            <w:r w:rsidRPr="002F31F7">
              <w:rPr>
                <w:i/>
                <w:iCs/>
                <w:spacing w:val="-4"/>
              </w:rPr>
              <w:t>brott</w:t>
            </w:r>
            <w:r>
              <w:rPr>
                <w:i/>
                <w:spacing w:val="-4"/>
              </w:rPr>
              <w:t xml:space="preserve"> </w:t>
            </w:r>
            <w:r>
              <w:rPr>
                <w:i/>
                <w:iCs/>
              </w:rPr>
              <w:t>eller</w:t>
            </w:r>
            <w:r>
              <w:t xml:space="preserve"> </w:t>
            </w:r>
            <w:r w:rsidRPr="00212B67">
              <w:t xml:space="preserve">grovt dataintrång </w:t>
            </w:r>
            <w:r>
              <w:t xml:space="preserve">enligt </w:t>
            </w:r>
            <w:r w:rsidRPr="002F31F7">
              <w:rPr>
                <w:spacing w:val="-6"/>
              </w:rPr>
              <w:t>4</w:t>
            </w:r>
            <w:r>
              <w:rPr>
                <w:spacing w:val="-6"/>
              </w:rPr>
              <w:t> kap.</w:t>
            </w:r>
            <w:r w:rsidRPr="002F31F7">
              <w:rPr>
                <w:spacing w:val="-6"/>
              </w:rPr>
              <w:t xml:space="preserve"> </w:t>
            </w:r>
            <w:r>
              <w:rPr>
                <w:i/>
                <w:iCs/>
                <w:spacing w:val="-4"/>
              </w:rPr>
              <w:t>4 c §</w:t>
            </w:r>
            <w:r w:rsidRPr="00274ADF">
              <w:rPr>
                <w:i/>
                <w:iCs/>
              </w:rPr>
              <w:t xml:space="preserve"> </w:t>
            </w:r>
            <w:r w:rsidRPr="004F5AD7">
              <w:rPr>
                <w:i/>
                <w:iCs/>
              </w:rPr>
              <w:t>eller</w:t>
            </w:r>
            <w:r>
              <w:t xml:space="preserve"> </w:t>
            </w:r>
            <w:r w:rsidRPr="002F31F7">
              <w:rPr>
                <w:spacing w:val="2"/>
              </w:rPr>
              <w:t>9 c § andra stycket brotts</w:t>
            </w:r>
            <w:r w:rsidRPr="002F31F7">
              <w:rPr>
                <w:spacing w:val="2"/>
              </w:rPr>
              <w:softHyphen/>
              <w:t>balken</w:t>
            </w:r>
            <w:r>
              <w:rPr>
                <w:spacing w:val="2"/>
              </w:rPr>
              <w:t>, om det kan antas att brottets straffvärde över</w:t>
            </w:r>
            <w:r>
              <w:rPr>
                <w:spacing w:val="2"/>
              </w:rPr>
              <w:softHyphen/>
              <w:t>stiger fängelse i ett år</w:t>
            </w:r>
            <w:r w:rsidRPr="002F31F7">
              <w:rPr>
                <w:spacing w:val="2"/>
              </w:rPr>
              <w:t>,</w:t>
            </w:r>
          </w:p>
        </w:tc>
      </w:tr>
    </w:tbl>
    <w:p w14:paraId="0179B61D" w14:textId="77777777" w:rsidR="00E6002D" w:rsidRDefault="00E6002D" w:rsidP="00E6002D">
      <w:pPr>
        <w:pStyle w:val="Brdtextmedindrag"/>
      </w:pPr>
      <w:r w:rsidRPr="000779A3">
        <w:t>3.</w:t>
      </w:r>
      <w:r>
        <w:t> </w:t>
      </w:r>
      <w:r w:rsidRPr="000779A3">
        <w:t>våldtäkt eller våldtäkt mot barn enligt 6</w:t>
      </w:r>
      <w:r>
        <w:t> kap.</w:t>
      </w:r>
      <w:r w:rsidRPr="000779A3">
        <w:t xml:space="preserve"> 1</w:t>
      </w:r>
      <w:r>
        <w:t> §</w:t>
      </w:r>
      <w:r w:rsidRPr="000779A3">
        <w:t xml:space="preserve"> första stycket eller 4</w:t>
      </w:r>
      <w:r>
        <w:t> </w:t>
      </w:r>
      <w:r w:rsidRPr="000779A3">
        <w:t>§ första eller andra stycket brottsbalken,</w:t>
      </w:r>
    </w:p>
    <w:p w14:paraId="354C2943" w14:textId="77777777" w:rsidR="00E6002D" w:rsidRDefault="00E6002D" w:rsidP="00E6002D">
      <w:pPr>
        <w:pStyle w:val="Brdtextmedindrag"/>
      </w:pPr>
      <w:r w:rsidRPr="000779A3">
        <w:t>4.</w:t>
      </w:r>
      <w:r>
        <w:t> </w:t>
      </w:r>
      <w:r w:rsidRPr="000779A3">
        <w:t>grovt bedrägeri enligt 9</w:t>
      </w:r>
      <w:r>
        <w:t> kap.</w:t>
      </w:r>
      <w:r w:rsidRPr="000779A3">
        <w:t xml:space="preserve"> 3</w:t>
      </w:r>
      <w:r>
        <w:t> </w:t>
      </w:r>
      <w:r w:rsidRPr="000779A3">
        <w:t>§ brottsbalken, om gärningen har begåtts med hjälp av elektronisk kommunikation och det kan antas att brottets straffvärde överstiger fängelse i ett år,</w:t>
      </w:r>
    </w:p>
    <w:p w14:paraId="45D7C80E" w14:textId="77777777" w:rsidR="00E6002D" w:rsidRDefault="00E6002D" w:rsidP="00E6002D">
      <w:pPr>
        <w:pStyle w:val="Brdtextmedindrag"/>
      </w:pPr>
      <w:r w:rsidRPr="000779A3">
        <w:rPr>
          <w:spacing w:val="-2"/>
        </w:rPr>
        <w:t>5.</w:t>
      </w:r>
      <w:r>
        <w:rPr>
          <w:spacing w:val="-2"/>
        </w:rPr>
        <w:t> </w:t>
      </w:r>
      <w:r w:rsidRPr="000779A3">
        <w:rPr>
          <w:spacing w:val="-2"/>
        </w:rPr>
        <w:t>utpressning enligt 9</w:t>
      </w:r>
      <w:r>
        <w:rPr>
          <w:spacing w:val="-2"/>
        </w:rPr>
        <w:t> kap.</w:t>
      </w:r>
      <w:r w:rsidRPr="000779A3">
        <w:rPr>
          <w:spacing w:val="-2"/>
        </w:rPr>
        <w:t xml:space="preserve"> 4</w:t>
      </w:r>
      <w:r>
        <w:rPr>
          <w:spacing w:val="-2"/>
        </w:rPr>
        <w:t> </w:t>
      </w:r>
      <w:r w:rsidRPr="000779A3">
        <w:rPr>
          <w:spacing w:val="-2"/>
        </w:rPr>
        <w:t>§ första stycket brottsbalken, om det kan antas att brottets straffvärde överstiger fängelse i ett år,</w:t>
      </w:r>
    </w:p>
    <w:p w14:paraId="0222A8D4" w14:textId="77777777" w:rsidR="00E6002D" w:rsidRDefault="00E6002D" w:rsidP="00E6002D">
      <w:pPr>
        <w:pStyle w:val="Brdtextmedindrag"/>
        <w:rPr>
          <w:spacing w:val="-4"/>
        </w:rPr>
      </w:pPr>
      <w:r w:rsidRPr="00BC1B46">
        <w:rPr>
          <w:spacing w:val="-4"/>
        </w:rPr>
        <w:t>6. grov utpressning enligt 9</w:t>
      </w:r>
      <w:r>
        <w:rPr>
          <w:spacing w:val="-4"/>
        </w:rPr>
        <w:t> kap.</w:t>
      </w:r>
      <w:r w:rsidRPr="00BC1B46">
        <w:rPr>
          <w:spacing w:val="-4"/>
        </w:rPr>
        <w:t xml:space="preserve"> 4</w:t>
      </w:r>
      <w:r>
        <w:rPr>
          <w:spacing w:val="-4"/>
        </w:rPr>
        <w:t> §</w:t>
      </w:r>
      <w:r w:rsidRPr="00BC1B46">
        <w:rPr>
          <w:spacing w:val="-4"/>
        </w:rPr>
        <w:t xml:space="preserve"> andra stycket brottsbalken,</w:t>
      </w:r>
    </w:p>
    <w:p w14:paraId="06B37FD2" w14:textId="77777777" w:rsidR="00E6002D" w:rsidRDefault="00E6002D" w:rsidP="00E6002D">
      <w:pPr>
        <w:pStyle w:val="Brdtextmedindrag"/>
      </w:pPr>
      <w:r w:rsidRPr="00BC1B46">
        <w:t>7.</w:t>
      </w:r>
      <w:r>
        <w:t> </w:t>
      </w:r>
      <w:r w:rsidRPr="00BC1B46">
        <w:t>allmänfarlig ödeläggelse eller grovt sabotage enligt 13</w:t>
      </w:r>
      <w:r>
        <w:t> kap.</w:t>
      </w:r>
      <w:r w:rsidRPr="00BC1B46">
        <w:t xml:space="preserve"> 3</w:t>
      </w:r>
      <w:r>
        <w:t> §</w:t>
      </w:r>
      <w:r w:rsidRPr="00BC1B46">
        <w:t xml:space="preserve"> första stycket eller 5</w:t>
      </w:r>
      <w:r>
        <w:t> §</w:t>
      </w:r>
      <w:r w:rsidRPr="00BC1B46">
        <w:t xml:space="preserve"> brottsbalken,</w:t>
      </w:r>
    </w:p>
    <w:p w14:paraId="2F3B549D" w14:textId="77777777" w:rsidR="00E6002D" w:rsidRDefault="00E6002D" w:rsidP="00E6002D">
      <w:pPr>
        <w:pStyle w:val="Brdtextmedindrag"/>
      </w:pPr>
      <w:r w:rsidRPr="00BC1B46">
        <w:t>8.</w:t>
      </w:r>
      <w:r>
        <w:t> </w:t>
      </w:r>
      <w:r w:rsidRPr="00BC1B46">
        <w:t>krigsanstiftan eller grovt utlandsspioneri enligt 19</w:t>
      </w:r>
      <w:r>
        <w:t> kap.</w:t>
      </w:r>
      <w:r w:rsidRPr="00BC1B46">
        <w:t xml:space="preserve"> 2 eller 6 b</w:t>
      </w:r>
      <w:r>
        <w:t> §</w:t>
      </w:r>
      <w:r w:rsidRPr="00BC1B46">
        <w:t xml:space="preserve"> brottsbalken,</w:t>
      </w:r>
    </w:p>
    <w:p w14:paraId="1229D3C9" w14:textId="77777777" w:rsidR="00E6002D" w:rsidRDefault="00E6002D" w:rsidP="00E6002D">
      <w:pPr>
        <w:pStyle w:val="Brdtextmedindrag"/>
        <w:rPr>
          <w:spacing w:val="-2"/>
        </w:rPr>
      </w:pPr>
      <w:r w:rsidRPr="00926700">
        <w:rPr>
          <w:spacing w:val="-2"/>
        </w:rPr>
        <w:t>9.</w:t>
      </w:r>
      <w:r>
        <w:rPr>
          <w:spacing w:val="-2"/>
        </w:rPr>
        <w:t> </w:t>
      </w:r>
      <w:r w:rsidRPr="00926700">
        <w:rPr>
          <w:spacing w:val="-2"/>
        </w:rPr>
        <w:t>grovt narkotikabrott enligt 3</w:t>
      </w:r>
      <w:r>
        <w:rPr>
          <w:spacing w:val="-2"/>
        </w:rPr>
        <w:t> §</w:t>
      </w:r>
      <w:r w:rsidRPr="00926700">
        <w:rPr>
          <w:spacing w:val="-2"/>
        </w:rPr>
        <w:t xml:space="preserve"> första stycket narkotikastrafflagen (1968:64),</w:t>
      </w:r>
    </w:p>
    <w:p w14:paraId="69AE788E" w14:textId="77777777" w:rsidR="00E6002D" w:rsidRDefault="00E6002D" w:rsidP="00E6002D">
      <w:pPr>
        <w:pStyle w:val="Brdtextmedindrag"/>
      </w:pPr>
      <w:r w:rsidRPr="00BC1B46">
        <w:t>10.</w:t>
      </w:r>
      <w:r>
        <w:t> </w:t>
      </w:r>
      <w:r w:rsidRPr="00BC1B46">
        <w:t xml:space="preserve">grovt vapenbrott enligt </w:t>
      </w:r>
      <w:r>
        <w:t>18 kap.</w:t>
      </w:r>
      <w:r w:rsidRPr="00BC1B46" w:rsidDel="00657E6C">
        <w:t xml:space="preserve"> </w:t>
      </w:r>
      <w:r>
        <w:t>2 §</w:t>
      </w:r>
      <w:r w:rsidRPr="00BC1B46">
        <w:t xml:space="preserve"> första stycket vapenlagen (</w:t>
      </w:r>
      <w:r>
        <w:t>2026:000</w:t>
      </w:r>
      <w:r w:rsidRPr="00BC1B46">
        <w:t>),</w:t>
      </w:r>
    </w:p>
    <w:p w14:paraId="6553E06C" w14:textId="77777777" w:rsidR="00E6002D" w:rsidRDefault="00E6002D" w:rsidP="00E6002D">
      <w:pPr>
        <w:pStyle w:val="Brdtextmedindrag"/>
      </w:pPr>
      <w:r w:rsidRPr="00BC1B46">
        <w:rPr>
          <w:spacing w:val="-4"/>
        </w:rPr>
        <w:t>11.</w:t>
      </w:r>
      <w:r>
        <w:rPr>
          <w:spacing w:val="-4"/>
        </w:rPr>
        <w:t> </w:t>
      </w:r>
      <w:r w:rsidRPr="00BC1B46">
        <w:rPr>
          <w:spacing w:val="-4"/>
        </w:rPr>
        <w:t>grov narkotikasmuggling, grov vapensmuggling eller grov smuggling av explosiv vara enligt 6</w:t>
      </w:r>
      <w:r>
        <w:rPr>
          <w:spacing w:val="-4"/>
        </w:rPr>
        <w:t> §</w:t>
      </w:r>
      <w:r w:rsidRPr="00BC1B46">
        <w:rPr>
          <w:spacing w:val="-4"/>
        </w:rPr>
        <w:t xml:space="preserve"> tredje stycket, 6 a</w:t>
      </w:r>
      <w:r>
        <w:rPr>
          <w:spacing w:val="-4"/>
        </w:rPr>
        <w:t> §</w:t>
      </w:r>
      <w:r w:rsidRPr="00BC1B46">
        <w:rPr>
          <w:spacing w:val="-4"/>
        </w:rPr>
        <w:t xml:space="preserve"> tredje stycket eller 6 b</w:t>
      </w:r>
      <w:r>
        <w:rPr>
          <w:spacing w:val="-4"/>
        </w:rPr>
        <w:t> §</w:t>
      </w:r>
      <w:r w:rsidRPr="00BC1B46">
        <w:rPr>
          <w:spacing w:val="-4"/>
        </w:rPr>
        <w:t xml:space="preserve"> tredje stycket lagen (2000:1225) om straff för smuggling,</w:t>
      </w:r>
    </w:p>
    <w:p w14:paraId="5DD588EB" w14:textId="77777777" w:rsidR="00E6002D" w:rsidRDefault="00E6002D" w:rsidP="00E6002D">
      <w:pPr>
        <w:pStyle w:val="Brdtextmedindrag"/>
      </w:pPr>
      <w:r w:rsidRPr="00BC1B46">
        <w:t>12.</w:t>
      </w:r>
      <w:r>
        <w:t> </w:t>
      </w:r>
      <w:r w:rsidRPr="00BC1B46">
        <w:t>grovt brott enligt 29 a</w:t>
      </w:r>
      <w:r>
        <w:t> §</w:t>
      </w:r>
      <w:r w:rsidRPr="00BC1B46">
        <w:t xml:space="preserve"> första stycket lagen (2010:1011) om</w:t>
      </w:r>
      <w:r>
        <w:t xml:space="preserve"> </w:t>
      </w:r>
      <w:r w:rsidRPr="000D3748">
        <w:t>brand</w:t>
      </w:r>
      <w:r>
        <w:softHyphen/>
      </w:r>
      <w:r w:rsidRPr="000D3748">
        <w:t>farliga</w:t>
      </w:r>
      <w:r w:rsidRPr="00BC1B46">
        <w:t xml:space="preserve"> och explosiva varor,</w:t>
      </w:r>
    </w:p>
    <w:p w14:paraId="63F2789C" w14:textId="77777777" w:rsidR="00E6002D" w:rsidRDefault="00E6002D" w:rsidP="00E6002D">
      <w:pPr>
        <w:pStyle w:val="Brdtextmedindrag"/>
      </w:pPr>
      <w:r w:rsidRPr="00BC1B46">
        <w:t>13.</w:t>
      </w:r>
      <w:r>
        <w:t> </w:t>
      </w:r>
      <w:r w:rsidRPr="00BC1B46">
        <w:t>grovt penningtvättsbrott eller näringspenningtvätt, grovt brott, enligt 5</w:t>
      </w:r>
      <w:r>
        <w:t> §</w:t>
      </w:r>
      <w:r w:rsidRPr="00BC1B46">
        <w:t xml:space="preserve"> eller 7</w:t>
      </w:r>
      <w:r>
        <w:t> §</w:t>
      </w:r>
      <w:r w:rsidRPr="00BC1B46">
        <w:t xml:space="preserve"> andra stycket lagen (2014:307) om straff för penningtvätts</w:t>
      </w:r>
      <w:r>
        <w:softHyphen/>
      </w:r>
      <w:r w:rsidRPr="00BC1B46">
        <w:t>brott, om det kan antas att brottets straffvärde överstiger fängelse i ett år,</w:t>
      </w:r>
    </w:p>
    <w:p w14:paraId="6809DF52" w14:textId="77777777" w:rsidR="00E6002D" w:rsidRDefault="00E6002D" w:rsidP="00E6002D">
      <w:pPr>
        <w:pStyle w:val="Brdtextmedindrag"/>
      </w:pPr>
      <w:r w:rsidRPr="00BC1B46">
        <w:t>14. terroristbrott enligt 4</w:t>
      </w:r>
      <w:r>
        <w:t> §</w:t>
      </w:r>
      <w:r w:rsidRPr="00BC1B46">
        <w:t xml:space="preserve"> terroristbrottslagen (2022:666),</w:t>
      </w:r>
    </w:p>
    <w:p w14:paraId="5DC94725" w14:textId="77777777" w:rsidR="00E6002D" w:rsidRDefault="00E6002D" w:rsidP="00E6002D">
      <w:pPr>
        <w:pStyle w:val="Brdtextmedindrag"/>
      </w:pPr>
      <w:r w:rsidRPr="00BC1B46">
        <w:rPr>
          <w:spacing w:val="-4"/>
        </w:rPr>
        <w:t>15.</w:t>
      </w:r>
      <w:r>
        <w:rPr>
          <w:spacing w:val="-4"/>
        </w:rPr>
        <w:t> </w:t>
      </w:r>
      <w:r w:rsidRPr="00BC1B46">
        <w:rPr>
          <w:spacing w:val="-4"/>
        </w:rPr>
        <w:t>ett brott som avses i 18</w:t>
      </w:r>
      <w:r>
        <w:rPr>
          <w:spacing w:val="-4"/>
        </w:rPr>
        <w:t> </w:t>
      </w:r>
      <w:r w:rsidRPr="00BC1B46">
        <w:rPr>
          <w:spacing w:val="-4"/>
        </w:rPr>
        <w:t>a</w:t>
      </w:r>
      <w:r>
        <w:rPr>
          <w:spacing w:val="-4"/>
        </w:rPr>
        <w:t> §</w:t>
      </w:r>
      <w:r w:rsidRPr="00BC1B46">
        <w:rPr>
          <w:spacing w:val="-4"/>
        </w:rPr>
        <w:t xml:space="preserve"> andra stycket 3, 4, 7, 8, 10, 13, 14, 17 eller 18,</w:t>
      </w:r>
    </w:p>
    <w:p w14:paraId="0DBB4809" w14:textId="77777777" w:rsidR="00E6002D" w:rsidRDefault="00E6002D" w:rsidP="00E6002D">
      <w:pPr>
        <w:pStyle w:val="Brdtextmedindrag"/>
      </w:pPr>
      <w:r w:rsidRPr="00BC1B46">
        <w:rPr>
          <w:spacing w:val="2"/>
        </w:rPr>
        <w:t>16.</w:t>
      </w:r>
      <w:r>
        <w:rPr>
          <w:spacing w:val="2"/>
        </w:rPr>
        <w:t> </w:t>
      </w:r>
      <w:r w:rsidRPr="00BC1B46">
        <w:rPr>
          <w:spacing w:val="2"/>
        </w:rPr>
        <w:t>försök, förberedelse eller stämpling till ett brott som avses i 1, 3, 6–12, 14 eller 15, om en sådan gärning är belagd med straff,</w:t>
      </w:r>
    </w:p>
    <w:p w14:paraId="64C742D4" w14:textId="77777777" w:rsidR="00E6002D" w:rsidRDefault="00E6002D" w:rsidP="00E6002D">
      <w:pPr>
        <w:pStyle w:val="Brdtextmedindrag"/>
        <w:rPr>
          <w:spacing w:val="-2"/>
        </w:rPr>
      </w:pPr>
      <w:r w:rsidRPr="00BC1B46">
        <w:rPr>
          <w:spacing w:val="-2"/>
        </w:rPr>
        <w:t>17.</w:t>
      </w:r>
      <w:r>
        <w:rPr>
          <w:spacing w:val="-2"/>
        </w:rPr>
        <w:t> </w:t>
      </w:r>
      <w:r w:rsidRPr="00BC1B46">
        <w:rPr>
          <w:spacing w:val="-2"/>
        </w:rPr>
        <w:t>försök, förberedelse eller stämpling till ett brott som avses i 2, 4, 5 eller</w:t>
      </w:r>
      <w:r>
        <w:rPr>
          <w:spacing w:val="-2"/>
        </w:rPr>
        <w:t> </w:t>
      </w:r>
      <w:r w:rsidRPr="00BC1B46">
        <w:rPr>
          <w:spacing w:val="-2"/>
        </w:rPr>
        <w:t>13, om en sådan gärning är belagd med straff och det kan antas att gärningens straffvärde överstiger fängelse i ett år,</w:t>
      </w:r>
    </w:p>
    <w:p w14:paraId="4B5BBCBF" w14:textId="77777777" w:rsidR="00E6002D" w:rsidRDefault="00E6002D" w:rsidP="00E6002D">
      <w:pPr>
        <w:pStyle w:val="Brdtextmedindrag"/>
      </w:pPr>
      <w:r w:rsidRPr="00BC1B46">
        <w:t>18.</w:t>
      </w:r>
      <w:r>
        <w:t> </w:t>
      </w:r>
      <w:r w:rsidRPr="00BC1B46">
        <w:t>ett annat brott, om det kan antas att brottets straffvärde överstiger fängelse i fyra år, eller</w:t>
      </w:r>
    </w:p>
    <w:p w14:paraId="1964BD49" w14:textId="77777777" w:rsidR="00E6002D" w:rsidRDefault="00E6002D" w:rsidP="00BF6FD4">
      <w:pPr>
        <w:pStyle w:val="Brdtextmedindrag"/>
        <w:keepNext/>
      </w:pPr>
      <w:r>
        <w:lastRenderedPageBreak/>
        <w:t>19. flera brott, om</w:t>
      </w:r>
    </w:p>
    <w:p w14:paraId="48BE6173" w14:textId="77777777" w:rsidR="00E6002D" w:rsidRDefault="00E6002D" w:rsidP="00E6002D">
      <w:pPr>
        <w:pStyle w:val="Brdtextmedindrag"/>
      </w:pPr>
      <w:r>
        <w:t>a) det kan antas att samtliga brott har begåtts av en och samma person,</w:t>
      </w:r>
    </w:p>
    <w:p w14:paraId="4AAD6101" w14:textId="77777777" w:rsidR="00E6002D" w:rsidRDefault="00E6002D" w:rsidP="00E6002D">
      <w:pPr>
        <w:pStyle w:val="Brdtextmedindrag"/>
      </w:pPr>
      <w:r>
        <w:t>b) det kan antas att den samlade brottslighetens straffvärde överstiger fängelse i fyra år,</w:t>
      </w:r>
    </w:p>
    <w:p w14:paraId="786F303D" w14:textId="77777777" w:rsidR="00E6002D" w:rsidRDefault="00E6002D" w:rsidP="00E6002D">
      <w:pPr>
        <w:pStyle w:val="Brdtextmedindrag"/>
      </w:pPr>
      <w:r>
        <w:t>c) det kan antas att vart och ett av brotten har utgjort ett led i en brotts</w:t>
      </w:r>
      <w:r>
        <w:softHyphen/>
        <w:t>lighet som har utövats i organiserad form eller systematiskt, och</w:t>
      </w:r>
    </w:p>
    <w:p w14:paraId="5C9A7BEF" w14:textId="77777777" w:rsidR="00E6002D" w:rsidRDefault="00E6002D" w:rsidP="00E6002D">
      <w:pPr>
        <w:pStyle w:val="Brdtextmedindrag"/>
      </w:pPr>
      <w:r>
        <w:t>d) det för vart och ett av brotten inte är föreskrivet lindrigare straff än fängelse i sex månader eller det är fråga om försök, förberedelse eller stämpling till ett sådant brott, om en sådan gärning är belagd med straff.</w:t>
      </w:r>
    </w:p>
    <w:p w14:paraId="2D916FB2" w14:textId="77777777" w:rsidR="00E6002D" w:rsidRPr="009F612C" w:rsidRDefault="00E6002D" w:rsidP="00E6002D">
      <w:pPr>
        <w:pStyle w:val="Brdtextmedindrag"/>
        <w:rPr>
          <w:spacing w:val="34"/>
          <w:u w:val="single"/>
        </w:rPr>
      </w:pPr>
      <w:r w:rsidRPr="00C74C45">
        <w:t>Hemlig avlyssning av elektronisk kommunikation enligt denna paragraf får endast avse ett telefonnummer eller en annan adress eller en viss elektronisk kommunikationsutrustning som</w:t>
      </w:r>
    </w:p>
    <w:p w14:paraId="3F76BA69" w14:textId="77777777" w:rsidR="00E6002D" w:rsidRPr="00BC1B46" w:rsidRDefault="00E6002D" w:rsidP="00E6002D">
      <w:pPr>
        <w:pStyle w:val="Brdtextmedindrag"/>
      </w:pPr>
      <w:r w:rsidRPr="00BC1B46">
        <w:t>1.</w:t>
      </w:r>
      <w:r>
        <w:t> </w:t>
      </w:r>
      <w:r w:rsidRPr="00BC1B46">
        <w:t>det finns särskild anledning att anta att gärningsmannen eller någon annan som har medverkat till brottet eller brotten under den tid som till</w:t>
      </w:r>
      <w:r>
        <w:softHyphen/>
      </w:r>
      <w:r w:rsidRPr="00BC1B46">
        <w:t>ståndet avser har använt eller kommer att använda, eller</w:t>
      </w:r>
    </w:p>
    <w:p w14:paraId="48DA1135" w14:textId="77777777" w:rsidR="00E6002D" w:rsidRDefault="00E6002D" w:rsidP="00E6002D">
      <w:pPr>
        <w:pStyle w:val="Brdtextmedindrag"/>
      </w:pPr>
      <w:r w:rsidRPr="00BC1B46">
        <w:t>2.</w:t>
      </w:r>
      <w:r>
        <w:t> </w:t>
      </w:r>
      <w:r w:rsidRPr="00BC1B46">
        <w:t>det finns synnerlig anledning att anta att gärningsmannen eller någon annan som har medverkat till brottet eller brotten under den tid som till</w:t>
      </w:r>
      <w:r>
        <w:softHyphen/>
      </w:r>
      <w:r w:rsidRPr="00BC1B46">
        <w:t>ståndet avser har kontaktat eller kommer att kontakta.</w:t>
      </w:r>
    </w:p>
    <w:p w14:paraId="70D2E788" w14:textId="77777777" w:rsidR="00E6002D" w:rsidRDefault="00E6002D" w:rsidP="00E6002D">
      <w:pPr>
        <w:pStyle w:val="Slutstreck"/>
      </w:pPr>
      <w:r w:rsidRPr="00660EEA">
        <w:t>                      </w:t>
      </w:r>
    </w:p>
    <w:p w14:paraId="66093EF8" w14:textId="77777777" w:rsidR="00E6002D" w:rsidRDefault="00E6002D" w:rsidP="00E6002D">
      <w:pPr>
        <w:pStyle w:val="Brdtextmedindrag"/>
      </w:pPr>
      <w:r>
        <w:t>Denna lag träder i kraft den 2 juli 2026.</w:t>
      </w:r>
    </w:p>
    <w:p w14:paraId="0BC1A5F6" w14:textId="77777777" w:rsidR="00E6002D" w:rsidRDefault="00E6002D" w:rsidP="00E6002D">
      <w:pPr>
        <w:pStyle w:val="Brdtextmedindrag"/>
      </w:pPr>
    </w:p>
    <w:p w14:paraId="4D4EA852" w14:textId="77777777" w:rsidR="00DB62B9" w:rsidRDefault="00DB62B9" w:rsidP="00152749">
      <w:pPr>
        <w:pStyle w:val="Brdtextmedindrag"/>
      </w:pPr>
    </w:p>
    <w:p w14:paraId="41AD9171" w14:textId="77777777" w:rsidR="00E6002D" w:rsidRDefault="00E6002D" w:rsidP="00152749">
      <w:pPr>
        <w:pStyle w:val="Brdtextmedindrag"/>
      </w:pPr>
    </w:p>
    <w:p w14:paraId="56A13195" w14:textId="77777777" w:rsidR="00E6002D" w:rsidRDefault="00E6002D" w:rsidP="00152749">
      <w:pPr>
        <w:pStyle w:val="Brdtextmedindrag"/>
        <w:sectPr w:rsidR="00E6002D"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54F2E252" w14:textId="77777777" w:rsidR="00E6002D" w:rsidRDefault="00E6002D" w:rsidP="00E6002D">
      <w:pPr>
        <w:pStyle w:val="Rubrik2"/>
        <w:spacing w:before="0"/>
      </w:pPr>
      <w:bookmarkStart w:id="9" w:name="_Toc224807585"/>
      <w:r>
        <w:lastRenderedPageBreak/>
        <w:t>Förslag till lag om ändring i brottsbalken</w:t>
      </w:r>
      <w:bookmarkEnd w:id="9"/>
    </w:p>
    <w:p w14:paraId="04E14726" w14:textId="77777777" w:rsidR="00E6002D" w:rsidRPr="00F52597" w:rsidRDefault="00E6002D" w:rsidP="00E6002D">
      <w:pPr>
        <w:pStyle w:val="Brdtext"/>
      </w:pPr>
      <w:r w:rsidRPr="00FF6353">
        <w:rPr>
          <w:spacing w:val="-4"/>
        </w:rPr>
        <w:t xml:space="preserve">Härigenom föreskrivs att 2 kap. 5 § </w:t>
      </w:r>
      <w:r>
        <w:rPr>
          <w:spacing w:val="-4"/>
        </w:rPr>
        <w:t xml:space="preserve">och </w:t>
      </w:r>
      <w:r w:rsidRPr="00FF6353">
        <w:rPr>
          <w:spacing w:val="-4"/>
        </w:rPr>
        <w:t>4 kap. 4 c, 4 d och 10 §§ brotts</w:t>
      </w:r>
      <w:r w:rsidRPr="00FF6353">
        <w:rPr>
          <w:spacing w:val="-4"/>
        </w:rPr>
        <w:softHyphen/>
        <w:t>balken</w:t>
      </w:r>
      <w:r>
        <w:t xml:space="preserve"> ska ha följande lydelse.</w:t>
      </w:r>
    </w:p>
    <w:p w14:paraId="51732ABC" w14:textId="77777777" w:rsidR="00E6002D" w:rsidRDefault="00E6002D" w:rsidP="00E6002D">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E6002D" w:rsidRPr="005B0E77" w14:paraId="226E3E01" w14:textId="77777777" w:rsidTr="00A9083F">
        <w:tc>
          <w:tcPr>
            <w:tcW w:w="2500" w:type="pct"/>
            <w:shd w:val="clear" w:color="auto" w:fill="auto"/>
            <w:tcMar>
              <w:left w:w="0" w:type="dxa"/>
            </w:tcMar>
          </w:tcPr>
          <w:p w14:paraId="4A3B5566" w14:textId="77777777" w:rsidR="00E6002D" w:rsidRPr="005B0E77" w:rsidRDefault="00E6002D" w:rsidP="00A9083F">
            <w:pPr>
              <w:pStyle w:val="Brdtext"/>
              <w:rPr>
                <w:i/>
              </w:rPr>
            </w:pPr>
            <w:r w:rsidRPr="005B0E77">
              <w:rPr>
                <w:i/>
              </w:rPr>
              <w:t>Nuvarande lydelse</w:t>
            </w:r>
          </w:p>
        </w:tc>
        <w:tc>
          <w:tcPr>
            <w:tcW w:w="2500" w:type="pct"/>
            <w:shd w:val="clear" w:color="auto" w:fill="auto"/>
            <w:tcMar>
              <w:right w:w="0" w:type="dxa"/>
            </w:tcMar>
          </w:tcPr>
          <w:p w14:paraId="6148017F" w14:textId="77777777" w:rsidR="00E6002D" w:rsidRPr="005B0E77" w:rsidRDefault="00E6002D" w:rsidP="00A9083F">
            <w:pPr>
              <w:pStyle w:val="Brdtext"/>
              <w:rPr>
                <w:i/>
              </w:rPr>
            </w:pPr>
            <w:r w:rsidRPr="005B0E77">
              <w:rPr>
                <w:i/>
              </w:rPr>
              <w:t>Föreslagen lydelse</w:t>
            </w:r>
          </w:p>
        </w:tc>
      </w:tr>
    </w:tbl>
    <w:p w14:paraId="7A4D702C" w14:textId="77777777" w:rsidR="00E6002D" w:rsidRDefault="00E6002D" w:rsidP="00E6002D">
      <w:pPr>
        <w:pStyle w:val="Brdtext"/>
        <w:jc w:val="center"/>
        <w:rPr>
          <w:b/>
        </w:rPr>
      </w:pPr>
    </w:p>
    <w:p w14:paraId="07D53097" w14:textId="77777777" w:rsidR="00E6002D" w:rsidRDefault="00E6002D" w:rsidP="00E6002D">
      <w:pPr>
        <w:pStyle w:val="Brdtext"/>
        <w:jc w:val="center"/>
        <w:rPr>
          <w:b/>
        </w:rPr>
      </w:pPr>
      <w:r>
        <w:rPr>
          <w:b/>
        </w:rPr>
        <w:t>2 kap.</w:t>
      </w:r>
    </w:p>
    <w:p w14:paraId="18B5B3DA" w14:textId="77777777" w:rsidR="00E6002D" w:rsidRDefault="00E6002D" w:rsidP="00E6002D">
      <w:pPr>
        <w:pStyle w:val="Brdtext"/>
        <w:jc w:val="center"/>
      </w:pPr>
      <w:r>
        <w:t>5 §</w:t>
      </w:r>
      <w:r>
        <w:rPr>
          <w:rStyle w:val="Fotnotsreferens"/>
        </w:rPr>
        <w:footnoteReference w:id="3"/>
      </w:r>
    </w:p>
    <w:p w14:paraId="0DC15F01" w14:textId="77777777" w:rsidR="00E6002D" w:rsidRDefault="00E6002D" w:rsidP="00E6002D">
      <w:pPr>
        <w:pStyle w:val="Brdtextmedindrag"/>
        <w:ind w:firstLine="0"/>
        <w:rPr>
          <w:spacing w:val="-2"/>
        </w:rPr>
      </w:pPr>
      <w:r w:rsidRPr="00705FEA">
        <w:rPr>
          <w:spacing w:val="-2"/>
        </w:rPr>
        <w:t>I de fall som avses i 3</w:t>
      </w:r>
      <w:r>
        <w:rPr>
          <w:spacing w:val="-2"/>
        </w:rPr>
        <w:t> §</w:t>
      </w:r>
      <w:r w:rsidRPr="00705FEA">
        <w:rPr>
          <w:spacing w:val="-2"/>
        </w:rPr>
        <w:t xml:space="preserve"> 2, 3 och 5 är svensk domstol behörig </w:t>
      </w:r>
      <w:r w:rsidRPr="00211770">
        <w:rPr>
          <w:spacing w:val="-2"/>
        </w:rPr>
        <w:t>endast om</w:t>
      </w:r>
      <w:r>
        <w:rPr>
          <w:spacing w:val="-2"/>
        </w:rPr>
        <w:t xml:space="preserve"> </w:t>
      </w:r>
      <w:r w:rsidRPr="00211770">
        <w:rPr>
          <w:spacing w:val="-2"/>
        </w:rPr>
        <w:t>gärningen är straffbar även enligt lagen på gärningsorten (dubbel</w:t>
      </w:r>
      <w:r>
        <w:rPr>
          <w:spacing w:val="-2"/>
        </w:rPr>
        <w:t xml:space="preserve"> </w:t>
      </w:r>
      <w:r w:rsidRPr="00705FEA">
        <w:rPr>
          <w:spacing w:val="-2"/>
        </w:rPr>
        <w:t>straff</w:t>
      </w:r>
      <w:r>
        <w:rPr>
          <w:spacing w:val="-2"/>
        </w:rPr>
        <w:softHyphen/>
      </w:r>
      <w:r w:rsidRPr="00705FEA">
        <w:rPr>
          <w:spacing w:val="-2"/>
        </w:rPr>
        <w:t>bar</w:t>
      </w:r>
      <w:r>
        <w:rPr>
          <w:spacing w:val="-2"/>
        </w:rPr>
        <w:softHyphen/>
      </w:r>
      <w:r w:rsidRPr="00705FEA">
        <w:rPr>
          <w:spacing w:val="-2"/>
        </w:rPr>
        <w:t>het). Om brottet har begåtts på flera staters område är kravet</w:t>
      </w:r>
      <w:r w:rsidRPr="00211770">
        <w:rPr>
          <w:spacing w:val="-2"/>
        </w:rPr>
        <w:t xml:space="preserve"> på</w:t>
      </w:r>
      <w:r>
        <w:rPr>
          <w:spacing w:val="-2"/>
        </w:rPr>
        <w:t xml:space="preserve"> </w:t>
      </w:r>
      <w:r w:rsidRPr="00211770">
        <w:rPr>
          <w:spacing w:val="-2"/>
        </w:rPr>
        <w:t>dubbel straff</w:t>
      </w:r>
      <w:r>
        <w:rPr>
          <w:spacing w:val="-2"/>
        </w:rPr>
        <w:softHyphen/>
      </w:r>
      <w:r w:rsidRPr="00211770">
        <w:rPr>
          <w:spacing w:val="-2"/>
        </w:rPr>
        <w:t>barhet uppfyllt om gärningen är straffbar enligt lagen på någon</w:t>
      </w:r>
      <w:r>
        <w:rPr>
          <w:spacing w:val="-2"/>
        </w:rPr>
        <w:t xml:space="preserve"> </w:t>
      </w:r>
      <w:r w:rsidRPr="00211770">
        <w:rPr>
          <w:spacing w:val="-2"/>
        </w:rPr>
        <w:t>av gärnings</w:t>
      </w:r>
      <w:r>
        <w:rPr>
          <w:spacing w:val="-2"/>
        </w:rPr>
        <w:softHyphen/>
      </w:r>
      <w:r w:rsidRPr="00211770">
        <w:rPr>
          <w:spacing w:val="-2"/>
        </w:rPr>
        <w:t>orterna. Det får inte dömas till påföljd som är strängare än det</w:t>
      </w:r>
      <w:r>
        <w:rPr>
          <w:spacing w:val="-2"/>
        </w:rPr>
        <w:t xml:space="preserve"> </w:t>
      </w:r>
      <w:r w:rsidRPr="00211770">
        <w:rPr>
          <w:spacing w:val="-2"/>
        </w:rPr>
        <w:t>svåraste straff som är föreskrivet för brottet enligt lagen på gärningsorten.</w:t>
      </w:r>
    </w:p>
    <w:p w14:paraId="4E6674AA" w14:textId="77777777" w:rsidR="00E6002D" w:rsidRDefault="00E6002D" w:rsidP="00E6002D">
      <w:pPr>
        <w:pStyle w:val="Brdtextmedindrag"/>
      </w:pPr>
      <w:r>
        <w:t xml:space="preserve">Första stycket gäller inte </w:t>
      </w:r>
    </w:p>
    <w:p w14:paraId="4B968CA7" w14:textId="77777777" w:rsidR="00E6002D" w:rsidRDefault="00E6002D" w:rsidP="00E6002D">
      <w:pPr>
        <w:pStyle w:val="Brdtextmedindrag"/>
      </w:pPr>
      <w:r w:rsidRPr="00256F0E">
        <w:t>1.</w:t>
      </w:r>
      <w:r>
        <w:t> </w:t>
      </w:r>
      <w:r w:rsidRPr="00211770">
        <w:t xml:space="preserve">om </w:t>
      </w:r>
      <w:r>
        <w:t>brottet har begåtts av någon som tillhör Försvarsmakten på ett område där en avdelning av Försvarsmakten befann sig,</w:t>
      </w:r>
    </w:p>
    <w:p w14:paraId="699EB5E9" w14:textId="77777777" w:rsidR="00E6002D" w:rsidRDefault="00E6002D" w:rsidP="00E6002D">
      <w:pPr>
        <w:pStyle w:val="Brdtextmedindrag"/>
      </w:pPr>
      <w:r>
        <w:t xml:space="preserve">2. om brottet har begåtts vid tjänstgöringen av någon som är </w:t>
      </w:r>
      <w:r w:rsidRPr="00211770">
        <w:t>anställd av en svensk myndighet för att delta i en internationell militär</w:t>
      </w:r>
      <w:r>
        <w:t xml:space="preserve"> insats eller i internationell civil krishantering,</w:t>
      </w:r>
    </w:p>
    <w:p w14:paraId="08B5A448" w14:textId="77777777" w:rsidR="00E6002D" w:rsidRDefault="00E6002D" w:rsidP="00E6002D">
      <w:pPr>
        <w:pStyle w:val="Brdtextmedindrag"/>
      </w:pPr>
      <w:r>
        <w:t>3. b</w:t>
      </w:r>
      <w:r w:rsidRPr="00FA4726">
        <w:t>rott</w:t>
      </w:r>
      <w:r>
        <w:t xml:space="preserve"> för vilket det lindrigaste straff som är föreskrivet enligt svensk lag är fängelse i fyra</w:t>
      </w:r>
      <w:r w:rsidRPr="00211770">
        <w:t xml:space="preserve"> </w:t>
      </w:r>
      <w:r>
        <w:t>år eller mer, och</w:t>
      </w:r>
    </w:p>
    <w:p w14:paraId="3B6C2291" w14:textId="77777777" w:rsidR="00E6002D" w:rsidRDefault="00E6002D" w:rsidP="00E6002D">
      <w:pPr>
        <w:pStyle w:val="Brdtextmedindrag"/>
      </w:pPr>
      <w:r>
        <w:t>4. brott som avses i</w:t>
      </w:r>
    </w:p>
    <w:p w14:paraId="3E76E84C" w14:textId="77777777" w:rsidR="00E6002D" w:rsidRDefault="00E6002D" w:rsidP="00E6002D">
      <w:pPr>
        <w:pStyle w:val="Brdtextmedindrag"/>
      </w:pPr>
      <w:r>
        <w:t>a) 4 kap. 1 a, 4 c och 4 e §§ och 16 kap. 10 a § första stycket</w:t>
      </w:r>
      <w:r w:rsidRPr="00211770">
        <w:t xml:space="preserve"> </w:t>
      </w:r>
      <w:r>
        <w:t>1 och sjätte stycket eller försök till sådana brott</w:t>
      </w:r>
      <w:r w:rsidRPr="00806F67">
        <w:t>,</w:t>
      </w:r>
    </w:p>
    <w:tbl>
      <w:tblPr>
        <w:tblW w:w="5000" w:type="pct"/>
        <w:tblLook w:val="0600" w:firstRow="0" w:lastRow="0" w:firstColumn="0" w:lastColumn="0" w:noHBand="1" w:noVBand="1"/>
      </w:tblPr>
      <w:tblGrid>
        <w:gridCol w:w="2948"/>
        <w:gridCol w:w="2949"/>
      </w:tblGrid>
      <w:tr w:rsidR="00E6002D" w14:paraId="2DE50380" w14:textId="77777777" w:rsidTr="00A9083F">
        <w:tc>
          <w:tcPr>
            <w:tcW w:w="2500" w:type="pct"/>
            <w:shd w:val="clear" w:color="auto" w:fill="auto"/>
            <w:tcMar>
              <w:left w:w="0" w:type="dxa"/>
            </w:tcMar>
          </w:tcPr>
          <w:p w14:paraId="72BA7A5B" w14:textId="4D8F11CD" w:rsidR="00E6002D" w:rsidRDefault="00E6002D" w:rsidP="00A9083F">
            <w:pPr>
              <w:pStyle w:val="Brdtextmedindrag"/>
            </w:pPr>
            <w:r w:rsidRPr="00615F59">
              <w:rPr>
                <w:i/>
                <w:spacing w:val="-4"/>
              </w:rPr>
              <w:t>b)</w:t>
            </w:r>
            <w:r>
              <w:rPr>
                <w:i/>
                <w:iCs/>
                <w:spacing w:val="-4"/>
              </w:rPr>
              <w:t> </w:t>
            </w:r>
            <w:r w:rsidRPr="00705FEA">
              <w:rPr>
                <w:i/>
                <w:iCs/>
                <w:spacing w:val="-4"/>
              </w:rPr>
              <w:t>4</w:t>
            </w:r>
            <w:r>
              <w:rPr>
                <w:i/>
                <w:iCs/>
                <w:spacing w:val="-4"/>
              </w:rPr>
              <w:t> kap.</w:t>
            </w:r>
            <w:r w:rsidRPr="00705FEA">
              <w:rPr>
                <w:i/>
                <w:iCs/>
                <w:spacing w:val="-4"/>
              </w:rPr>
              <w:t xml:space="preserve"> 4</w:t>
            </w:r>
            <w:r>
              <w:rPr>
                <w:i/>
                <w:iCs/>
                <w:spacing w:val="-4"/>
              </w:rPr>
              <w:t> §</w:t>
            </w:r>
            <w:r w:rsidRPr="00705FEA">
              <w:rPr>
                <w:i/>
                <w:iCs/>
                <w:spacing w:val="-4"/>
              </w:rPr>
              <w:t xml:space="preserve"> andra stycket </w:t>
            </w:r>
            <w:r w:rsidRPr="00615F59">
              <w:rPr>
                <w:i/>
                <w:iCs/>
                <w:spacing w:val="-4"/>
              </w:rPr>
              <w:t>vari</w:t>
            </w:r>
            <w:r w:rsidR="00723474">
              <w:rPr>
                <w:i/>
                <w:iCs/>
                <w:spacing w:val="-4"/>
              </w:rPr>
              <w:softHyphen/>
            </w:r>
            <w:r w:rsidRPr="00615F59">
              <w:rPr>
                <w:i/>
                <w:iCs/>
                <w:spacing w:val="-4"/>
              </w:rPr>
              <w:t>ge</w:t>
            </w:r>
            <w:r w:rsidR="00723474">
              <w:rPr>
                <w:i/>
                <w:iCs/>
                <w:spacing w:val="-4"/>
              </w:rPr>
              <w:softHyphen/>
            </w:r>
            <w:r w:rsidRPr="00615F59">
              <w:rPr>
                <w:i/>
                <w:iCs/>
                <w:spacing w:val="-4"/>
              </w:rPr>
              <w:t>nom</w:t>
            </w:r>
            <w:r w:rsidRPr="00615F59">
              <w:rPr>
                <w:i/>
                <w:spacing w:val="-4"/>
              </w:rPr>
              <w:t xml:space="preserve"> någon förmåtts att ingå ett sådant äktenskap eller en sådan äktenskapsliknande förbindelse som avses i 4 c</w:t>
            </w:r>
            <w:r>
              <w:rPr>
                <w:i/>
                <w:spacing w:val="-4"/>
              </w:rPr>
              <w:t> §</w:t>
            </w:r>
            <w:r w:rsidRPr="00615F59">
              <w:rPr>
                <w:i/>
                <w:spacing w:val="-4"/>
              </w:rPr>
              <w:t xml:space="preserve"> eller försök till sådant brott</w:t>
            </w:r>
            <w:r w:rsidRPr="00615F59">
              <w:rPr>
                <w:i/>
                <w:iCs/>
                <w:spacing w:val="-4"/>
              </w:rPr>
              <w:t>,</w:t>
            </w:r>
          </w:p>
        </w:tc>
        <w:tc>
          <w:tcPr>
            <w:tcW w:w="2500" w:type="pct"/>
            <w:shd w:val="clear" w:color="auto" w:fill="auto"/>
            <w:tcMar>
              <w:right w:w="0" w:type="dxa"/>
            </w:tcMar>
          </w:tcPr>
          <w:p w14:paraId="76F4F196" w14:textId="77777777" w:rsidR="00E6002D" w:rsidRDefault="00E6002D" w:rsidP="00A9083F">
            <w:pPr>
              <w:pStyle w:val="Brdtextmedindrag"/>
            </w:pPr>
          </w:p>
        </w:tc>
      </w:tr>
      <w:tr w:rsidR="00BF6FD4" w14:paraId="6594D9B7" w14:textId="77777777" w:rsidTr="00A9083F">
        <w:tc>
          <w:tcPr>
            <w:tcW w:w="2500" w:type="pct"/>
            <w:shd w:val="clear" w:color="auto" w:fill="auto"/>
            <w:tcMar>
              <w:left w:w="0" w:type="dxa"/>
            </w:tcMar>
          </w:tcPr>
          <w:p w14:paraId="38808547" w14:textId="3BF67874" w:rsidR="00BF6FD4" w:rsidRPr="00615F59" w:rsidRDefault="00BF6FD4" w:rsidP="00A9083F">
            <w:pPr>
              <w:pStyle w:val="Brdtextmedindrag"/>
              <w:rPr>
                <w:i/>
                <w:spacing w:val="-4"/>
              </w:rPr>
            </w:pPr>
            <w:r w:rsidRPr="002F6441">
              <w:rPr>
                <w:i/>
                <w:iCs/>
              </w:rPr>
              <w:t>c)</w:t>
            </w:r>
            <w:r>
              <w:rPr>
                <w:i/>
                <w:iCs/>
              </w:rPr>
              <w:t> </w:t>
            </w:r>
            <w:r>
              <w:t xml:space="preserve">6 kap. 1–6, 8, 9 och 12 §§ </w:t>
            </w:r>
            <w:r w:rsidRPr="00615F59">
              <w:t>eller försök till brott enligt 6</w:t>
            </w:r>
            <w:r>
              <w:t xml:space="preserve"> kap. </w:t>
            </w:r>
            <w:r w:rsidRPr="00615F59">
              <w:t xml:space="preserve">1, 2, </w:t>
            </w:r>
            <w:r>
              <w:br/>
            </w:r>
            <w:r w:rsidRPr="00615F59">
              <w:t>4–6, 8, 9 och 12</w:t>
            </w:r>
            <w:r>
              <w:t> §</w:t>
            </w:r>
            <w:r w:rsidRPr="00615F59">
              <w:t>§, om brottet</w:t>
            </w:r>
            <w:r>
              <w:t xml:space="preserve"> begåtts mot en person som inte fyllt arton</w:t>
            </w:r>
            <w:r w:rsidRPr="00615F59">
              <w:t xml:space="preserve"> </w:t>
            </w:r>
            <w:r>
              <w:t>år,</w:t>
            </w:r>
          </w:p>
        </w:tc>
        <w:tc>
          <w:tcPr>
            <w:tcW w:w="2500" w:type="pct"/>
            <w:shd w:val="clear" w:color="auto" w:fill="auto"/>
            <w:tcMar>
              <w:right w:w="0" w:type="dxa"/>
            </w:tcMar>
          </w:tcPr>
          <w:p w14:paraId="3585B59B" w14:textId="78A642B5" w:rsidR="00BF6FD4" w:rsidRDefault="00BF6FD4" w:rsidP="00A9083F">
            <w:pPr>
              <w:pStyle w:val="Brdtextmedindrag"/>
            </w:pPr>
            <w:r>
              <w:rPr>
                <w:i/>
                <w:iCs/>
              </w:rPr>
              <w:t>b</w:t>
            </w:r>
            <w:r w:rsidRPr="00211770">
              <w:rPr>
                <w:i/>
                <w:iCs/>
              </w:rPr>
              <w:t>)</w:t>
            </w:r>
            <w:r>
              <w:rPr>
                <w:i/>
                <w:iCs/>
              </w:rPr>
              <w:t> </w:t>
            </w:r>
            <w:r w:rsidRPr="00615F59">
              <w:t>6</w:t>
            </w:r>
            <w:r>
              <w:t> kap.</w:t>
            </w:r>
            <w:r w:rsidRPr="00615F59">
              <w:t xml:space="preserve"> 1–6, 8, 9 och 12</w:t>
            </w:r>
            <w:r>
              <w:t> §</w:t>
            </w:r>
            <w:r w:rsidRPr="00615F59">
              <w:t>§ eller försök till brott enligt 6</w:t>
            </w:r>
            <w:r>
              <w:t> kap.</w:t>
            </w:r>
            <w:r w:rsidRPr="00615F59">
              <w:t xml:space="preserve"> 1, 2, </w:t>
            </w:r>
            <w:r>
              <w:br/>
            </w:r>
            <w:r w:rsidRPr="00615F59">
              <w:t>4–6, 8, 9 och 12</w:t>
            </w:r>
            <w:r>
              <w:t> §</w:t>
            </w:r>
            <w:r w:rsidRPr="00615F59">
              <w:t>§, om brottet begåtts mot en person som inte fyllt arton år</w:t>
            </w:r>
            <w:r w:rsidRPr="00625419">
              <w:t>,</w:t>
            </w:r>
          </w:p>
        </w:tc>
      </w:tr>
      <w:tr w:rsidR="00BF6FD4" w14:paraId="3ACED24C" w14:textId="77777777" w:rsidTr="00A9083F">
        <w:tc>
          <w:tcPr>
            <w:tcW w:w="2500" w:type="pct"/>
            <w:shd w:val="clear" w:color="auto" w:fill="auto"/>
            <w:tcMar>
              <w:left w:w="0" w:type="dxa"/>
            </w:tcMar>
          </w:tcPr>
          <w:p w14:paraId="29C28244" w14:textId="1EF870B5" w:rsidR="00BF6FD4" w:rsidRDefault="00BF6FD4" w:rsidP="00A9083F">
            <w:pPr>
              <w:pStyle w:val="Brdtextmedindrag"/>
              <w:rPr>
                <w:i/>
                <w:spacing w:val="-4"/>
              </w:rPr>
            </w:pPr>
            <w:r w:rsidRPr="002F6441">
              <w:rPr>
                <w:i/>
                <w:iCs/>
              </w:rPr>
              <w:t>d)</w:t>
            </w:r>
            <w:r>
              <w:rPr>
                <w:i/>
                <w:iCs/>
              </w:rPr>
              <w:t> </w:t>
            </w:r>
            <w:r>
              <w:t>14 kap. 6 § eller försök till sådant brott</w:t>
            </w:r>
            <w:r w:rsidRPr="00625419">
              <w:t>,</w:t>
            </w:r>
          </w:p>
        </w:tc>
        <w:tc>
          <w:tcPr>
            <w:tcW w:w="2500" w:type="pct"/>
            <w:shd w:val="clear" w:color="auto" w:fill="auto"/>
            <w:tcMar>
              <w:right w:w="0" w:type="dxa"/>
            </w:tcMar>
          </w:tcPr>
          <w:p w14:paraId="260C2406" w14:textId="67934075" w:rsidR="00BF6FD4" w:rsidRDefault="00BF6FD4" w:rsidP="00A9083F">
            <w:pPr>
              <w:pStyle w:val="Brdtextmedindrag"/>
              <w:rPr>
                <w:i/>
                <w:iCs/>
              </w:rPr>
            </w:pPr>
            <w:r w:rsidRPr="002F6441">
              <w:rPr>
                <w:i/>
                <w:iCs/>
              </w:rPr>
              <w:t>c)</w:t>
            </w:r>
            <w:r>
              <w:rPr>
                <w:i/>
                <w:iCs/>
              </w:rPr>
              <w:t> </w:t>
            </w:r>
            <w:r>
              <w:t>14 kap. 6 § eller försök till sådant brott,</w:t>
            </w:r>
          </w:p>
        </w:tc>
      </w:tr>
      <w:tr w:rsidR="00BF6FD4" w14:paraId="2BB248F8" w14:textId="77777777" w:rsidTr="00A9083F">
        <w:tc>
          <w:tcPr>
            <w:tcW w:w="2500" w:type="pct"/>
            <w:shd w:val="clear" w:color="auto" w:fill="auto"/>
            <w:tcMar>
              <w:left w:w="0" w:type="dxa"/>
            </w:tcMar>
          </w:tcPr>
          <w:p w14:paraId="5B31CFB2" w14:textId="4EC1360C" w:rsidR="00BF6FD4" w:rsidRDefault="00BF6FD4" w:rsidP="00A9083F">
            <w:pPr>
              <w:pStyle w:val="Brdtextmedindrag"/>
              <w:rPr>
                <w:i/>
                <w:spacing w:val="-4"/>
              </w:rPr>
            </w:pPr>
            <w:r w:rsidRPr="00A46231">
              <w:rPr>
                <w:i/>
                <w:iCs/>
              </w:rPr>
              <w:t>e)</w:t>
            </w:r>
            <w:r w:rsidRPr="00211770">
              <w:rPr>
                <w:i/>
                <w:iCs/>
              </w:rPr>
              <w:t xml:space="preserve"> </w:t>
            </w:r>
            <w:r>
              <w:t>22 kap. 6</w:t>
            </w:r>
            <w:r w:rsidRPr="00615F59">
              <w:t xml:space="preserve"> </w:t>
            </w:r>
            <w:r>
              <w:t>a och 6</w:t>
            </w:r>
            <w:r w:rsidRPr="00615F59">
              <w:t xml:space="preserve"> </w:t>
            </w:r>
            <w:r>
              <w:t>b §§,</w:t>
            </w:r>
          </w:p>
        </w:tc>
        <w:tc>
          <w:tcPr>
            <w:tcW w:w="2500" w:type="pct"/>
            <w:shd w:val="clear" w:color="auto" w:fill="auto"/>
            <w:tcMar>
              <w:right w:w="0" w:type="dxa"/>
            </w:tcMar>
          </w:tcPr>
          <w:p w14:paraId="20F9D6CD" w14:textId="6B8BA7BF" w:rsidR="00BF6FD4" w:rsidRDefault="00BF6FD4" w:rsidP="00A9083F">
            <w:pPr>
              <w:pStyle w:val="Brdtextmedindrag"/>
              <w:rPr>
                <w:i/>
                <w:iCs/>
              </w:rPr>
            </w:pPr>
            <w:r>
              <w:rPr>
                <w:i/>
                <w:iCs/>
              </w:rPr>
              <w:t>d</w:t>
            </w:r>
            <w:r w:rsidRPr="00B23D3F">
              <w:rPr>
                <w:i/>
                <w:iCs/>
              </w:rPr>
              <w:t xml:space="preserve">) </w:t>
            </w:r>
            <w:r w:rsidRPr="00615F59">
              <w:t>22</w:t>
            </w:r>
            <w:r>
              <w:t> kap.</w:t>
            </w:r>
            <w:r w:rsidRPr="00615F59">
              <w:t xml:space="preserve"> 6 a och 6 b</w:t>
            </w:r>
            <w:r>
              <w:t> §</w:t>
            </w:r>
            <w:r w:rsidRPr="00615F59">
              <w:t>§,</w:t>
            </w:r>
          </w:p>
        </w:tc>
      </w:tr>
      <w:tr w:rsidR="00BF6FD4" w14:paraId="17853154" w14:textId="77777777" w:rsidTr="00A9083F">
        <w:tc>
          <w:tcPr>
            <w:tcW w:w="2500" w:type="pct"/>
            <w:shd w:val="clear" w:color="auto" w:fill="auto"/>
            <w:tcMar>
              <w:left w:w="0" w:type="dxa"/>
            </w:tcMar>
          </w:tcPr>
          <w:p w14:paraId="1DB698FF" w14:textId="617B1DC4" w:rsidR="00BF6FD4" w:rsidRDefault="00BF6FD4" w:rsidP="00A9083F">
            <w:pPr>
              <w:pStyle w:val="Brdtextmedindrag"/>
              <w:rPr>
                <w:i/>
                <w:spacing w:val="-4"/>
              </w:rPr>
            </w:pPr>
            <w:r w:rsidRPr="00B23D3F">
              <w:rPr>
                <w:i/>
                <w:iCs/>
              </w:rPr>
              <w:t>f)</w:t>
            </w:r>
            <w:r>
              <w:rPr>
                <w:i/>
                <w:iCs/>
              </w:rPr>
              <w:t> </w:t>
            </w:r>
            <w:r w:rsidRPr="00615F59">
              <w:t>2</w:t>
            </w:r>
            <w:r>
              <w:t> §</w:t>
            </w:r>
            <w:r w:rsidRPr="00615F59">
              <w:t xml:space="preserve"> lagen (1982:316) om för</w:t>
            </w:r>
            <w:r>
              <w:softHyphen/>
            </w:r>
            <w:r w:rsidRPr="00615F59">
              <w:t>bud mot könsstympning av kvinnor och oskuldsingrepp på kvinnor,</w:t>
            </w:r>
          </w:p>
        </w:tc>
        <w:tc>
          <w:tcPr>
            <w:tcW w:w="2500" w:type="pct"/>
            <w:shd w:val="clear" w:color="auto" w:fill="auto"/>
            <w:tcMar>
              <w:right w:w="0" w:type="dxa"/>
            </w:tcMar>
          </w:tcPr>
          <w:p w14:paraId="01182D0E" w14:textId="29811EC4" w:rsidR="00BF6FD4" w:rsidRPr="002F6441" w:rsidRDefault="00BF6FD4" w:rsidP="00A9083F">
            <w:pPr>
              <w:pStyle w:val="Brdtextmedindrag"/>
              <w:rPr>
                <w:i/>
                <w:iCs/>
              </w:rPr>
            </w:pPr>
            <w:r w:rsidRPr="00A46231">
              <w:rPr>
                <w:i/>
                <w:iCs/>
              </w:rPr>
              <w:t>e)</w:t>
            </w:r>
            <w:r>
              <w:rPr>
                <w:i/>
                <w:iCs/>
              </w:rPr>
              <w:t> </w:t>
            </w:r>
            <w:r>
              <w:t>2 §</w:t>
            </w:r>
            <w:r w:rsidRPr="00615F59">
              <w:t xml:space="preserve"> </w:t>
            </w:r>
            <w:r>
              <w:t xml:space="preserve">lagen (1982:316) </w:t>
            </w:r>
            <w:r w:rsidRPr="00615F59">
              <w:t>om</w:t>
            </w:r>
            <w:r>
              <w:t xml:space="preserve"> för</w:t>
            </w:r>
            <w:r>
              <w:softHyphen/>
              <w:t>bud mot könsstympning av kvinnor</w:t>
            </w:r>
            <w:r w:rsidRPr="00615F59">
              <w:t xml:space="preserve"> och oskuldsingrepp på kvinnor</w:t>
            </w:r>
            <w:r>
              <w:t>,</w:t>
            </w:r>
          </w:p>
        </w:tc>
      </w:tr>
      <w:tr w:rsidR="00E6002D" w14:paraId="00440C44" w14:textId="77777777" w:rsidTr="00A9083F">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0C7A2E2" w14:textId="6D4FE7D0" w:rsidR="00E6002D" w:rsidRDefault="00E6002D" w:rsidP="00BF6FD4">
            <w:pPr>
              <w:pStyle w:val="Brdtextmedindrag"/>
            </w:pPr>
            <w:r w:rsidRPr="00B23D3F">
              <w:rPr>
                <w:i/>
                <w:iCs/>
                <w:spacing w:val="-6"/>
              </w:rPr>
              <w:t>g)</w:t>
            </w:r>
            <w:r>
              <w:rPr>
                <w:i/>
                <w:iCs/>
                <w:spacing w:val="-6"/>
              </w:rPr>
              <w:t> </w:t>
            </w:r>
            <w:r w:rsidRPr="00B23D3F">
              <w:rPr>
                <w:spacing w:val="-6"/>
              </w:rPr>
              <w:t>3–5 och 7–10</w:t>
            </w:r>
            <w:r>
              <w:rPr>
                <w:spacing w:val="-6"/>
              </w:rPr>
              <w:t> §</w:t>
            </w:r>
            <w:r w:rsidRPr="00B23D3F">
              <w:rPr>
                <w:spacing w:val="-6"/>
              </w:rPr>
              <w:t>§ lagen (2025:327) om internationella sank</w:t>
            </w:r>
            <w:r>
              <w:rPr>
                <w:spacing w:val="-6"/>
              </w:rPr>
              <w:softHyphen/>
            </w:r>
            <w:r w:rsidRPr="00B23D3F">
              <w:rPr>
                <w:spacing w:val="-6"/>
              </w:rPr>
              <w:t>tioner, eller</w:t>
            </w:r>
          </w:p>
        </w:tc>
        <w:tc>
          <w:tcPr>
            <w:tcW w:w="2500" w:type="pct"/>
            <w:shd w:val="clear" w:color="auto" w:fill="auto"/>
            <w:tcMar>
              <w:right w:w="0" w:type="dxa"/>
            </w:tcMar>
          </w:tcPr>
          <w:p w14:paraId="42ACF51C" w14:textId="544DABF7" w:rsidR="00E6002D" w:rsidRDefault="00E6002D" w:rsidP="00BF6FD4">
            <w:pPr>
              <w:pStyle w:val="Brdtextmedindrag"/>
            </w:pPr>
            <w:r>
              <w:rPr>
                <w:i/>
                <w:iCs/>
              </w:rPr>
              <w:t>f</w:t>
            </w:r>
            <w:r w:rsidRPr="00B23D3F">
              <w:rPr>
                <w:i/>
                <w:iCs/>
                <w:spacing w:val="-6"/>
              </w:rPr>
              <w:t>)</w:t>
            </w:r>
            <w:r>
              <w:rPr>
                <w:i/>
                <w:iCs/>
                <w:spacing w:val="-6"/>
              </w:rPr>
              <w:t> </w:t>
            </w:r>
            <w:r w:rsidRPr="00615F59">
              <w:rPr>
                <w:spacing w:val="-6"/>
              </w:rPr>
              <w:t>3–5 och 7–10</w:t>
            </w:r>
            <w:r>
              <w:rPr>
                <w:spacing w:val="-6"/>
              </w:rPr>
              <w:t> §</w:t>
            </w:r>
            <w:r w:rsidRPr="00615F59">
              <w:rPr>
                <w:spacing w:val="-6"/>
              </w:rPr>
              <w:t>§ lagen (2025:327) om internationella sank</w:t>
            </w:r>
            <w:r>
              <w:rPr>
                <w:spacing w:val="-6"/>
              </w:rPr>
              <w:softHyphen/>
            </w:r>
            <w:r w:rsidRPr="00615F59">
              <w:rPr>
                <w:spacing w:val="-6"/>
              </w:rPr>
              <w:t>tioner, eller</w:t>
            </w:r>
          </w:p>
        </w:tc>
      </w:tr>
      <w:tr w:rsidR="00BF6FD4" w14:paraId="42D865DD" w14:textId="77777777" w:rsidTr="00A9083F">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EB7BDED" w14:textId="5A998766" w:rsidR="00BF6FD4" w:rsidRPr="002F6441" w:rsidRDefault="00BF6FD4" w:rsidP="00A9083F">
            <w:pPr>
              <w:pStyle w:val="Brdtextmedindrag"/>
              <w:rPr>
                <w:i/>
                <w:iCs/>
              </w:rPr>
            </w:pPr>
            <w:r w:rsidRPr="00A46231">
              <w:rPr>
                <w:i/>
                <w:iCs/>
              </w:rPr>
              <w:t>h)</w:t>
            </w:r>
            <w:r>
              <w:rPr>
                <w:i/>
                <w:iCs/>
              </w:rPr>
              <w:t> </w:t>
            </w:r>
            <w:r>
              <w:t xml:space="preserve">19 § lagen (2023:677) om </w:t>
            </w:r>
            <w:r w:rsidRPr="00B23D3F">
              <w:t>frysning</w:t>
            </w:r>
            <w:r>
              <w:t xml:space="preserve"> av tillgångar.</w:t>
            </w:r>
          </w:p>
        </w:tc>
        <w:tc>
          <w:tcPr>
            <w:tcW w:w="2500" w:type="pct"/>
            <w:shd w:val="clear" w:color="auto" w:fill="auto"/>
            <w:tcMar>
              <w:right w:w="0" w:type="dxa"/>
            </w:tcMar>
          </w:tcPr>
          <w:p w14:paraId="19FE10D4" w14:textId="4D4D1223" w:rsidR="00BF6FD4" w:rsidRDefault="00BF6FD4" w:rsidP="00A9083F">
            <w:pPr>
              <w:pStyle w:val="Brdtextmedindrag"/>
              <w:rPr>
                <w:i/>
                <w:iCs/>
              </w:rPr>
            </w:pPr>
            <w:r w:rsidRPr="00A46231">
              <w:rPr>
                <w:i/>
                <w:iCs/>
              </w:rPr>
              <w:t>g)</w:t>
            </w:r>
            <w:r>
              <w:rPr>
                <w:i/>
                <w:iCs/>
              </w:rPr>
              <w:t> </w:t>
            </w:r>
            <w:r>
              <w:t>19 § lagen (2023:677) om frysning av tillgångar.</w:t>
            </w:r>
          </w:p>
        </w:tc>
      </w:tr>
    </w:tbl>
    <w:p w14:paraId="4D973F0E" w14:textId="77777777" w:rsidR="00E6002D" w:rsidRDefault="00E6002D" w:rsidP="00E6002D">
      <w:pPr>
        <w:pStyle w:val="Brdtext"/>
        <w:jc w:val="center"/>
        <w:rPr>
          <w:b/>
        </w:rPr>
      </w:pPr>
      <w:r>
        <w:rPr>
          <w:b/>
        </w:rPr>
        <w:lastRenderedPageBreak/>
        <w:t>4 kap.</w:t>
      </w:r>
    </w:p>
    <w:p w14:paraId="3E5AD853" w14:textId="77777777" w:rsidR="00E6002D" w:rsidRDefault="00E6002D" w:rsidP="00E6002D">
      <w:pPr>
        <w:pStyle w:val="Brdtext"/>
        <w:jc w:val="center"/>
        <w:rPr>
          <w:rStyle w:val="Fotnotsreferens"/>
        </w:rPr>
      </w:pPr>
      <w:r>
        <w:t>4 c §</w:t>
      </w:r>
      <w:r>
        <w:rPr>
          <w:rStyle w:val="Fotnotsreferens"/>
        </w:rPr>
        <w:footnoteReference w:customMarkFollows="1" w:id="4"/>
        <w:t>2</w:t>
      </w:r>
    </w:p>
    <w:tbl>
      <w:tblPr>
        <w:tblW w:w="5000" w:type="pct"/>
        <w:tblLook w:val="0600" w:firstRow="0" w:lastRow="0" w:firstColumn="0" w:lastColumn="0" w:noHBand="1" w:noVBand="1"/>
      </w:tblPr>
      <w:tblGrid>
        <w:gridCol w:w="2948"/>
        <w:gridCol w:w="2949"/>
      </w:tblGrid>
      <w:tr w:rsidR="00E6002D" w14:paraId="4E0662ED" w14:textId="77777777" w:rsidTr="00A9083F">
        <w:tc>
          <w:tcPr>
            <w:tcW w:w="2500" w:type="pct"/>
            <w:shd w:val="clear" w:color="auto" w:fill="auto"/>
            <w:tcMar>
              <w:left w:w="0" w:type="dxa"/>
            </w:tcMar>
          </w:tcPr>
          <w:p w14:paraId="3E29C105" w14:textId="70E43AB7" w:rsidR="00E6002D" w:rsidRDefault="00E6002D" w:rsidP="00A9083F">
            <w:pPr>
              <w:pStyle w:val="Brdtextmedindrag"/>
              <w:ind w:firstLine="0"/>
            </w:pPr>
            <w:r w:rsidRPr="007E62E3">
              <w:t xml:space="preserve">Den som, i annat fall än som </w:t>
            </w:r>
            <w:r w:rsidRPr="00623B09">
              <w:rPr>
                <w:spacing w:val="2"/>
              </w:rPr>
              <w:t>av</w:t>
            </w:r>
            <w:r w:rsidRPr="00623B09">
              <w:rPr>
                <w:spacing w:val="2"/>
              </w:rPr>
              <w:softHyphen/>
              <w:t xml:space="preserve">ses i 1 a §, genom olaga tvång </w:t>
            </w:r>
            <w:r w:rsidRPr="00623B09">
              <w:rPr>
                <w:i/>
                <w:iCs/>
                <w:spacing w:val="2"/>
              </w:rPr>
              <w:t>eller</w:t>
            </w:r>
            <w:r w:rsidRPr="007E62E3">
              <w:t xml:space="preserve"> utnyttjande av utsatt belä</w:t>
            </w:r>
            <w:r>
              <w:softHyphen/>
            </w:r>
            <w:r w:rsidRPr="007E62E3">
              <w:t>genhet förmår en person att ingå</w:t>
            </w:r>
            <w:r>
              <w:t xml:space="preserve"> </w:t>
            </w:r>
            <w:r w:rsidRPr="007E62E3">
              <w:t>ett äkten</w:t>
            </w:r>
            <w:r w:rsidR="00723474">
              <w:softHyphen/>
            </w:r>
            <w:r w:rsidRPr="007E62E3">
              <w:t xml:space="preserve">skap som är giltigt i den stat där det ingås, i den stat enligt vars lag det ingås eller i en stat i </w:t>
            </w:r>
            <w:r w:rsidRPr="00623B09">
              <w:rPr>
                <w:spacing w:val="-6"/>
              </w:rPr>
              <w:t>vilken minst en av makarna är med</w:t>
            </w:r>
            <w:r w:rsidRPr="00623B09">
              <w:rPr>
                <w:spacing w:val="-6"/>
              </w:rPr>
              <w:softHyphen/>
            </w:r>
            <w:r w:rsidRPr="00623B09">
              <w:rPr>
                <w:spacing w:val="-4"/>
              </w:rPr>
              <w:t>borgare eller har hemvist döms för</w:t>
            </w:r>
            <w:r w:rsidRPr="007E62E3">
              <w:t xml:space="preserve"> </w:t>
            </w:r>
            <w:r w:rsidRPr="00623B09">
              <w:rPr>
                <w:i/>
                <w:iCs/>
                <w:spacing w:val="-6"/>
                <w:u w:val="single"/>
              </w:rPr>
              <w:t>äktenskapstvång</w:t>
            </w:r>
            <w:r w:rsidRPr="00623B09">
              <w:rPr>
                <w:spacing w:val="-6"/>
              </w:rPr>
              <w:t xml:space="preserve"> till fängelse i högst</w:t>
            </w:r>
            <w:r w:rsidRPr="007E62E3">
              <w:t xml:space="preserve"> </w:t>
            </w:r>
            <w:r w:rsidRPr="007E3BA8">
              <w:rPr>
                <w:i/>
                <w:iCs/>
              </w:rPr>
              <w:t>fyra</w:t>
            </w:r>
            <w:r>
              <w:t> </w:t>
            </w:r>
            <w:r w:rsidRPr="007E62E3">
              <w:t>år.</w:t>
            </w:r>
          </w:p>
          <w:p w14:paraId="62DEA0A0" w14:textId="77777777" w:rsidR="00E6002D" w:rsidRDefault="00E6002D" w:rsidP="00A9083F">
            <w:pPr>
              <w:pStyle w:val="Brdtextmedindrag"/>
            </w:pPr>
          </w:p>
        </w:tc>
        <w:tc>
          <w:tcPr>
            <w:tcW w:w="2500" w:type="pct"/>
            <w:shd w:val="clear" w:color="auto" w:fill="auto"/>
            <w:tcMar>
              <w:right w:w="0" w:type="dxa"/>
            </w:tcMar>
          </w:tcPr>
          <w:p w14:paraId="11C502BA" w14:textId="17F46727" w:rsidR="00E6002D" w:rsidRDefault="00E6002D" w:rsidP="00A9083F">
            <w:pPr>
              <w:pStyle w:val="Brdtextmedindrag"/>
              <w:ind w:firstLine="0"/>
            </w:pPr>
            <w:r w:rsidRPr="007E62E3">
              <w:t>Den som, i annat fall än som avses i 1</w:t>
            </w:r>
            <w:r>
              <w:t> </w:t>
            </w:r>
            <w:r w:rsidRPr="007E62E3">
              <w:t>a</w:t>
            </w:r>
            <w:r>
              <w:t> </w:t>
            </w:r>
            <w:r w:rsidRPr="007E62E3">
              <w:t>§, genom olaga tvång</w:t>
            </w:r>
            <w:r w:rsidRPr="00911048">
              <w:rPr>
                <w:i/>
                <w:iCs/>
              </w:rPr>
              <w:t>,</w:t>
            </w:r>
            <w:r>
              <w:t xml:space="preserve"> </w:t>
            </w:r>
            <w:r w:rsidRPr="007E62E3">
              <w:t>utnytt</w:t>
            </w:r>
            <w:r>
              <w:softHyphen/>
            </w:r>
            <w:r w:rsidRPr="007E62E3">
              <w:t xml:space="preserve">jande av utsatt belägenhet </w:t>
            </w:r>
            <w:r w:rsidRPr="006E2263">
              <w:rPr>
                <w:i/>
                <w:iCs/>
              </w:rPr>
              <w:t>eller vilseledande</w:t>
            </w:r>
            <w:r>
              <w:rPr>
                <w:i/>
                <w:iCs/>
              </w:rPr>
              <w:t xml:space="preserve"> angående att ett </w:t>
            </w:r>
            <w:r w:rsidRPr="00623B09">
              <w:rPr>
                <w:i/>
                <w:iCs/>
                <w:spacing w:val="-2"/>
              </w:rPr>
              <w:t>äkten</w:t>
            </w:r>
            <w:r w:rsidR="00723474">
              <w:rPr>
                <w:i/>
                <w:iCs/>
                <w:spacing w:val="-2"/>
              </w:rPr>
              <w:softHyphen/>
            </w:r>
            <w:r w:rsidRPr="00623B09">
              <w:rPr>
                <w:i/>
                <w:iCs/>
                <w:spacing w:val="-2"/>
              </w:rPr>
              <w:t>skap ingås eller förutsätt</w:t>
            </w:r>
            <w:r w:rsidRPr="00623B09">
              <w:rPr>
                <w:i/>
                <w:iCs/>
                <w:spacing w:val="-2"/>
              </w:rPr>
              <w:softHyphen/>
              <w:t>ning</w:t>
            </w:r>
            <w:r w:rsidRPr="00623B09">
              <w:rPr>
                <w:i/>
                <w:iCs/>
                <w:spacing w:val="-2"/>
              </w:rPr>
              <w:softHyphen/>
            </w:r>
            <w:r w:rsidRPr="00623B09">
              <w:rPr>
                <w:i/>
                <w:iCs/>
                <w:spacing w:val="2"/>
              </w:rPr>
              <w:t>arna för äktenskapets upplösning</w:t>
            </w:r>
            <w:r w:rsidRPr="00623B09">
              <w:rPr>
                <w:spacing w:val="2"/>
              </w:rPr>
              <w:t xml:space="preserve"> för</w:t>
            </w:r>
            <w:r w:rsidRPr="00623B09">
              <w:rPr>
                <w:spacing w:val="2"/>
              </w:rPr>
              <w:softHyphen/>
              <w:t>mår</w:t>
            </w:r>
            <w:r w:rsidRPr="007E62E3">
              <w:t xml:space="preserve"> en person att ingå</w:t>
            </w:r>
            <w:r>
              <w:t xml:space="preserve"> </w:t>
            </w:r>
            <w:r w:rsidRPr="007E62E3">
              <w:t>ett äktenskap</w:t>
            </w:r>
            <w:r>
              <w:t xml:space="preserve"> </w:t>
            </w:r>
            <w:r w:rsidRPr="007E62E3">
              <w:t xml:space="preserve">som är giltigt i den stat där det ingås, i den stat enligt vars lag det ingås eller i en stat i </w:t>
            </w:r>
            <w:r w:rsidRPr="00623B09">
              <w:rPr>
                <w:spacing w:val="-6"/>
              </w:rPr>
              <w:t>vilken minst en av makarna är med</w:t>
            </w:r>
            <w:r w:rsidRPr="00623B09">
              <w:rPr>
                <w:spacing w:val="-6"/>
              </w:rPr>
              <w:softHyphen/>
              <w:t>borgare eller har hemvist döms</w:t>
            </w:r>
            <w:r w:rsidRPr="007E62E3">
              <w:t xml:space="preserve"> för </w:t>
            </w:r>
            <w:r w:rsidRPr="00623B09">
              <w:rPr>
                <w:i/>
                <w:iCs/>
                <w:spacing w:val="-2"/>
                <w:u w:val="single"/>
              </w:rPr>
              <w:t>äkten</w:t>
            </w:r>
            <w:r>
              <w:rPr>
                <w:i/>
                <w:iCs/>
                <w:spacing w:val="-2"/>
                <w:u w:val="single"/>
              </w:rPr>
              <w:softHyphen/>
            </w:r>
            <w:r w:rsidRPr="00623B09">
              <w:rPr>
                <w:i/>
                <w:iCs/>
                <w:spacing w:val="-2"/>
                <w:u w:val="single"/>
              </w:rPr>
              <w:t>skapstvång</w:t>
            </w:r>
            <w:r w:rsidRPr="00623B09">
              <w:rPr>
                <w:spacing w:val="-2"/>
              </w:rPr>
              <w:t xml:space="preserve"> till fängelse i </w:t>
            </w:r>
            <w:r w:rsidRPr="00623B09">
              <w:rPr>
                <w:i/>
                <w:iCs/>
                <w:spacing w:val="-2"/>
              </w:rPr>
              <w:t>lägst</w:t>
            </w:r>
            <w:r>
              <w:rPr>
                <w:i/>
                <w:iCs/>
              </w:rPr>
              <w:t xml:space="preserve"> sex månader och </w:t>
            </w:r>
            <w:r w:rsidRPr="00E85400">
              <w:t>högst</w:t>
            </w:r>
            <w:r>
              <w:rPr>
                <w:i/>
                <w:iCs/>
              </w:rPr>
              <w:t xml:space="preserve"> sex </w:t>
            </w:r>
            <w:r w:rsidRPr="007E62E3">
              <w:t>år.</w:t>
            </w:r>
          </w:p>
        </w:tc>
      </w:tr>
    </w:tbl>
    <w:p w14:paraId="660DF144" w14:textId="77777777" w:rsidR="00E6002D" w:rsidRDefault="00E6002D" w:rsidP="00E6002D">
      <w:pPr>
        <w:pStyle w:val="Brdtextmedindrag"/>
      </w:pPr>
      <w:r w:rsidRPr="00E85400">
        <w:t>Detsamma gäller den som på sätt som anges i första stycket</w:t>
      </w:r>
      <w:r>
        <w:t xml:space="preserve"> </w:t>
      </w:r>
      <w:r w:rsidRPr="00E85400">
        <w:t>för</w:t>
      </w:r>
      <w:r>
        <w:softHyphen/>
      </w:r>
      <w:r w:rsidRPr="00E85400">
        <w:t>mår någon att ingå en äktenskapsliknande förbindelse, om den</w:t>
      </w:r>
      <w:r>
        <w:t xml:space="preserve"> </w:t>
      </w:r>
      <w:r w:rsidRPr="00E85400">
        <w:t>ingås enligt regler som gäller inom en grupp och som</w:t>
      </w:r>
      <w:r>
        <w:t xml:space="preserve"> </w:t>
      </w:r>
    </w:p>
    <w:p w14:paraId="3FEDAF5F" w14:textId="77777777" w:rsidR="00E6002D" w:rsidRDefault="00E6002D" w:rsidP="00E6002D">
      <w:pPr>
        <w:pStyle w:val="Brdtextmedindrag"/>
      </w:pPr>
      <w:r w:rsidRPr="00666CE0">
        <w:t>1.</w:t>
      </w:r>
      <w:r>
        <w:t> </w:t>
      </w:r>
      <w:r w:rsidRPr="00E85400">
        <w:t>innebär att</w:t>
      </w:r>
      <w:r>
        <w:t xml:space="preserve"> </w:t>
      </w:r>
      <w:r w:rsidRPr="00E85400">
        <w:t>parterna betraktas som makar och anses ha rät</w:t>
      </w:r>
      <w:r>
        <w:softHyphen/>
      </w:r>
      <w:r w:rsidRPr="00E85400">
        <w:t>tig</w:t>
      </w:r>
      <w:r>
        <w:softHyphen/>
      </w:r>
      <w:r w:rsidRPr="00E85400">
        <w:t>heter eller</w:t>
      </w:r>
      <w:r>
        <w:t xml:space="preserve"> </w:t>
      </w:r>
      <w:r w:rsidRPr="00E85400">
        <w:t>skyldigheter i förhållande till varandra, och</w:t>
      </w:r>
      <w:r>
        <w:t xml:space="preserve"> </w:t>
      </w:r>
    </w:p>
    <w:p w14:paraId="1C6D980B" w14:textId="77777777" w:rsidR="00E6002D" w:rsidRDefault="00E6002D" w:rsidP="00E6002D">
      <w:pPr>
        <w:pStyle w:val="Brdtextmedindrag"/>
      </w:pPr>
      <w:r>
        <w:t>2. </w:t>
      </w:r>
      <w:r w:rsidRPr="00E85400">
        <w:t>innefattar frågan om upplösning av förbindelsen</w:t>
      </w:r>
      <w:r>
        <w:t>.</w:t>
      </w:r>
    </w:p>
    <w:tbl>
      <w:tblPr>
        <w:tblW w:w="5000" w:type="pct"/>
        <w:tblLook w:val="0600" w:firstRow="0" w:lastRow="0" w:firstColumn="0" w:lastColumn="0" w:noHBand="1" w:noVBand="1"/>
      </w:tblPr>
      <w:tblGrid>
        <w:gridCol w:w="2948"/>
        <w:gridCol w:w="2949"/>
      </w:tblGrid>
      <w:tr w:rsidR="00E6002D" w14:paraId="63F17B84" w14:textId="77777777" w:rsidTr="00A9083F">
        <w:tc>
          <w:tcPr>
            <w:tcW w:w="2500" w:type="pct"/>
            <w:shd w:val="clear" w:color="auto" w:fill="auto"/>
            <w:tcMar>
              <w:left w:w="0" w:type="dxa"/>
            </w:tcMar>
          </w:tcPr>
          <w:p w14:paraId="336EB13E" w14:textId="77777777" w:rsidR="00E6002D" w:rsidRDefault="00E6002D"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w:t>
            </w:r>
            <w:r w:rsidRPr="007E2834">
              <w:rPr>
                <w:i/>
                <w:iCs/>
                <w:spacing w:val="-4"/>
                <w:u w:val="single"/>
              </w:rPr>
              <w:softHyphen/>
              <w:t>skaps</w:t>
            </w:r>
            <w:r w:rsidRPr="007E2834">
              <w:rPr>
                <w:i/>
                <w:iCs/>
                <w:spacing w:val="-4"/>
                <w:u w:val="single"/>
              </w:rPr>
              <w:softHyphen/>
              <w:t>brott</w:t>
            </w:r>
            <w:r w:rsidRPr="004E12B0">
              <w:t xml:space="preserve"> till fängelse i högst </w:t>
            </w:r>
            <w:r w:rsidRPr="004E12B0">
              <w:rPr>
                <w:i/>
                <w:iCs/>
              </w:rPr>
              <w:t>fyra</w:t>
            </w:r>
            <w:r>
              <w:t> </w:t>
            </w:r>
            <w:r w:rsidRPr="004E12B0">
              <w:t xml:space="preserve">år. För barnäktenskapsbrott döms också den som i annat fall förmår eller tillåter en person som inte har fyllt arton år att ingå ett äktenskap som är giltigt på sätt </w:t>
            </w:r>
            <w:r w:rsidRPr="007E2834">
              <w:rPr>
                <w:spacing w:val="-4"/>
              </w:rPr>
              <w:t xml:space="preserve">som anges i första stycket eller en </w:t>
            </w:r>
            <w:r w:rsidRPr="007E2834">
              <w:t>äktenskapsliknande förbin</w:t>
            </w:r>
            <w:r w:rsidRPr="007E2834">
              <w:softHyphen/>
              <w:t>delse</w:t>
            </w:r>
            <w:r w:rsidRPr="004E12B0">
              <w:t xml:space="preserve"> </w:t>
            </w:r>
            <w:r w:rsidRPr="0077039E">
              <w:rPr>
                <w:spacing w:val="-4"/>
              </w:rPr>
              <w:t>en</w:t>
            </w:r>
            <w:r w:rsidRPr="0077039E">
              <w:rPr>
                <w:spacing w:val="-4"/>
              </w:rPr>
              <w:softHyphen/>
              <w:t>ligt vad som anges i andra styck</w:t>
            </w:r>
            <w:r w:rsidRPr="0077039E">
              <w:rPr>
                <w:spacing w:val="-4"/>
              </w:rPr>
              <w:softHyphen/>
              <w:t>et</w:t>
            </w:r>
            <w:r w:rsidRPr="004E12B0">
              <w:t>. Detta gäller även om den som begår en sådan gärning inte haft uppsåt till men varit oaktsam be</w:t>
            </w:r>
            <w:r>
              <w:softHyphen/>
            </w:r>
            <w:r w:rsidRPr="004E12B0">
              <w:t xml:space="preserve">träffande </w:t>
            </w:r>
            <w:r>
              <w:t>omständig</w:t>
            </w:r>
            <w:r>
              <w:softHyphen/>
            </w:r>
            <w:r w:rsidRPr="007E2834">
              <w:rPr>
                <w:spacing w:val="-4"/>
              </w:rPr>
              <w:t>heten att den andra personen inte</w:t>
            </w:r>
            <w:r w:rsidRPr="004E12B0">
              <w:t xml:space="preserve"> fyllt arton</w:t>
            </w:r>
            <w:r>
              <w:t> </w:t>
            </w:r>
            <w:r w:rsidRPr="004E12B0">
              <w:t>år</w:t>
            </w:r>
            <w:r>
              <w:t xml:space="preserve">. </w:t>
            </w:r>
          </w:p>
        </w:tc>
        <w:tc>
          <w:tcPr>
            <w:tcW w:w="2500" w:type="pct"/>
            <w:shd w:val="clear" w:color="auto" w:fill="auto"/>
            <w:tcMar>
              <w:right w:w="0" w:type="dxa"/>
            </w:tcMar>
          </w:tcPr>
          <w:p w14:paraId="389269CC" w14:textId="749C9C0C" w:rsidR="00E6002D" w:rsidRDefault="00E6002D"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barnäktenskaps</w:t>
            </w:r>
            <w:r w:rsidRPr="007E2834">
              <w:rPr>
                <w:i/>
                <w:iCs/>
                <w:spacing w:val="-4"/>
                <w:u w:val="single"/>
              </w:rPr>
              <w:softHyphen/>
              <w:t>brott</w:t>
            </w:r>
            <w:r w:rsidRPr="004E12B0">
              <w:t xml:space="preserve"> till fängelse </w:t>
            </w:r>
            <w:r w:rsidRPr="007E62E3">
              <w:t>i</w:t>
            </w:r>
            <w:r>
              <w:t xml:space="preserve"> </w:t>
            </w:r>
            <w:r>
              <w:rPr>
                <w:i/>
                <w:iCs/>
              </w:rPr>
              <w:t>lägst sex må</w:t>
            </w:r>
            <w:r>
              <w:rPr>
                <w:i/>
                <w:iCs/>
              </w:rPr>
              <w:softHyphen/>
              <w:t>na</w:t>
            </w:r>
            <w:r>
              <w:rPr>
                <w:i/>
                <w:iCs/>
              </w:rPr>
              <w:softHyphen/>
              <w:t xml:space="preserve">der och </w:t>
            </w:r>
            <w:r w:rsidRPr="00E85400">
              <w:t>högst</w:t>
            </w:r>
            <w:r>
              <w:rPr>
                <w:i/>
                <w:iCs/>
              </w:rPr>
              <w:t xml:space="preserve"> sex</w:t>
            </w:r>
            <w:r>
              <w:t> </w:t>
            </w:r>
            <w:r w:rsidRPr="004E12B0">
              <w:t>år.</w:t>
            </w:r>
            <w:r>
              <w:t xml:space="preserve"> </w:t>
            </w:r>
            <w:r w:rsidRPr="004E12B0">
              <w:t xml:space="preserve">För </w:t>
            </w:r>
            <w:r w:rsidRPr="00B35756">
              <w:t>barn</w:t>
            </w:r>
            <w:r>
              <w:softHyphen/>
            </w:r>
            <w:r w:rsidRPr="00B35756">
              <w:t>äktenskapsbrott</w:t>
            </w:r>
            <w:r w:rsidRPr="004E12B0">
              <w:t xml:space="preserve"> döms också den </w:t>
            </w:r>
            <w:r w:rsidRPr="007E2834">
              <w:rPr>
                <w:spacing w:val="-4"/>
              </w:rPr>
              <w:t>som i annat fall förmår eller tillåter</w:t>
            </w:r>
            <w:r w:rsidRPr="004E12B0">
              <w:t xml:space="preserve"> </w:t>
            </w:r>
            <w:r w:rsidRPr="00BB784E">
              <w:rPr>
                <w:spacing w:val="2"/>
              </w:rPr>
              <w:t>en person som inte har fyllt</w:t>
            </w:r>
            <w:r w:rsidRPr="004E12B0">
              <w:t xml:space="preserve"> </w:t>
            </w:r>
            <w:r w:rsidRPr="007E2834">
              <w:rPr>
                <w:spacing w:val="-4"/>
              </w:rPr>
              <w:t>arton år att ingå ett äkten</w:t>
            </w:r>
            <w:r w:rsidRPr="007E2834">
              <w:rPr>
                <w:spacing w:val="-4"/>
              </w:rPr>
              <w:softHyphen/>
              <w:t>skap som</w:t>
            </w:r>
            <w:r w:rsidRPr="004E12B0">
              <w:t xml:space="preserve"> </w:t>
            </w:r>
            <w:r w:rsidRPr="007E2834">
              <w:rPr>
                <w:spacing w:val="-4"/>
              </w:rPr>
              <w:t>är giltigt på sätt som anges i första</w:t>
            </w:r>
            <w:r w:rsidRPr="004E12B0">
              <w:t xml:space="preserve"> stycket eller en äkten</w:t>
            </w:r>
            <w:r>
              <w:softHyphen/>
            </w:r>
            <w:r w:rsidRPr="004E12B0">
              <w:t>skaps</w:t>
            </w:r>
            <w:r>
              <w:softHyphen/>
            </w:r>
            <w:r w:rsidRPr="004E12B0">
              <w:t>lik</w:t>
            </w:r>
            <w:r>
              <w:softHyphen/>
            </w:r>
            <w:r w:rsidRPr="004E12B0">
              <w:t xml:space="preserve">nande förbindelse enligt vad som </w:t>
            </w:r>
            <w:r w:rsidRPr="00BB784E">
              <w:rPr>
                <w:spacing w:val="-4"/>
              </w:rPr>
              <w:t>anges i andra stycket. Detta gäller</w:t>
            </w:r>
            <w:r w:rsidRPr="004E12B0">
              <w:t xml:space="preserve"> även om den som begår en sådan gärning inte haft uppsåt till men </w:t>
            </w:r>
            <w:r w:rsidRPr="00BB784E">
              <w:rPr>
                <w:spacing w:val="-4"/>
              </w:rPr>
              <w:t>varit oaktsam beträffande om</w:t>
            </w:r>
            <w:r w:rsidRPr="00BB784E">
              <w:rPr>
                <w:spacing w:val="-4"/>
              </w:rPr>
              <w:softHyphen/>
              <w:t>stän</w:t>
            </w:r>
            <w:r w:rsidRPr="00BB784E">
              <w:rPr>
                <w:spacing w:val="-4"/>
              </w:rPr>
              <w:softHyphen/>
              <w:t>digheten</w:t>
            </w:r>
            <w:r w:rsidRPr="004E12B0">
              <w:t xml:space="preserve"> att den andra per</w:t>
            </w:r>
            <w:r>
              <w:softHyphen/>
            </w:r>
            <w:r w:rsidRPr="004E12B0">
              <w:t>sonen inte fyllt arton</w:t>
            </w:r>
            <w:r>
              <w:t> </w:t>
            </w:r>
            <w:r w:rsidRPr="004E12B0">
              <w:t>år</w:t>
            </w:r>
            <w:r>
              <w:t xml:space="preserve">. </w:t>
            </w:r>
          </w:p>
        </w:tc>
      </w:tr>
    </w:tbl>
    <w:p w14:paraId="421C70F0" w14:textId="77777777" w:rsidR="00E6002D" w:rsidRPr="008574C5" w:rsidRDefault="00E6002D" w:rsidP="00E6002D">
      <w:pPr>
        <w:pStyle w:val="Brdtextmedindrag"/>
        <w:ind w:firstLine="0"/>
      </w:pPr>
    </w:p>
    <w:p w14:paraId="582575F0" w14:textId="77777777" w:rsidR="00E6002D" w:rsidRPr="00D967FD" w:rsidRDefault="00E6002D" w:rsidP="00E6002D">
      <w:pPr>
        <w:pStyle w:val="Brdtext"/>
        <w:jc w:val="center"/>
      </w:pPr>
      <w:r w:rsidRPr="00D967FD">
        <w:t>4 d</w:t>
      </w:r>
      <w:r>
        <w:t> §</w:t>
      </w:r>
      <w:r>
        <w:rPr>
          <w:rStyle w:val="Fotnotsreferens"/>
        </w:rPr>
        <w:footnoteReference w:customMarkFollows="1" w:id="5"/>
        <w:t>3</w:t>
      </w:r>
    </w:p>
    <w:tbl>
      <w:tblPr>
        <w:tblW w:w="5000" w:type="pct"/>
        <w:tblCellMar>
          <w:left w:w="125" w:type="dxa"/>
          <w:right w:w="125" w:type="dxa"/>
        </w:tblCellMar>
        <w:tblLook w:val="0000" w:firstRow="0" w:lastRow="0" w:firstColumn="0" w:lastColumn="0" w:noHBand="0" w:noVBand="0"/>
      </w:tblPr>
      <w:tblGrid>
        <w:gridCol w:w="2948"/>
        <w:gridCol w:w="2949"/>
      </w:tblGrid>
      <w:tr w:rsidR="00E6002D" w14:paraId="253FF3CE" w14:textId="77777777" w:rsidTr="00A9083F">
        <w:tc>
          <w:tcPr>
            <w:tcW w:w="2500" w:type="pct"/>
            <w:shd w:val="clear" w:color="auto" w:fill="auto"/>
            <w:tcMar>
              <w:left w:w="0" w:type="dxa"/>
            </w:tcMar>
          </w:tcPr>
          <w:p w14:paraId="302A4E5B" w14:textId="77777777" w:rsidR="00E6002D" w:rsidRDefault="00E6002D" w:rsidP="00A9083F">
            <w:pPr>
              <w:pStyle w:val="Brdtextmedindrag"/>
              <w:ind w:firstLine="0"/>
            </w:pPr>
            <w:r w:rsidRPr="00627229">
              <w:t>Den som, i annat fall än som avses i 1</w:t>
            </w:r>
            <w:r>
              <w:t> </w:t>
            </w:r>
            <w:r w:rsidRPr="00627229">
              <w:t>a</w:t>
            </w:r>
            <w:r>
              <w:t> </w:t>
            </w:r>
            <w:r w:rsidRPr="00627229">
              <w:t xml:space="preserve">§, </w:t>
            </w:r>
            <w:r w:rsidRPr="0008535D">
              <w:t>genom</w:t>
            </w:r>
            <w:r w:rsidRPr="00F4790E">
              <w:rPr>
                <w:i/>
                <w:iCs/>
              </w:rPr>
              <w:t xml:space="preserve"> </w:t>
            </w:r>
            <w:r w:rsidRPr="0008535D">
              <w:t>vilseledande</w:t>
            </w:r>
            <w:r w:rsidRPr="00627229">
              <w:t xml:space="preserve"> förmår en person att resa till en annan stat än den där han eller hon bor, i syfte att personen ska </w:t>
            </w:r>
            <w:r w:rsidRPr="007150E6">
              <w:rPr>
                <w:spacing w:val="-2"/>
              </w:rPr>
              <w:t>ut</w:t>
            </w:r>
            <w:r w:rsidRPr="007150E6">
              <w:rPr>
                <w:spacing w:val="-2"/>
              </w:rPr>
              <w:softHyphen/>
              <w:t xml:space="preserve">sättas för en </w:t>
            </w:r>
            <w:r w:rsidRPr="007150E6">
              <w:rPr>
                <w:spacing w:val="-2"/>
              </w:rPr>
              <w:lastRenderedPageBreak/>
              <w:t>sådan gärning som</w:t>
            </w:r>
            <w:r w:rsidRPr="00627229">
              <w:t xml:space="preserve"> </w:t>
            </w:r>
            <w:r w:rsidRPr="007150E6">
              <w:rPr>
                <w:spacing w:val="-6"/>
              </w:rPr>
              <w:t xml:space="preserve">anges i 4 c §, döms för </w:t>
            </w:r>
            <w:r w:rsidRPr="007150E6">
              <w:rPr>
                <w:i/>
                <w:iCs/>
                <w:spacing w:val="-6"/>
                <w:u w:val="single"/>
              </w:rPr>
              <w:t>vilse</w:t>
            </w:r>
            <w:r w:rsidRPr="007150E6">
              <w:rPr>
                <w:i/>
                <w:iCs/>
                <w:spacing w:val="-6"/>
                <w:u w:val="single"/>
              </w:rPr>
              <w:softHyphen/>
              <w:t>led</w:t>
            </w:r>
            <w:r w:rsidRPr="007150E6">
              <w:rPr>
                <w:i/>
                <w:iCs/>
                <w:spacing w:val="-6"/>
                <w:u w:val="single"/>
              </w:rPr>
              <w:softHyphen/>
              <w:t>ande</w:t>
            </w:r>
            <w:r w:rsidRPr="00323FB8">
              <w:rPr>
                <w:i/>
                <w:iCs/>
                <w:u w:val="single"/>
              </w:rPr>
              <w:t xml:space="preserve"> till äktenskapsresa</w:t>
            </w:r>
            <w:r w:rsidRPr="00627229">
              <w:t xml:space="preserve"> till fäng</w:t>
            </w:r>
            <w:r>
              <w:softHyphen/>
            </w:r>
            <w:r w:rsidRPr="00627229">
              <w:t xml:space="preserve">else i högst </w:t>
            </w:r>
            <w:r w:rsidRPr="000F6534">
              <w:rPr>
                <w:i/>
                <w:iCs/>
              </w:rPr>
              <w:t>två</w:t>
            </w:r>
            <w:r>
              <w:t> </w:t>
            </w:r>
            <w:r w:rsidRPr="00627229">
              <w:t>år.</w:t>
            </w:r>
          </w:p>
        </w:tc>
        <w:tc>
          <w:tcPr>
            <w:tcW w:w="2500" w:type="pct"/>
            <w:shd w:val="clear" w:color="auto" w:fill="auto"/>
            <w:tcMar>
              <w:right w:w="0" w:type="dxa"/>
            </w:tcMar>
          </w:tcPr>
          <w:p w14:paraId="620CCE8D" w14:textId="77777777" w:rsidR="00E6002D" w:rsidRDefault="00E6002D" w:rsidP="00A9083F">
            <w:pPr>
              <w:pStyle w:val="Brdtextmedindrag"/>
              <w:ind w:firstLine="0"/>
            </w:pPr>
            <w:bookmarkStart w:id="10" w:name="_Hlk222230950"/>
            <w:bookmarkStart w:id="11" w:name="_Hlk222232032"/>
            <w:r w:rsidRPr="00627229">
              <w:lastRenderedPageBreak/>
              <w:t>Den som, i annat fall än som avses i 1</w:t>
            </w:r>
            <w:r>
              <w:t> </w:t>
            </w:r>
            <w:r w:rsidRPr="00627229">
              <w:t>a</w:t>
            </w:r>
            <w:r>
              <w:t> </w:t>
            </w:r>
            <w:r w:rsidRPr="00627229">
              <w:t>§,</w:t>
            </w:r>
            <w:r>
              <w:t xml:space="preserve"> </w:t>
            </w:r>
            <w:r w:rsidRPr="007E62E3">
              <w:t xml:space="preserve">genom </w:t>
            </w:r>
            <w:r w:rsidRPr="00D1092C">
              <w:rPr>
                <w:i/>
                <w:iCs/>
              </w:rPr>
              <w:t>olaga tvång, utnyttjande av utsatt belägenhet eller</w:t>
            </w:r>
            <w:r w:rsidRPr="006E2263">
              <w:rPr>
                <w:i/>
                <w:iCs/>
              </w:rPr>
              <w:t xml:space="preserve"> </w:t>
            </w:r>
            <w:r w:rsidRPr="0008535D">
              <w:t>vilseledande</w:t>
            </w:r>
            <w:r>
              <w:t xml:space="preserve"> </w:t>
            </w:r>
            <w:r w:rsidRPr="00627229">
              <w:t>förmår en per</w:t>
            </w:r>
            <w:r>
              <w:softHyphen/>
            </w:r>
            <w:r w:rsidRPr="00627229">
              <w:t xml:space="preserve">son att resa till en annan stat än den där </w:t>
            </w:r>
            <w:r w:rsidRPr="00627229">
              <w:lastRenderedPageBreak/>
              <w:t>han eller hon bor, i syfte att personen ska utsättas för en sådan gärning som anges i 4</w:t>
            </w:r>
            <w:r>
              <w:t> </w:t>
            </w:r>
            <w:r w:rsidRPr="00627229">
              <w:t>c</w:t>
            </w:r>
            <w:r>
              <w:t> </w:t>
            </w:r>
            <w:r w:rsidRPr="00627229">
              <w:t>§</w:t>
            </w:r>
            <w:r w:rsidRPr="007150E6">
              <w:rPr>
                <w:spacing w:val="-4"/>
              </w:rPr>
              <w:t xml:space="preserve">, döms för </w:t>
            </w:r>
            <w:r w:rsidRPr="007150E6">
              <w:rPr>
                <w:i/>
                <w:iCs/>
                <w:spacing w:val="-4"/>
                <w:u w:val="single"/>
              </w:rPr>
              <w:t>äktenskaps</w:t>
            </w:r>
            <w:r w:rsidRPr="007150E6">
              <w:rPr>
                <w:i/>
                <w:iCs/>
                <w:spacing w:val="-4"/>
                <w:u w:val="single"/>
              </w:rPr>
              <w:softHyphen/>
            </w:r>
            <w:r w:rsidRPr="007150E6">
              <w:rPr>
                <w:i/>
                <w:iCs/>
                <w:spacing w:val="-6"/>
                <w:u w:val="single"/>
              </w:rPr>
              <w:t>resebrott</w:t>
            </w:r>
            <w:r w:rsidRPr="007150E6">
              <w:rPr>
                <w:spacing w:val="-6"/>
              </w:rPr>
              <w:t xml:space="preserve"> till fängelse i högst </w:t>
            </w:r>
            <w:r w:rsidRPr="007150E6">
              <w:rPr>
                <w:i/>
                <w:iCs/>
                <w:spacing w:val="-6"/>
              </w:rPr>
              <w:t>fyra</w:t>
            </w:r>
            <w:r>
              <w:rPr>
                <w:spacing w:val="-6"/>
              </w:rPr>
              <w:t> </w:t>
            </w:r>
            <w:r w:rsidRPr="007150E6">
              <w:rPr>
                <w:spacing w:val="-6"/>
              </w:rPr>
              <w:t>år.</w:t>
            </w:r>
            <w:bookmarkEnd w:id="10"/>
          </w:p>
          <w:p w14:paraId="205CDABB" w14:textId="52C22DB4" w:rsidR="00E6002D" w:rsidRDefault="00E6002D" w:rsidP="00A9083F">
            <w:pPr>
              <w:pStyle w:val="Brdtextmedindrag"/>
            </w:pPr>
            <w:bookmarkStart w:id="12" w:name="_Hlk222230973"/>
            <w:r>
              <w:rPr>
                <w:i/>
                <w:iCs/>
              </w:rPr>
              <w:t xml:space="preserve">Den </w:t>
            </w:r>
            <w:r w:rsidRPr="00C62317">
              <w:rPr>
                <w:i/>
                <w:iCs/>
              </w:rPr>
              <w:t>som begår en gärning som avses i första stycket mot en person som inte har fyllt arton</w:t>
            </w:r>
            <w:r>
              <w:rPr>
                <w:i/>
                <w:iCs/>
              </w:rPr>
              <w:t> </w:t>
            </w:r>
            <w:r w:rsidRPr="00C62317">
              <w:rPr>
                <w:i/>
                <w:iCs/>
              </w:rPr>
              <w:t xml:space="preserve">år, döms för </w:t>
            </w:r>
            <w:r w:rsidRPr="00C62317">
              <w:rPr>
                <w:i/>
                <w:iCs/>
                <w:u w:val="single"/>
              </w:rPr>
              <w:t>äktenskapsresebrott mot barn</w:t>
            </w:r>
            <w:r w:rsidRPr="00C62317">
              <w:rPr>
                <w:i/>
                <w:iCs/>
              </w:rPr>
              <w:t xml:space="preserve"> till fängelse i högst fyra</w:t>
            </w:r>
            <w:r>
              <w:rPr>
                <w:i/>
                <w:iCs/>
              </w:rPr>
              <w:t> </w:t>
            </w:r>
            <w:r w:rsidRPr="00C62317">
              <w:rPr>
                <w:i/>
                <w:iCs/>
              </w:rPr>
              <w:t xml:space="preserve">år. För </w:t>
            </w:r>
            <w:r w:rsidRPr="00E67E13">
              <w:rPr>
                <w:i/>
                <w:iCs/>
                <w:spacing w:val="-4"/>
              </w:rPr>
              <w:t>äkten</w:t>
            </w:r>
            <w:r>
              <w:rPr>
                <w:i/>
                <w:iCs/>
                <w:spacing w:val="-4"/>
              </w:rPr>
              <w:softHyphen/>
            </w:r>
            <w:r w:rsidRPr="00E67E13">
              <w:rPr>
                <w:i/>
                <w:iCs/>
                <w:spacing w:val="-4"/>
              </w:rPr>
              <w:t>skapsresebrott mot barn döms</w:t>
            </w:r>
            <w:r w:rsidRPr="00C62317">
              <w:rPr>
                <w:i/>
                <w:iCs/>
              </w:rPr>
              <w:t xml:space="preserve"> också den som i annat fall förmår eller tillåter en person som inte har fyllt arton år att resa till en annan stat än den där han eller hon bor, i syfte att personen ska utsättas för en sådan gärning som anges i 4</w:t>
            </w:r>
            <w:r>
              <w:rPr>
                <w:i/>
                <w:iCs/>
              </w:rPr>
              <w:t> </w:t>
            </w:r>
            <w:r w:rsidRPr="00C62317">
              <w:rPr>
                <w:i/>
                <w:iCs/>
              </w:rPr>
              <w:t>c</w:t>
            </w:r>
            <w:r>
              <w:rPr>
                <w:i/>
                <w:iCs/>
              </w:rPr>
              <w:t> </w:t>
            </w:r>
            <w:r w:rsidRPr="00362906">
              <w:rPr>
                <w:i/>
                <w:iCs/>
              </w:rPr>
              <w:t xml:space="preserve">§ </w:t>
            </w:r>
            <w:r w:rsidRPr="00E67E13">
              <w:rPr>
                <w:i/>
                <w:iCs/>
                <w:spacing w:val="-4"/>
              </w:rPr>
              <w:t>tredje stycket. Detta gäller även om</w:t>
            </w:r>
            <w:r w:rsidRPr="00C62317">
              <w:rPr>
                <w:i/>
                <w:iCs/>
              </w:rPr>
              <w:t xml:space="preserve"> </w:t>
            </w:r>
            <w:r w:rsidRPr="00E67E13">
              <w:rPr>
                <w:i/>
                <w:iCs/>
                <w:spacing w:val="2"/>
              </w:rPr>
              <w:t>den som begår en sådan gärning</w:t>
            </w:r>
            <w:r w:rsidRPr="00C62317">
              <w:rPr>
                <w:i/>
                <w:iCs/>
              </w:rPr>
              <w:t xml:space="preserve"> </w:t>
            </w:r>
            <w:r w:rsidRPr="00E67E13">
              <w:rPr>
                <w:i/>
                <w:iCs/>
                <w:spacing w:val="-4"/>
              </w:rPr>
              <w:t>inte haft uppsåt till men varit oakt</w:t>
            </w:r>
            <w:r w:rsidRPr="00E67E13">
              <w:rPr>
                <w:i/>
                <w:iCs/>
                <w:spacing w:val="-4"/>
              </w:rPr>
              <w:softHyphen/>
              <w:t>sam</w:t>
            </w:r>
            <w:r w:rsidRPr="00E67E13">
              <w:rPr>
                <w:i/>
                <w:iCs/>
                <w:spacing w:val="2"/>
              </w:rPr>
              <w:t xml:space="preserve"> beträffande omständig</w:t>
            </w:r>
            <w:r w:rsidRPr="00E67E13">
              <w:rPr>
                <w:i/>
                <w:iCs/>
                <w:spacing w:val="2"/>
              </w:rPr>
              <w:softHyphen/>
              <w:t>heten att den andra personen inte fyllt</w:t>
            </w:r>
            <w:r w:rsidRPr="00C62317">
              <w:rPr>
                <w:i/>
                <w:iCs/>
              </w:rPr>
              <w:t xml:space="preserve"> arton</w:t>
            </w:r>
            <w:r>
              <w:rPr>
                <w:i/>
                <w:iCs/>
              </w:rPr>
              <w:t> </w:t>
            </w:r>
            <w:r w:rsidRPr="00C62317">
              <w:rPr>
                <w:i/>
                <w:iCs/>
              </w:rPr>
              <w:t>år.</w:t>
            </w:r>
            <w:bookmarkEnd w:id="11"/>
            <w:bookmarkEnd w:id="12"/>
          </w:p>
        </w:tc>
      </w:tr>
    </w:tbl>
    <w:p w14:paraId="2178DE56" w14:textId="77777777" w:rsidR="00E6002D" w:rsidRDefault="00E6002D" w:rsidP="00E6002D">
      <w:pPr>
        <w:pStyle w:val="Brdtext"/>
        <w:jc w:val="center"/>
      </w:pPr>
    </w:p>
    <w:p w14:paraId="34F63B12" w14:textId="77777777" w:rsidR="00E6002D" w:rsidRDefault="00E6002D" w:rsidP="00E6002D">
      <w:pPr>
        <w:pStyle w:val="Brdtext"/>
        <w:jc w:val="center"/>
      </w:pPr>
      <w:r>
        <w:t>10 §</w:t>
      </w:r>
      <w:r>
        <w:rPr>
          <w:rStyle w:val="Fotnotsreferens"/>
        </w:rPr>
        <w:footnoteReference w:customMarkFollows="1" w:id="6"/>
        <w:t>4</w:t>
      </w:r>
    </w:p>
    <w:tbl>
      <w:tblPr>
        <w:tblW w:w="5000" w:type="pct"/>
        <w:tblCellMar>
          <w:left w:w="125" w:type="dxa"/>
          <w:right w:w="125" w:type="dxa"/>
        </w:tblCellMar>
        <w:tblLook w:val="0000" w:firstRow="0" w:lastRow="0" w:firstColumn="0" w:lastColumn="0" w:noHBand="0" w:noVBand="0"/>
      </w:tblPr>
      <w:tblGrid>
        <w:gridCol w:w="2948"/>
        <w:gridCol w:w="2949"/>
      </w:tblGrid>
      <w:tr w:rsidR="00E6002D" w14:paraId="218546BC" w14:textId="77777777" w:rsidTr="00A9083F">
        <w:tc>
          <w:tcPr>
            <w:tcW w:w="2500" w:type="pct"/>
            <w:shd w:val="clear" w:color="auto" w:fill="auto"/>
            <w:tcMar>
              <w:left w:w="0" w:type="dxa"/>
            </w:tcMar>
          </w:tcPr>
          <w:p w14:paraId="6544F35C" w14:textId="77777777" w:rsidR="00E6002D" w:rsidRDefault="00E6002D" w:rsidP="00A9083F">
            <w:pPr>
              <w:pStyle w:val="Brdtextmedindrag"/>
              <w:ind w:firstLine="0"/>
            </w:pPr>
            <w:r w:rsidRPr="00A20387">
              <w:t xml:space="preserve">För försök, förberedelse eller </w:t>
            </w:r>
            <w:r w:rsidRPr="00091359">
              <w:t>stämpling till människorov, människohandel, grov människo</w:t>
            </w:r>
            <w:r>
              <w:softHyphen/>
            </w:r>
            <w:r w:rsidRPr="00091359">
              <w:t>exploatering, olaga frihets</w:t>
            </w:r>
            <w:r>
              <w:softHyphen/>
            </w:r>
            <w:r w:rsidRPr="00091359">
              <w:t>berövande, äktenskapstvång</w:t>
            </w:r>
            <w:r w:rsidRPr="00EB76FB">
              <w:t xml:space="preserve"> eller </w:t>
            </w:r>
            <w:r w:rsidRPr="00091359">
              <w:t>barnäktenskapsbrott och för under</w:t>
            </w:r>
            <w:r>
              <w:softHyphen/>
            </w:r>
            <w:r w:rsidRPr="00091359">
              <w:t>låtenhet att</w:t>
            </w:r>
            <w:r w:rsidRPr="00A20387">
              <w:t xml:space="preserve"> avslöja eller förhindra ett sådant brott döms det till ansvar enligt 23</w:t>
            </w:r>
            <w:r>
              <w:t> kap.</w:t>
            </w:r>
            <w:r w:rsidRPr="00A20387">
              <w:t xml:space="preserve"> Detsamma gäller för </w:t>
            </w:r>
            <w:r w:rsidRPr="00091359">
              <w:t>försök</w:t>
            </w:r>
            <w:r w:rsidRPr="00A20387">
              <w:t xml:space="preserve">, förberedelse eller stämpling till </w:t>
            </w:r>
            <w:r w:rsidRPr="00091359">
              <w:t>människoexploatering</w:t>
            </w:r>
            <w:r w:rsidRPr="00A20387">
              <w:t xml:space="preserve">, grovt </w:t>
            </w:r>
            <w:r w:rsidRPr="00091359">
              <w:t>olaga tvång, grovt olaga</w:t>
            </w:r>
            <w:r w:rsidRPr="00A20387">
              <w:t xml:space="preserve"> </w:t>
            </w:r>
            <w:r w:rsidRPr="00091359">
              <w:t>hot, grovt hemfridsbrott eller grovt</w:t>
            </w:r>
            <w:r w:rsidRPr="00A20387">
              <w:t xml:space="preserve"> olaga intrång och för </w:t>
            </w:r>
            <w:r w:rsidRPr="00091359">
              <w:t>försök</w:t>
            </w:r>
            <w:r w:rsidRPr="00A20387">
              <w:t xml:space="preserve"> eller förberedelse till </w:t>
            </w:r>
            <w:r w:rsidRPr="00091359">
              <w:t>dataintrång</w:t>
            </w:r>
            <w:r w:rsidRPr="00A20387">
              <w:t xml:space="preserve"> som om det fullbordats inte skulle ha varit att anse som ringa, eller grovt dataintrång.</w:t>
            </w:r>
          </w:p>
        </w:tc>
        <w:tc>
          <w:tcPr>
            <w:tcW w:w="2500" w:type="pct"/>
            <w:shd w:val="clear" w:color="auto" w:fill="auto"/>
            <w:tcMar>
              <w:right w:w="0" w:type="dxa"/>
            </w:tcMar>
          </w:tcPr>
          <w:p w14:paraId="2138F7C0" w14:textId="77777777" w:rsidR="00E6002D" w:rsidRDefault="00E6002D" w:rsidP="00A9083F">
            <w:pPr>
              <w:pStyle w:val="Brdtextmedindrag"/>
              <w:ind w:firstLine="0"/>
            </w:pPr>
            <w:r w:rsidRPr="00A20387">
              <w:t xml:space="preserve">För försök, förberedelse eller </w:t>
            </w:r>
            <w:r w:rsidRPr="00211770">
              <w:t>stämpling till människorov, människohandel</w:t>
            </w:r>
            <w:r w:rsidRPr="00A20387">
              <w:t>,</w:t>
            </w:r>
            <w:r>
              <w:t xml:space="preserve"> </w:t>
            </w:r>
            <w:r w:rsidRPr="00A20387">
              <w:t xml:space="preserve">grov </w:t>
            </w:r>
            <w:r w:rsidRPr="00211770">
              <w:t>människo</w:t>
            </w:r>
            <w:r>
              <w:softHyphen/>
            </w:r>
            <w:r w:rsidRPr="00211770">
              <w:t>exploatering, olaga frihets</w:t>
            </w:r>
            <w:r>
              <w:softHyphen/>
            </w:r>
            <w:r w:rsidRPr="00211770">
              <w:t>berövande, äktenskapstvång</w:t>
            </w:r>
            <w:r>
              <w:t xml:space="preserve"> </w:t>
            </w:r>
            <w:r w:rsidRPr="00A20387">
              <w:t xml:space="preserve">eller </w:t>
            </w:r>
            <w:r w:rsidRPr="00211770">
              <w:t>barnäktenskapsbrott och för under</w:t>
            </w:r>
            <w:r>
              <w:softHyphen/>
            </w:r>
            <w:r w:rsidRPr="00211770">
              <w:t>låtenhet att</w:t>
            </w:r>
            <w:r w:rsidRPr="00A20387">
              <w:t xml:space="preserve"> avslöja eller förhindra ett sådant brott döms det till ansvar enligt 23</w:t>
            </w:r>
            <w:r>
              <w:t> kap.</w:t>
            </w:r>
            <w:r w:rsidRPr="00A20387">
              <w:t xml:space="preserve"> Detsamma gäller för </w:t>
            </w:r>
            <w:r w:rsidRPr="00211770">
              <w:t>försök</w:t>
            </w:r>
            <w:r w:rsidRPr="00A20387">
              <w:t xml:space="preserve">, förberedelse eller stämpling till människoexploatering, grovt olaga tvång, </w:t>
            </w:r>
            <w:r w:rsidRPr="00211770">
              <w:t>grovt olaga</w:t>
            </w:r>
            <w:r w:rsidRPr="00A20387">
              <w:t xml:space="preserve"> hot, grovt hemfridsbrott eller grovt olaga intrång och </w:t>
            </w:r>
            <w:r w:rsidRPr="00AD3DAF">
              <w:rPr>
                <w:i/>
                <w:iCs/>
              </w:rPr>
              <w:t xml:space="preserve">för försök </w:t>
            </w:r>
            <w:r>
              <w:rPr>
                <w:i/>
              </w:rPr>
              <w:t>till äkten</w:t>
            </w:r>
            <w:r>
              <w:rPr>
                <w:i/>
              </w:rPr>
              <w:softHyphen/>
              <w:t xml:space="preserve">skapsresebrott eller </w:t>
            </w:r>
            <w:r>
              <w:rPr>
                <w:i/>
                <w:iCs/>
              </w:rPr>
              <w:t>äktenskaps</w:t>
            </w:r>
            <w:r>
              <w:rPr>
                <w:i/>
                <w:iCs/>
              </w:rPr>
              <w:softHyphen/>
              <w:t>resebrott mot barn</w:t>
            </w:r>
            <w:r w:rsidRPr="00AD3DAF">
              <w:rPr>
                <w:i/>
                <w:iCs/>
              </w:rPr>
              <w:t xml:space="preserve"> samt</w:t>
            </w:r>
            <w:r w:rsidRPr="00211770">
              <w:t xml:space="preserve"> </w:t>
            </w:r>
            <w:r w:rsidRPr="00A20387">
              <w:t xml:space="preserve">för </w:t>
            </w:r>
            <w:r w:rsidRPr="00211770">
              <w:t>försök eller förberedelse till dataintrång</w:t>
            </w:r>
            <w:r w:rsidRPr="00A20387">
              <w:t xml:space="preserve"> som om det fullbordats inte skulle ha varit att anse som ringa, eller grovt dataintrång.</w:t>
            </w:r>
          </w:p>
        </w:tc>
      </w:tr>
    </w:tbl>
    <w:p w14:paraId="10F766CD" w14:textId="77777777" w:rsidR="00E6002D" w:rsidRDefault="00E6002D" w:rsidP="00E6002D">
      <w:pPr>
        <w:pStyle w:val="Slutstreck"/>
      </w:pPr>
      <w:r w:rsidRPr="00660EEA">
        <w:t>                      </w:t>
      </w:r>
    </w:p>
    <w:p w14:paraId="01563A25" w14:textId="77777777" w:rsidR="00E6002D" w:rsidRDefault="00E6002D" w:rsidP="00E6002D">
      <w:pPr>
        <w:pStyle w:val="Brdtextmedindrag"/>
        <w:sectPr w:rsidR="00E6002D" w:rsidSect="00E6002D">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r>
        <w:t xml:space="preserve">Denna lag träder i kraft den 2 juli 2026. </w:t>
      </w:r>
    </w:p>
    <w:p w14:paraId="668BF4F0" w14:textId="77777777" w:rsidR="00E6002D" w:rsidRDefault="00E6002D" w:rsidP="00E6002D">
      <w:pPr>
        <w:pStyle w:val="Rubrik2"/>
        <w:spacing w:before="0"/>
      </w:pPr>
      <w:bookmarkStart w:id="13" w:name="_Toc224807586"/>
      <w:r>
        <w:lastRenderedPageBreak/>
        <w:t>Förslag till lag om ändring i äktenskapsbalken</w:t>
      </w:r>
      <w:bookmarkEnd w:id="13"/>
    </w:p>
    <w:p w14:paraId="224094F3" w14:textId="77777777" w:rsidR="00E6002D" w:rsidRDefault="00E6002D" w:rsidP="00E6002D">
      <w:pPr>
        <w:pStyle w:val="Brdtext"/>
      </w:pPr>
      <w:r>
        <w:t>Härigenom föreskrivs att 5 kap. 5 § äktenskapsbalken ska ha följande lydelse.</w:t>
      </w:r>
    </w:p>
    <w:p w14:paraId="229EE820" w14:textId="77777777" w:rsidR="00E6002D" w:rsidRDefault="00E6002D" w:rsidP="00E6002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6002D" w:rsidRPr="005B0E77" w14:paraId="5A100D9B" w14:textId="77777777" w:rsidTr="00A9083F">
        <w:tc>
          <w:tcPr>
            <w:tcW w:w="2500" w:type="pct"/>
            <w:shd w:val="clear" w:color="auto" w:fill="auto"/>
            <w:tcMar>
              <w:left w:w="0" w:type="dxa"/>
            </w:tcMar>
          </w:tcPr>
          <w:p w14:paraId="453BCFCB" w14:textId="31B9BA76" w:rsidR="00E6002D" w:rsidRPr="005B0E77" w:rsidRDefault="00E6002D" w:rsidP="00A9083F">
            <w:pPr>
              <w:pStyle w:val="Brdtext"/>
              <w:jc w:val="left"/>
              <w:rPr>
                <w:i/>
              </w:rPr>
            </w:pPr>
            <w:r w:rsidRPr="00654F2A">
              <w:rPr>
                <w:i/>
              </w:rPr>
              <w:t xml:space="preserve">Lydelse enligt </w:t>
            </w:r>
            <w:r w:rsidR="00B934DA">
              <w:rPr>
                <w:i/>
              </w:rPr>
              <w:t>prop. 2025/26:</w:t>
            </w:r>
            <w:r w:rsidR="009D0A16">
              <w:rPr>
                <w:i/>
              </w:rPr>
              <w:t>154</w:t>
            </w:r>
          </w:p>
        </w:tc>
        <w:tc>
          <w:tcPr>
            <w:tcW w:w="2500" w:type="pct"/>
            <w:shd w:val="clear" w:color="auto" w:fill="auto"/>
            <w:tcMar>
              <w:right w:w="0" w:type="dxa"/>
            </w:tcMar>
          </w:tcPr>
          <w:p w14:paraId="229F731E" w14:textId="77777777" w:rsidR="00E6002D" w:rsidRPr="005B0E77" w:rsidRDefault="00E6002D" w:rsidP="00A9083F">
            <w:pPr>
              <w:pStyle w:val="Brdtext"/>
              <w:rPr>
                <w:i/>
              </w:rPr>
            </w:pPr>
            <w:r w:rsidRPr="005B0E77">
              <w:rPr>
                <w:i/>
              </w:rPr>
              <w:t>Föreslagen lydelse</w:t>
            </w:r>
          </w:p>
        </w:tc>
      </w:tr>
    </w:tbl>
    <w:p w14:paraId="34E6C6A1" w14:textId="77777777" w:rsidR="00E6002D" w:rsidRDefault="00E6002D" w:rsidP="00E6002D">
      <w:pPr>
        <w:pStyle w:val="Brdtext"/>
        <w:jc w:val="center"/>
        <w:rPr>
          <w:b/>
        </w:rPr>
      </w:pPr>
    </w:p>
    <w:p w14:paraId="145EE7BB" w14:textId="77777777" w:rsidR="00E6002D" w:rsidRDefault="00E6002D" w:rsidP="00E6002D">
      <w:pPr>
        <w:pStyle w:val="Brdtext"/>
        <w:jc w:val="center"/>
        <w:rPr>
          <w:b/>
        </w:rPr>
      </w:pPr>
      <w:r>
        <w:rPr>
          <w:b/>
        </w:rPr>
        <w:t>5 kap.</w:t>
      </w:r>
    </w:p>
    <w:p w14:paraId="17ECB13A" w14:textId="77777777" w:rsidR="00E6002D" w:rsidRDefault="00E6002D" w:rsidP="00E6002D">
      <w:pPr>
        <w:pStyle w:val="Brdtext"/>
        <w:jc w:val="center"/>
      </w:pPr>
      <w:r>
        <w:t>5 §</w:t>
      </w:r>
      <w:r>
        <w:rPr>
          <w:rStyle w:val="Fotnotsreferens"/>
        </w:rPr>
        <w:footnoteReference w:id="7"/>
      </w:r>
    </w:p>
    <w:p w14:paraId="6E57ABB3" w14:textId="77777777" w:rsidR="00E6002D" w:rsidRDefault="00E6002D" w:rsidP="00E6002D">
      <w:pPr>
        <w:pStyle w:val="Brdtextmedindrag"/>
        <w:ind w:firstLine="0"/>
      </w:pPr>
      <w:r>
        <w:t>E</w:t>
      </w:r>
      <w:r w:rsidRPr="003D5907">
        <w:t>n make har rätt till äktenskapsskillnad utan föregående betänketid om det görs sannolikt att maken har tvingats att ingå äktenskapet eller om maken har ingått äktenskapet före 18 års ålder. Om äktenskapet har ingåtts trots att makarna är släkt med varandra på något av de sätt som anges i 2 kap. 3</w:t>
      </w:r>
      <w:r>
        <w:t> </w:t>
      </w:r>
      <w:r w:rsidRPr="003D5907">
        <w:t xml:space="preserve">§, har var och en av makarna rätt till äktenskapsskillnad utan föregående betänketid. </w:t>
      </w:r>
      <w:r>
        <w:t xml:space="preserve">Detsamma </w:t>
      </w:r>
      <w:r w:rsidRPr="003D5907">
        <w:t>gäller om äktenskapet har ingåtts trots att någon av makarna redan var gift eller partner i ett registrerat partnerskap och det tidigare</w:t>
      </w:r>
      <w:r>
        <w:t xml:space="preserve"> </w:t>
      </w:r>
      <w:r w:rsidRPr="003D5907">
        <w:t>äktenskapet eller partnerskapet inte har blivit upplöst.</w:t>
      </w:r>
      <w:r>
        <w:t xml:space="preserve"> </w:t>
      </w:r>
    </w:p>
    <w:p w14:paraId="3462E39F" w14:textId="7D22679A" w:rsidR="00E6002D" w:rsidRDefault="00E6002D" w:rsidP="00E6002D">
      <w:pPr>
        <w:pStyle w:val="Brdtextmedindrag"/>
      </w:pPr>
      <w:r>
        <w:t>O</w:t>
      </w:r>
      <w:r w:rsidRPr="003D5907">
        <w:t>m det är fråga om tvegifte, har var och en av makarna i det tidigare äktenskapet rätt att få detta upplöst genom äktenskapsskillnad utan föregående betänketid. Detsamma gäller om ett partnerskap har registre</w:t>
      </w:r>
      <w:r w:rsidR="00BB265A">
        <w:softHyphen/>
      </w:r>
      <w:r w:rsidRPr="003D5907">
        <w:t>rats trots att någon av partnerna då var gift.</w:t>
      </w:r>
      <w:r>
        <w:t xml:space="preserve"> </w:t>
      </w:r>
    </w:p>
    <w:p w14:paraId="50C30C53" w14:textId="77777777" w:rsidR="00E6002D" w:rsidRDefault="00E6002D" w:rsidP="00E6002D">
      <w:pPr>
        <w:pStyle w:val="Brdtextmedindrag"/>
      </w:pPr>
      <w:r w:rsidRPr="000A64E6">
        <w:t>I de fall som avses i första stycket får talan om äktenskapsskillnad föras även av allmän åklagare. I de fall som avser äktenskap som har ingåtts av underårig är socialnämnden i den kommun där personen är folkbokförd eller, om personen inte är folkbokförd här i landet, i den kommun där han eller hon vistas skyldig att på begäran lämna yttrande samt de upplysningar som kan vara av betydelse för frågans bedömning till åklagaren. En annan socialnämnd som har tillgång till upplysningar som kan vara av betydelse i frågan är skyldig att lämna sådana på begäran av den socialnämnd som ska yttra sig.</w:t>
      </w:r>
    </w:p>
    <w:tbl>
      <w:tblPr>
        <w:tblW w:w="5000" w:type="pct"/>
        <w:tblLook w:val="0600" w:firstRow="0" w:lastRow="0" w:firstColumn="0" w:lastColumn="0" w:noHBand="1" w:noVBand="1"/>
      </w:tblPr>
      <w:tblGrid>
        <w:gridCol w:w="2948"/>
        <w:gridCol w:w="2949"/>
      </w:tblGrid>
      <w:tr w:rsidR="00E6002D" w14:paraId="14EDC0EA" w14:textId="77777777" w:rsidTr="00A9083F">
        <w:tc>
          <w:tcPr>
            <w:tcW w:w="2500" w:type="pct"/>
            <w:shd w:val="clear" w:color="auto" w:fill="auto"/>
            <w:tcMar>
              <w:left w:w="0" w:type="dxa"/>
            </w:tcMar>
          </w:tcPr>
          <w:p w14:paraId="65BCA384" w14:textId="7F466B76" w:rsidR="00E6002D" w:rsidRDefault="00E6002D" w:rsidP="00A9083F">
            <w:pPr>
              <w:pStyle w:val="Brdtextmedindrag"/>
            </w:pPr>
            <w:r w:rsidRPr="000A64E6">
              <w:rPr>
                <w:i/>
                <w:spacing w:val="-4"/>
              </w:rPr>
              <w:t>Bestämmelser om erkännande av äktenskap som har ingåtts enligt utländsk lag i de fall som avses i första stycket finns i 1</w:t>
            </w:r>
            <w:r>
              <w:rPr>
                <w:i/>
                <w:spacing w:val="-4"/>
              </w:rPr>
              <w:t> kap.</w:t>
            </w:r>
            <w:r w:rsidRPr="000A64E6">
              <w:rPr>
                <w:i/>
                <w:spacing w:val="-4"/>
              </w:rPr>
              <w:t xml:space="preserve"> 8</w:t>
            </w:r>
            <w:r>
              <w:rPr>
                <w:i/>
                <w:spacing w:val="-4"/>
              </w:rPr>
              <w:t> </w:t>
            </w:r>
            <w:r w:rsidRPr="000A64E6">
              <w:rPr>
                <w:i/>
                <w:spacing w:val="-4"/>
              </w:rPr>
              <w:t>a</w:t>
            </w:r>
            <w:r>
              <w:rPr>
                <w:i/>
                <w:spacing w:val="-4"/>
              </w:rPr>
              <w:t> §</w:t>
            </w:r>
            <w:r w:rsidRPr="000A64E6">
              <w:rPr>
                <w:i/>
                <w:spacing w:val="-4"/>
              </w:rPr>
              <w:t xml:space="preserve"> lagen (1904:26 s.</w:t>
            </w:r>
            <w:r>
              <w:rPr>
                <w:i/>
                <w:spacing w:val="-4"/>
              </w:rPr>
              <w:t> </w:t>
            </w:r>
            <w:r w:rsidRPr="000A64E6">
              <w:rPr>
                <w:i/>
                <w:spacing w:val="-4"/>
              </w:rPr>
              <w:t>1) om vissa inter</w:t>
            </w:r>
            <w:r>
              <w:rPr>
                <w:i/>
                <w:spacing w:val="-4"/>
              </w:rPr>
              <w:softHyphen/>
            </w:r>
            <w:r w:rsidRPr="000A64E6">
              <w:rPr>
                <w:i/>
                <w:spacing w:val="-4"/>
              </w:rPr>
              <w:t>natio</w:t>
            </w:r>
            <w:r>
              <w:rPr>
                <w:i/>
                <w:spacing w:val="-4"/>
              </w:rPr>
              <w:softHyphen/>
            </w:r>
            <w:r w:rsidRPr="000A64E6">
              <w:rPr>
                <w:i/>
                <w:spacing w:val="-4"/>
              </w:rPr>
              <w:t>nel</w:t>
            </w:r>
            <w:r>
              <w:rPr>
                <w:i/>
                <w:spacing w:val="-4"/>
              </w:rPr>
              <w:softHyphen/>
            </w:r>
            <w:r w:rsidRPr="000A64E6">
              <w:rPr>
                <w:i/>
                <w:spacing w:val="-4"/>
              </w:rPr>
              <w:t>la rättsförhållanden rörande äkten</w:t>
            </w:r>
            <w:r>
              <w:rPr>
                <w:i/>
                <w:spacing w:val="-4"/>
              </w:rPr>
              <w:softHyphen/>
            </w:r>
            <w:r w:rsidRPr="000A64E6">
              <w:rPr>
                <w:i/>
                <w:spacing w:val="-4"/>
              </w:rPr>
              <w:t>skap och förmynd</w:t>
            </w:r>
            <w:r w:rsidR="00B81CA6">
              <w:rPr>
                <w:i/>
                <w:spacing w:val="-4"/>
              </w:rPr>
              <w:t>a</w:t>
            </w:r>
            <w:r w:rsidRPr="000A64E6">
              <w:rPr>
                <w:i/>
                <w:spacing w:val="-4"/>
              </w:rPr>
              <w:t>rskap.</w:t>
            </w:r>
          </w:p>
        </w:tc>
        <w:tc>
          <w:tcPr>
            <w:tcW w:w="2500" w:type="pct"/>
            <w:shd w:val="clear" w:color="auto" w:fill="auto"/>
            <w:tcMar>
              <w:right w:w="0" w:type="dxa"/>
            </w:tcMar>
          </w:tcPr>
          <w:p w14:paraId="10D9F737" w14:textId="77777777" w:rsidR="00E6002D" w:rsidRDefault="00E6002D" w:rsidP="00A9083F">
            <w:pPr>
              <w:pStyle w:val="Brdtextmedindrag"/>
            </w:pPr>
          </w:p>
        </w:tc>
      </w:tr>
    </w:tbl>
    <w:p w14:paraId="000E92E0" w14:textId="77777777" w:rsidR="00E6002D" w:rsidRDefault="00E6002D" w:rsidP="00E6002D">
      <w:pPr>
        <w:pStyle w:val="Slutstreck"/>
      </w:pPr>
      <w:r w:rsidRPr="00660EEA">
        <w:t>                     </w:t>
      </w:r>
    </w:p>
    <w:p w14:paraId="4A2541E3" w14:textId="77777777" w:rsidR="00E6002D" w:rsidRDefault="00E6002D" w:rsidP="00E6002D">
      <w:pPr>
        <w:pStyle w:val="Brdtextmedindrag"/>
      </w:pPr>
      <w:r w:rsidRPr="00AE23A3">
        <w:t>Denna</w:t>
      </w:r>
      <w:r>
        <w:t xml:space="preserve"> lag träder i kraft den 2 juli 2026.</w:t>
      </w:r>
    </w:p>
    <w:p w14:paraId="125D893F" w14:textId="77777777" w:rsidR="00E6002D" w:rsidRDefault="00E6002D" w:rsidP="00E6002D">
      <w:pPr>
        <w:pStyle w:val="Brdtextmedindrag"/>
      </w:pPr>
    </w:p>
    <w:p w14:paraId="2966E698" w14:textId="77777777" w:rsidR="00E6002D" w:rsidRDefault="00E6002D" w:rsidP="00E6002D">
      <w:pPr>
        <w:pStyle w:val="Brdtextmedindrag"/>
      </w:pPr>
    </w:p>
    <w:p w14:paraId="20D2C302" w14:textId="0E6B79CE" w:rsidR="00E6002D" w:rsidRDefault="00E6002D" w:rsidP="00E6002D">
      <w:pPr>
        <w:pStyle w:val="Brdtextmedindrag"/>
      </w:pPr>
    </w:p>
    <w:p w14:paraId="6DA099C9" w14:textId="77777777" w:rsidR="00E6002D" w:rsidRDefault="00E6002D" w:rsidP="00E6002D">
      <w:pPr>
        <w:pStyle w:val="Brdtextmedindrag"/>
        <w:sectPr w:rsidR="00E6002D" w:rsidSect="00E6002D">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1F6414E3" w14:textId="77777777" w:rsidR="00E6002D" w:rsidRPr="00DC06CD" w:rsidRDefault="00E6002D" w:rsidP="00E6002D">
      <w:pPr>
        <w:pStyle w:val="Rubrik2"/>
        <w:spacing w:before="0"/>
      </w:pPr>
      <w:bookmarkStart w:id="14" w:name="_Toc224807587"/>
      <w:r w:rsidRPr="006B59D3">
        <w:rPr>
          <w:spacing w:val="-2"/>
        </w:rPr>
        <w:lastRenderedPageBreak/>
        <w:t>Förslag till lag om ändring i lagen (1904:26</w:t>
      </w:r>
      <w:r w:rsidRPr="006B59D3">
        <w:rPr>
          <w:rFonts w:ascii="Cambria" w:hAnsi="Cambria"/>
          <w:spacing w:val="-2"/>
        </w:rPr>
        <w:t> </w:t>
      </w:r>
      <w:r w:rsidRPr="006B59D3">
        <w:rPr>
          <w:spacing w:val="-2"/>
        </w:rPr>
        <w:t>s.</w:t>
      </w:r>
      <w:r w:rsidRPr="006B59D3">
        <w:rPr>
          <w:rFonts w:ascii="Cambria" w:hAnsi="Cambria"/>
          <w:spacing w:val="-2"/>
        </w:rPr>
        <w:t> </w:t>
      </w:r>
      <w:r w:rsidRPr="006B59D3">
        <w:rPr>
          <w:spacing w:val="-2"/>
        </w:rPr>
        <w:t>1)</w:t>
      </w:r>
      <w:r>
        <w:t xml:space="preserve"> </w:t>
      </w:r>
      <w:r w:rsidRPr="00FB7C55">
        <w:t>om vissa internationella rättsförhållanden</w:t>
      </w:r>
      <w:r>
        <w:t xml:space="preserve"> </w:t>
      </w:r>
      <w:r w:rsidRPr="00FB7C55">
        <w:t>rörande äktenskap och förmynderskap</w:t>
      </w:r>
      <w:bookmarkEnd w:id="14"/>
    </w:p>
    <w:p w14:paraId="5D821A0F" w14:textId="2B7BC84F" w:rsidR="00E6002D" w:rsidRDefault="00E6002D" w:rsidP="00E6002D">
      <w:pPr>
        <w:pStyle w:val="Brdtext"/>
      </w:pPr>
      <w:r w:rsidRPr="00536C14">
        <w:t>Härigenom föreskrivs att 1</w:t>
      </w:r>
      <w:r>
        <w:t> </w:t>
      </w:r>
      <w:r w:rsidRPr="00536C14">
        <w:t>kap. 8</w:t>
      </w:r>
      <w:r>
        <w:t> </w:t>
      </w:r>
      <w:r w:rsidRPr="00536C14">
        <w:t>a</w:t>
      </w:r>
      <w:r>
        <w:t> </w:t>
      </w:r>
      <w:r w:rsidRPr="00536C14">
        <w:t>§ lagen (1904:26 s.</w:t>
      </w:r>
      <w:r>
        <w:t> </w:t>
      </w:r>
      <w:r w:rsidRPr="00536C14">
        <w:t>1) om vissa internationella rättsförhållanden rörande äktenskap och för</w:t>
      </w:r>
      <w:r>
        <w:softHyphen/>
      </w:r>
      <w:r w:rsidRPr="00536C14">
        <w:t>myn</w:t>
      </w:r>
      <w:r>
        <w:softHyphen/>
      </w:r>
      <w:r w:rsidRPr="00536C14">
        <w:t>der</w:t>
      </w:r>
      <w:r>
        <w:softHyphen/>
      </w:r>
      <w:r w:rsidRPr="00536C14">
        <w:t>ska</w:t>
      </w:r>
      <w:r>
        <w:t>p</w:t>
      </w:r>
      <w:r w:rsidR="00664D7E">
        <w:rPr>
          <w:rStyle w:val="Fotnotsreferens"/>
        </w:rPr>
        <w:footnoteReference w:id="8"/>
      </w:r>
      <w:r w:rsidRPr="00536C14">
        <w:t xml:space="preserve"> ska ha följande lydelse.</w:t>
      </w:r>
    </w:p>
    <w:p w14:paraId="632EAA3B" w14:textId="77777777" w:rsidR="00E6002D" w:rsidRPr="00AD3DAF" w:rsidRDefault="00E6002D" w:rsidP="00E6002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6002D" w:rsidRPr="005B0E77" w14:paraId="3B0327CA" w14:textId="77777777" w:rsidTr="00A9083F">
        <w:tc>
          <w:tcPr>
            <w:tcW w:w="2500" w:type="pct"/>
            <w:shd w:val="clear" w:color="auto" w:fill="auto"/>
            <w:tcMar>
              <w:left w:w="0" w:type="dxa"/>
            </w:tcMar>
          </w:tcPr>
          <w:p w14:paraId="10459225" w14:textId="7C1CFA8C" w:rsidR="00E6002D" w:rsidRPr="005B0E77" w:rsidRDefault="00E6002D" w:rsidP="00A9083F">
            <w:pPr>
              <w:pStyle w:val="Brdtext"/>
              <w:jc w:val="left"/>
              <w:rPr>
                <w:i/>
              </w:rPr>
            </w:pPr>
            <w:r>
              <w:rPr>
                <w:i/>
              </w:rPr>
              <w:t xml:space="preserve">Lydelse enligt </w:t>
            </w:r>
            <w:r w:rsidR="00DF54B0">
              <w:rPr>
                <w:i/>
              </w:rPr>
              <w:t>prop. 2025/26:</w:t>
            </w:r>
            <w:r w:rsidR="009D0A16">
              <w:rPr>
                <w:i/>
              </w:rPr>
              <w:t>154</w:t>
            </w:r>
          </w:p>
        </w:tc>
        <w:tc>
          <w:tcPr>
            <w:tcW w:w="2500" w:type="pct"/>
            <w:shd w:val="clear" w:color="auto" w:fill="auto"/>
            <w:tcMar>
              <w:right w:w="0" w:type="dxa"/>
            </w:tcMar>
          </w:tcPr>
          <w:p w14:paraId="580460D1" w14:textId="77777777" w:rsidR="00E6002D" w:rsidRPr="005B0E77" w:rsidRDefault="00E6002D" w:rsidP="00A9083F">
            <w:pPr>
              <w:pStyle w:val="Brdtext"/>
              <w:rPr>
                <w:i/>
              </w:rPr>
            </w:pPr>
            <w:r w:rsidRPr="005B0E77">
              <w:rPr>
                <w:i/>
              </w:rPr>
              <w:t>Föreslagen lydelse</w:t>
            </w:r>
          </w:p>
        </w:tc>
      </w:tr>
    </w:tbl>
    <w:p w14:paraId="031A3F83" w14:textId="77777777" w:rsidR="00E6002D" w:rsidRDefault="00E6002D" w:rsidP="00E6002D">
      <w:pPr>
        <w:pStyle w:val="Brdtext"/>
        <w:jc w:val="center"/>
        <w:rPr>
          <w:b/>
        </w:rPr>
      </w:pPr>
    </w:p>
    <w:p w14:paraId="210330E0" w14:textId="77777777" w:rsidR="00E6002D" w:rsidRDefault="00E6002D" w:rsidP="00E6002D">
      <w:pPr>
        <w:pStyle w:val="Brdtext"/>
        <w:jc w:val="center"/>
        <w:rPr>
          <w:b/>
        </w:rPr>
      </w:pPr>
      <w:r>
        <w:rPr>
          <w:b/>
        </w:rPr>
        <w:t>1 kap.</w:t>
      </w:r>
    </w:p>
    <w:p w14:paraId="1276C245" w14:textId="77777777" w:rsidR="00E6002D" w:rsidRDefault="00E6002D" w:rsidP="00E6002D">
      <w:pPr>
        <w:pStyle w:val="Brdtext"/>
        <w:jc w:val="center"/>
      </w:pPr>
      <w:r>
        <w:t>8 a §</w:t>
      </w:r>
    </w:p>
    <w:p w14:paraId="710780B8" w14:textId="77777777" w:rsidR="00E6002D" w:rsidRPr="00C174A4" w:rsidRDefault="00E6002D" w:rsidP="00E6002D">
      <w:pPr>
        <w:pStyle w:val="Brdtext"/>
      </w:pPr>
      <w:r w:rsidRPr="00C174A4">
        <w:t>Ett äktenskap som har ingåtts enligt utländsk lag erkänns inte i Sverige</w:t>
      </w:r>
    </w:p>
    <w:p w14:paraId="47E200C3" w14:textId="77777777" w:rsidR="00E6002D" w:rsidRDefault="00E6002D" w:rsidP="00E6002D">
      <w:pPr>
        <w:pStyle w:val="Brdtextmedindrag"/>
      </w:pPr>
      <w:r w:rsidRPr="00C174A4">
        <w:rPr>
          <w:spacing w:val="-4"/>
        </w:rPr>
        <w:t xml:space="preserve">1. om </w:t>
      </w:r>
      <w:r>
        <w:rPr>
          <w:spacing w:val="-4"/>
        </w:rPr>
        <w:t xml:space="preserve">parterna är släkt med varandra på något av de sätt som </w:t>
      </w:r>
      <w:r w:rsidRPr="00BA1B96">
        <w:rPr>
          <w:spacing w:val="-4"/>
        </w:rPr>
        <w:t xml:space="preserve">anges i 2 kap. 3 § äktenskapsbalken eller </w:t>
      </w:r>
      <w:r w:rsidRPr="00C174A4">
        <w:rPr>
          <w:spacing w:val="-4"/>
        </w:rPr>
        <w:t>om det vid tidpunkten för äktenskapets ingående skulle ha funnits</w:t>
      </w:r>
      <w:r w:rsidRPr="00BA1B96">
        <w:rPr>
          <w:spacing w:val="-4"/>
        </w:rPr>
        <w:t xml:space="preserve"> något annat hinder mot äktenskapet enligt svensk lag</w:t>
      </w:r>
      <w:r>
        <w:t>,</w:t>
      </w:r>
    </w:p>
    <w:p w14:paraId="444424A9" w14:textId="77777777" w:rsidR="00E6002D" w:rsidRDefault="00E6002D" w:rsidP="00E6002D">
      <w:pPr>
        <w:pStyle w:val="Brdtextmedindrag"/>
      </w:pPr>
      <w:r>
        <w:t>2.</w:t>
      </w:r>
      <w:r w:rsidRPr="00C174A4">
        <w:rPr>
          <w:spacing w:val="-2"/>
        </w:rPr>
        <w:t> om det är sannolikt att äktenskapet har ingåtts under tvång, eller</w:t>
      </w:r>
    </w:p>
    <w:p w14:paraId="053F4FD9" w14:textId="77777777" w:rsidR="00E6002D" w:rsidRDefault="00E6002D" w:rsidP="00E6002D">
      <w:pPr>
        <w:pStyle w:val="Brdtextmedindrag"/>
      </w:pPr>
      <w:r>
        <w:t>3. om parterna inte var närvarande samtidigt vid äktenskapets in</w:t>
      </w:r>
      <w:r>
        <w:softHyphen/>
      </w:r>
      <w:r w:rsidRPr="00C174A4">
        <w:rPr>
          <w:spacing w:val="-2"/>
        </w:rPr>
        <w:t>gående och minst en av dem då var svensk medborgare eller hade hem</w:t>
      </w:r>
      <w:r w:rsidRPr="00C174A4">
        <w:rPr>
          <w:spacing w:val="-2"/>
        </w:rPr>
        <w:softHyphen/>
        <w:t>vist</w:t>
      </w:r>
      <w:r>
        <w:t xml:space="preserve"> i Sverige. </w:t>
      </w:r>
    </w:p>
    <w:tbl>
      <w:tblPr>
        <w:tblW w:w="5000" w:type="pct"/>
        <w:tblLook w:val="0600" w:firstRow="0" w:lastRow="0" w:firstColumn="0" w:lastColumn="0" w:noHBand="1" w:noVBand="1"/>
      </w:tblPr>
      <w:tblGrid>
        <w:gridCol w:w="2948"/>
        <w:gridCol w:w="2949"/>
      </w:tblGrid>
      <w:tr w:rsidR="00E6002D" w14:paraId="72F5794F" w14:textId="77777777" w:rsidTr="00A9083F">
        <w:tc>
          <w:tcPr>
            <w:tcW w:w="2500" w:type="pct"/>
            <w:shd w:val="clear" w:color="auto" w:fill="auto"/>
            <w:tcMar>
              <w:left w:w="0" w:type="dxa"/>
            </w:tcMar>
          </w:tcPr>
          <w:p w14:paraId="68E6F33F" w14:textId="77777777" w:rsidR="00E6002D" w:rsidRDefault="00E6002D" w:rsidP="00A9083F">
            <w:pPr>
              <w:pStyle w:val="Brdtextmedindrag"/>
            </w:pPr>
            <w:r w:rsidRPr="001557AF">
              <w:rPr>
                <w:i/>
                <w:iCs/>
                <w:spacing w:val="-6"/>
              </w:rPr>
              <w:t>Första stycket gäller inte om båda</w:t>
            </w:r>
            <w:r w:rsidRPr="00694A0E">
              <w:rPr>
                <w:i/>
                <w:iCs/>
              </w:rPr>
              <w:t xml:space="preserve"> </w:t>
            </w:r>
            <w:r w:rsidRPr="001557AF">
              <w:rPr>
                <w:i/>
                <w:iCs/>
                <w:spacing w:val="-4"/>
              </w:rPr>
              <w:t>parterna är över 18 år och det finns</w:t>
            </w:r>
            <w:r w:rsidRPr="00C174A4">
              <w:rPr>
                <w:i/>
                <w:iCs/>
                <w:spacing w:val="2"/>
              </w:rPr>
              <w:t xml:space="preserve"> synnerliga skäl att erkänna äkten</w:t>
            </w:r>
            <w:r w:rsidRPr="00C174A4">
              <w:rPr>
                <w:i/>
                <w:iCs/>
                <w:spacing w:val="2"/>
              </w:rPr>
              <w:softHyphen/>
              <w:t>skapet.</w:t>
            </w:r>
          </w:p>
        </w:tc>
        <w:tc>
          <w:tcPr>
            <w:tcW w:w="2500" w:type="pct"/>
            <w:shd w:val="clear" w:color="auto" w:fill="auto"/>
            <w:tcMar>
              <w:right w:w="0" w:type="dxa"/>
            </w:tcMar>
          </w:tcPr>
          <w:p w14:paraId="7F0EB9A9" w14:textId="4C0D709F" w:rsidR="00E6002D" w:rsidRPr="00C70210" w:rsidRDefault="00E6002D" w:rsidP="00A9083F">
            <w:pPr>
              <w:pStyle w:val="Brdtextmedindrag"/>
              <w:rPr>
                <w:i/>
              </w:rPr>
            </w:pPr>
            <w:r>
              <w:rPr>
                <w:i/>
              </w:rPr>
              <w:t>Trots</w:t>
            </w:r>
            <w:r w:rsidRPr="00C70210">
              <w:rPr>
                <w:i/>
              </w:rPr>
              <w:t xml:space="preserve"> </w:t>
            </w:r>
            <w:r w:rsidR="00902666">
              <w:rPr>
                <w:i/>
              </w:rPr>
              <w:t xml:space="preserve">att ett äktenskap som avses i </w:t>
            </w:r>
            <w:r w:rsidRPr="00C70210">
              <w:rPr>
                <w:i/>
              </w:rPr>
              <w:t>första stycket</w:t>
            </w:r>
            <w:r w:rsidR="00902666">
              <w:rPr>
                <w:i/>
              </w:rPr>
              <w:t xml:space="preserve"> inte erkänns</w:t>
            </w:r>
            <w:r w:rsidRPr="00C70210">
              <w:rPr>
                <w:i/>
              </w:rPr>
              <w:t xml:space="preserve"> </w:t>
            </w:r>
            <w:r>
              <w:rPr>
                <w:i/>
              </w:rPr>
              <w:t xml:space="preserve">har </w:t>
            </w:r>
            <w:r w:rsidR="00902666">
              <w:rPr>
                <w:i/>
              </w:rPr>
              <w:t xml:space="preserve">det viss </w:t>
            </w:r>
            <w:r w:rsidRPr="00C70210">
              <w:rPr>
                <w:i/>
              </w:rPr>
              <w:t>rättsverk</w:t>
            </w:r>
            <w:r>
              <w:rPr>
                <w:i/>
              </w:rPr>
              <w:t>a</w:t>
            </w:r>
            <w:r w:rsidRPr="00C70210">
              <w:rPr>
                <w:i/>
              </w:rPr>
              <w:t>n</w:t>
            </w:r>
            <w:r>
              <w:rPr>
                <w:i/>
                <w:iCs/>
              </w:rPr>
              <w:t>,</w:t>
            </w:r>
            <w:r w:rsidRPr="00C70210">
              <w:rPr>
                <w:i/>
              </w:rPr>
              <w:t xml:space="preserve"> om det </w:t>
            </w:r>
            <w:r>
              <w:rPr>
                <w:i/>
              </w:rPr>
              <w:t>finns</w:t>
            </w:r>
            <w:r w:rsidRPr="00C70210">
              <w:rPr>
                <w:i/>
              </w:rPr>
              <w:t xml:space="preserve"> </w:t>
            </w:r>
            <w:r w:rsidRPr="00C70210">
              <w:rPr>
                <w:i/>
                <w:iCs/>
              </w:rPr>
              <w:t>synner</w:t>
            </w:r>
            <w:r>
              <w:rPr>
                <w:i/>
                <w:iCs/>
              </w:rPr>
              <w:softHyphen/>
            </w:r>
            <w:r w:rsidRPr="00C70210">
              <w:rPr>
                <w:i/>
                <w:iCs/>
              </w:rPr>
              <w:t>liga</w:t>
            </w:r>
            <w:r w:rsidRPr="00C70210">
              <w:rPr>
                <w:i/>
              </w:rPr>
              <w:t xml:space="preserve"> skäl för det och båda parterna är över 18 år. </w:t>
            </w:r>
          </w:p>
        </w:tc>
      </w:tr>
    </w:tbl>
    <w:p w14:paraId="4E3BC1B6" w14:textId="77777777" w:rsidR="00E6002D" w:rsidRDefault="00E6002D" w:rsidP="00E6002D">
      <w:pPr>
        <w:pStyle w:val="Slutstreck"/>
      </w:pPr>
      <w:r w:rsidRPr="00660EEA">
        <w:t>                     </w:t>
      </w:r>
    </w:p>
    <w:p w14:paraId="65834040" w14:textId="77777777" w:rsidR="00E6002D" w:rsidRPr="004872FE" w:rsidRDefault="00E6002D" w:rsidP="00E6002D">
      <w:pPr>
        <w:pStyle w:val="Brdtextmedindrag"/>
      </w:pPr>
      <w:r>
        <w:t>1. </w:t>
      </w:r>
      <w:r w:rsidRPr="00AE23A3">
        <w:t>Denna</w:t>
      </w:r>
      <w:r>
        <w:t xml:space="preserve"> lag träder i kraft den 2 juli 2026.</w:t>
      </w:r>
    </w:p>
    <w:p w14:paraId="7744CEFB" w14:textId="77777777" w:rsidR="00E6002D" w:rsidRPr="00152749" w:rsidRDefault="00E6002D" w:rsidP="00E6002D">
      <w:pPr>
        <w:pStyle w:val="Brdtextmedindrag"/>
      </w:pPr>
      <w:r>
        <w:t>2. Äldre bestämmelser gäller för äktenskap som har registrerats av Skatteverket enligt folkbokföringslagen (1991:481) före ikraftträdandet. Det gäller dock inte för äktenskap där en av parterna var gift med någon annan än den andra parten vid tiden för ikraftträdandet.</w:t>
      </w:r>
    </w:p>
    <w:p w14:paraId="25C57D6E" w14:textId="77777777" w:rsidR="00E6002D" w:rsidRDefault="00E6002D" w:rsidP="00E6002D">
      <w:pPr>
        <w:pStyle w:val="Brdtextmedindrag"/>
      </w:pPr>
    </w:p>
    <w:p w14:paraId="38D91E22" w14:textId="77777777" w:rsidR="00E6002D" w:rsidRDefault="00E6002D" w:rsidP="00E6002D">
      <w:pPr>
        <w:pStyle w:val="Brdtextmedindrag"/>
      </w:pPr>
    </w:p>
    <w:p w14:paraId="2E2896B3" w14:textId="77777777" w:rsidR="00E6002D" w:rsidRDefault="00E6002D" w:rsidP="00E6002D">
      <w:pPr>
        <w:pStyle w:val="Brdtextmedindrag"/>
      </w:pPr>
    </w:p>
    <w:p w14:paraId="23A22FB4" w14:textId="77777777" w:rsidR="00E6002D" w:rsidRDefault="00E6002D" w:rsidP="00E6002D">
      <w:pPr>
        <w:pStyle w:val="Brdtextmedindrag"/>
        <w:sectPr w:rsidR="00E6002D" w:rsidSect="00E6002D">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6AE742FD" w14:textId="77777777" w:rsidR="006973D1" w:rsidRDefault="006973D1" w:rsidP="006973D1">
      <w:pPr>
        <w:pStyle w:val="Rubrik1"/>
        <w:spacing w:before="0"/>
      </w:pPr>
      <w:bookmarkStart w:id="15" w:name="_Toc221561236"/>
      <w:bookmarkStart w:id="16" w:name="_Toc224807588"/>
      <w:r>
        <w:lastRenderedPageBreak/>
        <w:t>Ärendet och dess beredning</w:t>
      </w:r>
      <w:bookmarkEnd w:id="15"/>
      <w:bookmarkEnd w:id="16"/>
    </w:p>
    <w:p w14:paraId="4501CA43" w14:textId="77777777" w:rsidR="006973D1" w:rsidRDefault="006973D1" w:rsidP="006973D1">
      <w:pPr>
        <w:pStyle w:val="Brdtext"/>
      </w:pPr>
      <w:r>
        <w:t>Regeringen beslutade den 18 januari 2024 att ge en särskild utredare i uppdrag att analysera och ta ställning bl.a. till om straffskalorna för vissa hedersrelaterade brott bör skärpas, samt se över reglerna om utländska månggiften och fullmaktsäktenskap, i syfte att ta fram förslag som åter</w:t>
      </w:r>
      <w:r>
        <w:softHyphen/>
        <w:t xml:space="preserve">speglar en skärpt syn på hedersrelaterat våld och förtryck (dir. 2024:8). </w:t>
      </w:r>
    </w:p>
    <w:p w14:paraId="70B94AF9" w14:textId="77777777" w:rsidR="006973D1" w:rsidRDefault="006973D1" w:rsidP="006973D1">
      <w:pPr>
        <w:pStyle w:val="Brdtextmedindrag"/>
      </w:pPr>
      <w:r>
        <w:t>Utredningen om förstärkta åtgärder mot hedersrelaterat våld och för</w:t>
      </w:r>
      <w:r>
        <w:softHyphen/>
        <w:t xml:space="preserve">tryck överlämnade i maj 2025 sitt betänkande Stärkt lagstiftning mot hedersrelaterat våld och förtryck (SOU 2025:59). En sammanfattning av betänkandet finns i </w:t>
      </w:r>
      <w:r>
        <w:rPr>
          <w:i/>
          <w:iCs/>
        </w:rPr>
        <w:t>bilaga 1</w:t>
      </w:r>
      <w:r>
        <w:t xml:space="preserve"> och betänkandets lagförslag finns i </w:t>
      </w:r>
      <w:r>
        <w:rPr>
          <w:i/>
          <w:iCs/>
        </w:rPr>
        <w:t>bilaga 2</w:t>
      </w:r>
      <w:r>
        <w:t xml:space="preserve">. </w:t>
      </w:r>
    </w:p>
    <w:p w14:paraId="0F7E1C1C" w14:textId="77777777" w:rsidR="006973D1" w:rsidRDefault="006973D1" w:rsidP="006973D1">
      <w:pPr>
        <w:pStyle w:val="Brdtextmedindrag"/>
      </w:pPr>
      <w:r>
        <w:t>Betänkandet har remissbehandlats. En förteckning över remiss</w:t>
      </w:r>
      <w:r>
        <w:softHyphen/>
        <w:t>instans</w:t>
      </w:r>
      <w:r>
        <w:softHyphen/>
        <w:t xml:space="preserve">erna finns i </w:t>
      </w:r>
      <w:r>
        <w:rPr>
          <w:i/>
          <w:iCs/>
        </w:rPr>
        <w:t>bilaga 3</w:t>
      </w:r>
      <w:r>
        <w:t xml:space="preserve">. Remissyttrandena finns tillgängliga på regeringens webbplats (regeringen.se) och i </w:t>
      </w:r>
      <w:r w:rsidRPr="0036015E">
        <w:t>lagstiftnings</w:t>
      </w:r>
      <w:r w:rsidRPr="0036015E">
        <w:softHyphen/>
        <w:t>ärendet (Ju2025/01193).</w:t>
      </w:r>
      <w:r>
        <w:t xml:space="preserve"> </w:t>
      </w:r>
    </w:p>
    <w:p w14:paraId="34191C77" w14:textId="77777777" w:rsidR="009E6D1E" w:rsidRDefault="009E6D1E" w:rsidP="006973D1">
      <w:pPr>
        <w:pStyle w:val="Brdtextmedindrag"/>
      </w:pPr>
      <w:r w:rsidRPr="009E6D1E">
        <w:t>I denna proposition behandlas förslagen i betänkandet.</w:t>
      </w:r>
    </w:p>
    <w:p w14:paraId="74091624" w14:textId="18E2D4E2" w:rsidR="006973D1" w:rsidRDefault="006973D1" w:rsidP="006973D1">
      <w:pPr>
        <w:pStyle w:val="Brdtextmedindrag"/>
      </w:pPr>
      <w:r>
        <w:t>Frågan om erkännande av utländska månggiften har varit föremål för behandling i riksdagen. Riksdagen har i maj 2020 tillkännagett för regeringen vad utskottet anför om en skärpt lagstiftning mot utländska polygama äktenskap (bet. 2019/20:CU17 punkt 1, rskr. 2019/20:235). Av tillkännagivandet följer att regeringen snarast möjligt bör återkomma till riksdagen med ett förslag till skärpt lagstiftning mot utländska polygama äktenskap (bet. 2019/20:CU17 s. 12). Den 18 mars 2021 beslutades propositionen Förbud mot erkännande av utländska månggiften (prop. 2020/21:149).</w:t>
      </w:r>
      <w:r w:rsidRPr="00146350">
        <w:t xml:space="preserve"> </w:t>
      </w:r>
      <w:r>
        <w:t>I propositionen föreslogs bl.a. ett förbud mot att erkänna utländska månggiften. I maj 2021 ställde sig riksdagen bakom förslaget (bet. 2020/21:CU18, rskr. 2020/21:317) och lagändring</w:t>
      </w:r>
      <w:r>
        <w:softHyphen/>
        <w:t>arna trädde i kraft den 1 juli 2021. I propositionen gjordes bedömningen att till</w:t>
      </w:r>
      <w:r>
        <w:softHyphen/>
        <w:t>kännagivandet genom förslaget var tillgodosett och därmed slutbehandlat. Riksdagen delade inte den bedömningen och tillkännagav för regeringen det som utskottet anför om ventilen i fråga om månggiften (bet. 2020/21:CU18 punkt 2, rskr. 2020/21:317). Av tillkänna</w:t>
      </w:r>
      <w:r>
        <w:softHyphen/>
        <w:t>givandet följer att regeringen snarast möjligt bör återkomma med ett lagförslag som innebär en möjlighet att – utan att erkänna äktenskapet som sådant – under särskilda omständigheter tillerkänna det vissa rätts</w:t>
      </w:r>
      <w:r>
        <w:softHyphen/>
        <w:t>verk</w:t>
      </w:r>
      <w:r>
        <w:softHyphen/>
        <w:t>ningar (bet. 2020/21:CU18 s. 15).</w:t>
      </w:r>
      <w:r w:rsidR="009E6D1E">
        <w:t xml:space="preserve"> </w:t>
      </w:r>
      <w:r w:rsidR="009E6D1E" w:rsidRPr="009E6D1E">
        <w:t>Genom förslaget i prop. 2020/21:149 och förslag</w:t>
      </w:r>
      <w:r w:rsidR="009E6D1E">
        <w:t>et</w:t>
      </w:r>
      <w:r w:rsidR="009E6D1E" w:rsidRPr="009E6D1E">
        <w:t xml:space="preserve"> som lämnas i avsnitt 7.3 i denna proposition är tillkänna</w:t>
      </w:r>
      <w:r w:rsidR="00593A35">
        <w:softHyphen/>
      </w:r>
      <w:r w:rsidR="009E6D1E" w:rsidRPr="009E6D1E">
        <w:t>givan</w:t>
      </w:r>
      <w:r w:rsidR="00593A35">
        <w:softHyphen/>
      </w:r>
      <w:r w:rsidR="009E6D1E" w:rsidRPr="009E6D1E">
        <w:t>dena tillgodosedda och därmed slutbehandlade.</w:t>
      </w:r>
    </w:p>
    <w:p w14:paraId="0EB7140F" w14:textId="5DEF1031" w:rsidR="00BD70B8" w:rsidRDefault="00BD70B8" w:rsidP="00BD70B8">
      <w:pPr>
        <w:pStyle w:val="Rubrik5efterram"/>
      </w:pPr>
      <w:r>
        <w:t>Lagrådet</w:t>
      </w:r>
    </w:p>
    <w:p w14:paraId="382D476A" w14:textId="66CCB5BD" w:rsidR="00BD70B8" w:rsidRPr="00BD70B8" w:rsidRDefault="00BD70B8" w:rsidP="00BD70B8">
      <w:pPr>
        <w:pStyle w:val="Brdtext"/>
      </w:pPr>
      <w:r w:rsidRPr="00BD70B8">
        <w:t xml:space="preserve">Regeringen beslutade den </w:t>
      </w:r>
      <w:r w:rsidRPr="00BD70B8">
        <w:rPr>
          <w:iCs/>
        </w:rPr>
        <w:t>10 februari 2026</w:t>
      </w:r>
      <w:r w:rsidRPr="00BD70B8">
        <w:t xml:space="preserve"> att inhämta Lagrådets</w:t>
      </w:r>
      <w:r>
        <w:rPr>
          <w:i/>
        </w:rPr>
        <w:t xml:space="preserve"> </w:t>
      </w:r>
      <w:r w:rsidRPr="00BD70B8">
        <w:t xml:space="preserve">yttrande över de lagförslag som finns i </w:t>
      </w:r>
      <w:r w:rsidRPr="00696705">
        <w:rPr>
          <w:i/>
          <w:iCs/>
        </w:rPr>
        <w:t xml:space="preserve">bilaga </w:t>
      </w:r>
      <w:r w:rsidR="00696705">
        <w:rPr>
          <w:i/>
          <w:iCs/>
        </w:rPr>
        <w:t>4</w:t>
      </w:r>
      <w:r w:rsidRPr="00BD70B8">
        <w:t>. Lagrådets yttrande finns</w:t>
      </w:r>
      <w:r>
        <w:rPr>
          <w:i/>
        </w:rPr>
        <w:t xml:space="preserve"> </w:t>
      </w:r>
      <w:r w:rsidRPr="00BD70B8">
        <w:t xml:space="preserve">i </w:t>
      </w:r>
      <w:r w:rsidRPr="00696705">
        <w:rPr>
          <w:i/>
          <w:iCs/>
        </w:rPr>
        <w:t>bilaga</w:t>
      </w:r>
      <w:r w:rsidR="001D6650">
        <w:rPr>
          <w:i/>
          <w:iCs/>
        </w:rPr>
        <w:t> </w:t>
      </w:r>
      <w:r w:rsidR="00696705" w:rsidRPr="00696705">
        <w:rPr>
          <w:i/>
          <w:iCs/>
        </w:rPr>
        <w:t>5</w:t>
      </w:r>
      <w:r w:rsidRPr="00BD70B8">
        <w:t xml:space="preserve">. Regeringen följer </w:t>
      </w:r>
      <w:r w:rsidR="005B584E">
        <w:t>delvis</w:t>
      </w:r>
      <w:r w:rsidRPr="00BD70B8">
        <w:t xml:space="preserve"> Lagrådets synpunkter och förslag, som behandlas i avsnitt </w:t>
      </w:r>
      <w:r w:rsidR="005B584E">
        <w:t>7.3</w:t>
      </w:r>
      <w:r w:rsidRPr="00BD70B8">
        <w:t xml:space="preserve"> och i författningskommentaren. </w:t>
      </w:r>
    </w:p>
    <w:p w14:paraId="6455C7CC" w14:textId="77777777" w:rsidR="006973D1" w:rsidRDefault="006973D1" w:rsidP="006973D1">
      <w:pPr>
        <w:pStyle w:val="Rubrik1"/>
      </w:pPr>
      <w:bookmarkStart w:id="17" w:name="_Toc221561237"/>
      <w:bookmarkStart w:id="18" w:name="_Toc224807589"/>
      <w:r>
        <w:lastRenderedPageBreak/>
        <w:t>Lagstiftningsåtgärder mot hedersrelaterat våld och förtryck</w:t>
      </w:r>
      <w:bookmarkEnd w:id="17"/>
      <w:bookmarkEnd w:id="18"/>
    </w:p>
    <w:p w14:paraId="49DECFC0" w14:textId="77777777" w:rsidR="006973D1" w:rsidRDefault="006973D1" w:rsidP="006973D1">
      <w:pPr>
        <w:pStyle w:val="Rubrik2"/>
        <w:spacing w:before="0"/>
      </w:pPr>
      <w:bookmarkStart w:id="19" w:name="_Toc221561238"/>
      <w:bookmarkStart w:id="20" w:name="_Toc224807590"/>
      <w:r>
        <w:t>Hedersrelaterat våld och förtryck och ofrivilliga och otillåtna äktenskap</w:t>
      </w:r>
      <w:bookmarkEnd w:id="19"/>
      <w:bookmarkEnd w:id="20"/>
    </w:p>
    <w:p w14:paraId="03D4CF25" w14:textId="0E2C651C" w:rsidR="006973D1" w:rsidRDefault="006973D1" w:rsidP="006973D1">
      <w:pPr>
        <w:pStyle w:val="Brdtext"/>
      </w:pPr>
      <w:bookmarkStart w:id="21" w:name="_Hlk219318831"/>
      <w:r w:rsidRPr="005E7051">
        <w:t xml:space="preserve">Hedersrelaterat våld och förtryck innebär att personer, </w:t>
      </w:r>
      <w:r>
        <w:t>såväl</w:t>
      </w:r>
      <w:r w:rsidRPr="005E7051">
        <w:t xml:space="preserve"> flickor och kvinnor </w:t>
      </w:r>
      <w:r>
        <w:t>som</w:t>
      </w:r>
      <w:r w:rsidRPr="005E7051">
        <w:t xml:space="preserve"> pojkar och män, begränsas i sina liv och utsätts för våld </w:t>
      </w:r>
      <w:r>
        <w:t>eller</w:t>
      </w:r>
      <w:r w:rsidRPr="005E7051">
        <w:t xml:space="preserve"> påtryckningar i syfte att bevara eller upprätthålla gemensamma normer och värderingar.</w:t>
      </w:r>
      <w:r>
        <w:t xml:space="preserve"> </w:t>
      </w:r>
      <w:bookmarkEnd w:id="21"/>
      <w:r w:rsidRPr="00BC4E71">
        <w:t xml:space="preserve">Hedersrelaterat våld och förtryck kännetecknas </w:t>
      </w:r>
      <w:r>
        <w:t xml:space="preserve">bl.a. </w:t>
      </w:r>
      <w:r w:rsidRPr="00BC4E71">
        <w:t>av att det finns ett starkt kollektivistiskt inslag</w:t>
      </w:r>
      <w:r>
        <w:t>. Våldet och kontrollen understöds eller uppmuntras av flera personer i släkten och är ofta sank</w:t>
      </w:r>
      <w:r>
        <w:softHyphen/>
        <w:t xml:space="preserve">tionerat av kollektiv utanför den närmaste familjen. </w:t>
      </w:r>
      <w:r w:rsidRPr="008B520D">
        <w:t>Det är inte</w:t>
      </w:r>
      <w:r>
        <w:t xml:space="preserve"> heller</w:t>
      </w:r>
      <w:r w:rsidRPr="008B520D">
        <w:t xml:space="preserve"> ovanligt att individer är utsatta för hedersrelaterat våld och förtryck sam</w:t>
      </w:r>
      <w:r>
        <w:softHyphen/>
      </w:r>
      <w:r w:rsidRPr="008B520D">
        <w:t>tidigt som de själva också är utövare av våldet</w:t>
      </w:r>
      <w:r>
        <w:t xml:space="preserve">. </w:t>
      </w:r>
      <w:r w:rsidRPr="002F1A32">
        <w:t>Personer med funktions</w:t>
      </w:r>
      <w:r>
        <w:softHyphen/>
      </w:r>
      <w:r w:rsidRPr="002F1A32">
        <w:t>nedsättning kan vara särskilt utsatta</w:t>
      </w:r>
      <w:r w:rsidR="00467447">
        <w:t>,</w:t>
      </w:r>
      <w:r w:rsidRPr="002F1A32">
        <w:t xml:space="preserve"> </w:t>
      </w:r>
      <w:r w:rsidR="006106BA">
        <w:t xml:space="preserve">både </w:t>
      </w:r>
      <w:r>
        <w:t xml:space="preserve">på grund av </w:t>
      </w:r>
      <w:r w:rsidR="006106BA">
        <w:t>att</w:t>
      </w:r>
      <w:r>
        <w:t xml:space="preserve"> funktionsned</w:t>
      </w:r>
      <w:r>
        <w:softHyphen/>
        <w:t>sättning</w:t>
      </w:r>
      <w:r w:rsidR="006106BA">
        <w:t xml:space="preserve">en i sig kan ses som normbrytande </w:t>
      </w:r>
      <w:r w:rsidR="00C6727F">
        <w:t>och</w:t>
      </w:r>
      <w:r w:rsidR="006106BA">
        <w:t xml:space="preserve"> då funktionsnedsättningen </w:t>
      </w:r>
      <w:r w:rsidR="00467447">
        <w:t>kan göra</w:t>
      </w:r>
      <w:r w:rsidR="006106BA">
        <w:t xml:space="preserve"> att personen</w:t>
      </w:r>
      <w:r w:rsidRPr="002F1A32">
        <w:t xml:space="preserve"> stå</w:t>
      </w:r>
      <w:r>
        <w:t>r</w:t>
      </w:r>
      <w:r w:rsidRPr="002F1A32">
        <w:t xml:space="preserve"> i en särskilt stark beroendeställning till dem som utövar det hedersrelaterade våldet. Även hbtqi-personer kan vara särskilt utsatta eftersom hedersnormer inte lämnar utrymme för att bryta mot hetero- eller könsnormer. </w:t>
      </w:r>
      <w:r>
        <w:t xml:space="preserve">Äktenskap mot individens fria vilja och andra otillåtna äktenskap är företeelser som förekommer i sammanhang som präglas av hedersrelaterat våld och förtryck. </w:t>
      </w:r>
    </w:p>
    <w:p w14:paraId="161B827B" w14:textId="77777777" w:rsidR="006973D1" w:rsidRPr="005E7051" w:rsidRDefault="006973D1" w:rsidP="006973D1">
      <w:pPr>
        <w:pStyle w:val="Brdtextmedindrag"/>
      </w:pPr>
      <w:r>
        <w:t>Under åren har flera</w:t>
      </w:r>
      <w:r w:rsidRPr="00F71147">
        <w:t xml:space="preserve"> studier genomförts</w:t>
      </w:r>
      <w:r w:rsidDel="00A105AC">
        <w:t xml:space="preserve"> </w:t>
      </w:r>
      <w:r w:rsidRPr="00F71147">
        <w:t>för att försöka skapa en bild av omfattningen av hedersrelaterat våld och förtryck.</w:t>
      </w:r>
      <w:r>
        <w:t xml:space="preserve"> </w:t>
      </w:r>
      <w:r w:rsidRPr="008C288C">
        <w:t xml:space="preserve">De kartläggningar som finns på området har framför allt inriktats på barns och ungas utsatthet och det finns få kartläggningar som visar hur utsattheten ser ut hos vuxna. Studierna har gett olika resultat och på grund av stora osäkerhetsintervall är det svårt att utifrån dem göra en tillförlitlig uppskattning av förekomsten av hedersrelaterat våld och förtryck bland barn och unga i Sverige. </w:t>
      </w:r>
      <w:r w:rsidRPr="00F71147">
        <w:t>Det finns</w:t>
      </w:r>
      <w:r>
        <w:t xml:space="preserve"> </w:t>
      </w:r>
      <w:r w:rsidRPr="00F71147">
        <w:t>flera svårigheter i att mäta hur många som är utsatta, bl.a. på grund av att det rör sig om en särskilt sårbar grupp som ofta är svår att nå med konventionella statistiska undersökningar och metoder. Till detta kommer att det finns en stark tystnadskultur i en miljö med hedersrelaterat våld och förtryck.</w:t>
      </w:r>
      <w:r>
        <w:t xml:space="preserve"> För en närmare redogörelse av </w:t>
      </w:r>
      <w:r w:rsidDel="00B85ED9">
        <w:t xml:space="preserve">de </w:t>
      </w:r>
      <w:r>
        <w:t xml:space="preserve">kartläggningar som gjorts i fråga om hedersrelaterat våld och förtryck hänvisas till betänkandet (SOU 2025:59). </w:t>
      </w:r>
    </w:p>
    <w:p w14:paraId="38695976" w14:textId="77777777" w:rsidR="006973D1" w:rsidRDefault="006973D1" w:rsidP="006973D1">
      <w:pPr>
        <w:pStyle w:val="Rubrik2"/>
      </w:pPr>
      <w:bookmarkStart w:id="22" w:name="_Toc221561239"/>
      <w:bookmarkStart w:id="23" w:name="_Toc224807591"/>
      <w:r>
        <w:t>Vidtagna åtgärder mot hedersrelaterat våld och förtryck</w:t>
      </w:r>
      <w:bookmarkEnd w:id="22"/>
      <w:bookmarkEnd w:id="23"/>
      <w:r>
        <w:t xml:space="preserve"> </w:t>
      </w:r>
    </w:p>
    <w:p w14:paraId="3C99E739" w14:textId="77777777" w:rsidR="006973D1" w:rsidRDefault="006973D1" w:rsidP="006973D1">
      <w:pPr>
        <w:pStyle w:val="Brdtextmedindrag"/>
        <w:ind w:firstLine="0"/>
      </w:pPr>
      <w:r>
        <w:t xml:space="preserve">Arbetet med att motverka hedersrelaterat våld och förtryck har pågått under många år och bedrivs för närvarande inom ramen för regeringens tioåriga nationella strategi för att förebygga och bekämpa mäns våld mot kvinnor (skr. 2016/17:10). </w:t>
      </w:r>
      <w:r w:rsidRPr="005A124D">
        <w:t xml:space="preserve">Den nuvarande nationella strategin gäller för perioden 2017–2026. Regeringen ska under 2026 ta fram en ny </w:t>
      </w:r>
      <w:r>
        <w:t xml:space="preserve">tioårig nationell </w:t>
      </w:r>
      <w:r w:rsidRPr="005A124D">
        <w:t>strategi som ersätter den nuvarande</w:t>
      </w:r>
      <w:r>
        <w:t xml:space="preserve">. </w:t>
      </w:r>
    </w:p>
    <w:p w14:paraId="77484A00" w14:textId="77777777" w:rsidR="006973D1" w:rsidRDefault="006973D1" w:rsidP="006973D1">
      <w:pPr>
        <w:pStyle w:val="Brdtextmedindrag"/>
      </w:pPr>
      <w:r>
        <w:lastRenderedPageBreak/>
        <w:t>En kraftsamling mot hedersrelaterat våld och förtryck är ett utvecklings</w:t>
      </w:r>
      <w:r>
        <w:softHyphen/>
        <w:t>område i regeringens åtgärdsprogram för att förebygga och bekämpa mäns våld mot kvinnor, våld i nära relationer och hedersrelaterat våld och för</w:t>
      </w:r>
      <w:r>
        <w:softHyphen/>
        <w:t>tryck samt prostitution och människohandel 2024–2026 (A2024/00869). I åtgärdsprogrammet framgår att regeringen anser att</w:t>
      </w:r>
      <w:r w:rsidRPr="00B72E0A">
        <w:t xml:space="preserve"> lagstiftningen mot hedersrelaterat förtryck</w:t>
      </w:r>
      <w:r>
        <w:t xml:space="preserve"> ska skärpas</w:t>
      </w:r>
      <w:r w:rsidRPr="00B72E0A">
        <w:t>, stödet till utsatta</w:t>
      </w:r>
      <w:r>
        <w:t xml:space="preserve"> förbättras</w:t>
      </w:r>
      <w:r w:rsidRPr="00B72E0A">
        <w:t xml:space="preserve"> och myndigheternas arbete</w:t>
      </w:r>
      <w:r>
        <w:t xml:space="preserve"> effektiviseras. I åtgärdsprogrammet finns </w:t>
      </w:r>
      <w:r w:rsidRPr="004148F4">
        <w:t>en stor mängd satsningar och</w:t>
      </w:r>
      <w:r>
        <w:t xml:space="preserve"> åtgärder som </w:t>
      </w:r>
      <w:r w:rsidRPr="004148F4">
        <w:t xml:space="preserve">görs på bred front på nationell, regional och lokal nivå </w:t>
      </w:r>
      <w:r>
        <w:t>för att förebygga och motverka hedersrelaterat våld och förtryck</w:t>
      </w:r>
      <w:r w:rsidRPr="00B72E0A">
        <w:t>.</w:t>
      </w:r>
      <w:r>
        <w:t xml:space="preserve"> Regeringen har nu också infört ett sjunde </w:t>
      </w:r>
      <w:r w:rsidRPr="001A51B5">
        <w:t>jämställdhets</w:t>
      </w:r>
      <w:r>
        <w:softHyphen/>
      </w:r>
      <w:r w:rsidRPr="001A51B5">
        <w:t>politiskt delmål: Hedersrelaterat våld och förtryck ska upphöra.</w:t>
      </w:r>
      <w:r>
        <w:t xml:space="preserve"> </w:t>
      </w:r>
      <w:r w:rsidRPr="00C201BA">
        <w:t>Alla, oavsett kön, ska genom hela livet ha samma rätt och möjlig</w:t>
      </w:r>
      <w:r>
        <w:softHyphen/>
      </w:r>
      <w:r w:rsidRPr="00C201BA">
        <w:t>het att leva sitt liv utan att begränsas av kollektivt grundade hedersnormer.</w:t>
      </w:r>
    </w:p>
    <w:p w14:paraId="2B4BC91A" w14:textId="77777777" w:rsidR="006973D1" w:rsidRDefault="006973D1" w:rsidP="006973D1">
      <w:pPr>
        <w:pStyle w:val="Brdtextmedindrag"/>
      </w:pPr>
      <w:r>
        <w:t>En rad lagstiftningsåtgärder, både straffrättsliga och civilrättsliga, har vidtagits i syfte att specifikt motverka vissa äktenskapsformer, så som barnäktenskap, tvångsäktenskap och månggiften. Den 1 juli 2014 krimi</w:t>
      </w:r>
      <w:r>
        <w:softHyphen/>
        <w:t>naliserades äktenskapstvång och vilseledande till äktenskapsresa (då benämnt vilseledande till tvångsäktenskapsresa) samt försök och för</w:t>
      </w:r>
      <w:r>
        <w:softHyphen/>
        <w:t xml:space="preserve">beredelse till äktenskapstvång (4 kap. 4 c, 4 d och 10 §§ brottsbalken). Den 1 juli 2016 kriminaliserades även stämpling till äktenskapstvång och den 1 juli 2020 infördes ett särskilt barnäktenskapsbrott i brottsbalken (4 kap. 4 c § tredje stycket). </w:t>
      </w:r>
      <w:bookmarkStart w:id="24" w:name="_Hlk219321310"/>
      <w:r w:rsidRPr="00BC4E71">
        <w:t>Den 1</w:t>
      </w:r>
      <w:r>
        <w:t> </w:t>
      </w:r>
      <w:r w:rsidRPr="00BC4E71">
        <w:t>december</w:t>
      </w:r>
      <w:r>
        <w:t> </w:t>
      </w:r>
      <w:r w:rsidRPr="00BC4E71">
        <w:t>2025 infördes</w:t>
      </w:r>
      <w:r>
        <w:t xml:space="preserve"> brotten </w:t>
      </w:r>
      <w:r w:rsidRPr="006B6273">
        <w:t>oskulds</w:t>
      </w:r>
      <w:r>
        <w:softHyphen/>
      </w:r>
      <w:r w:rsidRPr="006B6273">
        <w:t>kontroll</w:t>
      </w:r>
      <w:r>
        <w:t xml:space="preserve"> och </w:t>
      </w:r>
      <w:r w:rsidRPr="006B6273">
        <w:t>intygande av sexuell oskuld i brottsbalken</w:t>
      </w:r>
      <w:r>
        <w:t xml:space="preserve"> och </w:t>
      </w:r>
      <w:r w:rsidRPr="006B6273">
        <w:t>ett straffbelagt förbud mot oskuldsingrepp för</w:t>
      </w:r>
      <w:r>
        <w:t>des</w:t>
      </w:r>
      <w:r w:rsidRPr="006B6273">
        <w:t xml:space="preserve"> in i lagen (1982:316) </w:t>
      </w:r>
      <w:r>
        <w:t>om</w:t>
      </w:r>
      <w:r w:rsidRPr="006B6273">
        <w:t xml:space="preserve"> förbud mot köns</w:t>
      </w:r>
      <w:r>
        <w:softHyphen/>
      </w:r>
      <w:r w:rsidRPr="006B6273">
        <w:t>stympning av kvinnor</w:t>
      </w:r>
      <w:r>
        <w:t xml:space="preserve"> och oskuldsingrepp på kvinnor</w:t>
      </w:r>
      <w:r w:rsidRPr="006B6273">
        <w:t>.</w:t>
      </w:r>
      <w:bookmarkEnd w:id="24"/>
      <w:r w:rsidRPr="006B6273">
        <w:t xml:space="preserve"> </w:t>
      </w:r>
      <w:bookmarkStart w:id="25" w:name="_Hlk219321368"/>
      <w:r>
        <w:t xml:space="preserve">Vidare kriminaliserades underlåtenhet att avslöja eller </w:t>
      </w:r>
      <w:r w:rsidRPr="006B6273">
        <w:t>förhindra äkten</w:t>
      </w:r>
      <w:r>
        <w:softHyphen/>
      </w:r>
      <w:r w:rsidRPr="006B6273">
        <w:t>skapstvång och barnäktenskapsbrott</w:t>
      </w:r>
      <w:r>
        <w:t xml:space="preserve">. </w:t>
      </w:r>
      <w:bookmarkEnd w:id="25"/>
      <w:r>
        <w:t>Möjligheten för personer under 18 år att få tillstånd att gifta sig togs</w:t>
      </w:r>
      <w:r w:rsidDel="00D61F09">
        <w:t xml:space="preserve"> </w:t>
      </w:r>
      <w:r>
        <w:t>bort 2014 (se prop. 2013/14:208). Reglerna</w:t>
      </w:r>
      <w:r w:rsidDel="00D61F09">
        <w:t xml:space="preserve"> </w:t>
      </w:r>
      <w:r>
        <w:t>om erkännande av vissa utländska äktenskap har vidare skärpts i omgångar (se exempelvis prop. 2020/21:149, se vidare avsnitt 7). Regeringen har också g</w:t>
      </w:r>
      <w:r w:rsidRPr="006109FB">
        <w:t>e</w:t>
      </w:r>
      <w:r>
        <w:t>tt</w:t>
      </w:r>
      <w:r w:rsidRPr="006109FB">
        <w:t xml:space="preserve"> en </w:t>
      </w:r>
      <w:r>
        <w:t xml:space="preserve">särskild </w:t>
      </w:r>
      <w:r w:rsidRPr="006109FB">
        <w:t xml:space="preserve">utredare i uppdrag att </w:t>
      </w:r>
      <w:r>
        <w:t>ö</w:t>
      </w:r>
      <w:r w:rsidRPr="006109FB">
        <w:t xml:space="preserve">verväga vilka åtgärder som krävs för att genomföra </w:t>
      </w:r>
      <w:r>
        <w:t>E</w:t>
      </w:r>
      <w:r w:rsidRPr="00701ED3">
        <w:t xml:space="preserve">uropaparlamentets och rådets direktiv 2024/1385 om bekämpning av våld mot kvinnor och våld i nära relationer </w:t>
      </w:r>
      <w:r>
        <w:t>(dir 2025:21). Direktivet innehåller bl.a. straffrättsliga bestämmelser om brott, påföljder, domsrätt och preskription och ställer krav på att alla medlemsstater kriminaliserar kvinnlig könsstympning och tvångsäkten</w:t>
      </w:r>
      <w:r>
        <w:softHyphen/>
        <w:t xml:space="preserve">skap. </w:t>
      </w:r>
      <w:r w:rsidRPr="006109FB">
        <w:t>Uppdraget ska redovisas senast den 27 maj 2026.</w:t>
      </w:r>
      <w:r w:rsidRPr="009A1D84">
        <w:t xml:space="preserve"> </w:t>
      </w:r>
    </w:p>
    <w:p w14:paraId="156EC1E4" w14:textId="1B00C5EC" w:rsidR="006973D1" w:rsidRDefault="006973D1" w:rsidP="006973D1">
      <w:pPr>
        <w:pStyle w:val="Brdtextmedindrag"/>
      </w:pPr>
      <w:r>
        <w:t>Det har även vidtagits lagstiftningsåtgärder som mer generellt syftar till att motverka hedersrelaterat våld och förtryck. I uppräkningen av för</w:t>
      </w:r>
      <w:r>
        <w:softHyphen/>
        <w:t>svårande omständigheter i 29 kap. 2 § brottsbalken vid bestämmande av ett brotts straffvärde har en ny punkt lagts till (se prop. 2019/20:131). Enligt den punkten ska det särskilt beaktas om ett motiv för brottet varit att bevara eller återupprätta en persons eller familjs, släkts, eller annan likande grupps heder. Den 1 juni 2022 infördes ett nytt brott, heders</w:t>
      </w:r>
      <w:r>
        <w:softHyphen/>
        <w:t>förtryck, i brottsbalken (4 kap. 4 e §). Kriminaliseringen innebär att en särskild strängare straffskala gäller för den som upprepat, med ett heders</w:t>
      </w:r>
      <w:r>
        <w:softHyphen/>
        <w:t xml:space="preserve">motiv, begår vissa brottsliga gärningar mot en person och där gärningarna utgjort led i en upprepad kränkning av personens integritet och varit ägnade att allvarligt skada personens självkänsla. Det finns också regler om utreseförbud för barn i lagen </w:t>
      </w:r>
      <w:r w:rsidRPr="000F6F40">
        <w:t>(1990:52) med särskilda bestämmelser om vård av unga</w:t>
      </w:r>
      <w:r>
        <w:t xml:space="preserve"> (LVU). Utreseförbudet är sedan den 1 juni 2024 utvidgat </w:t>
      </w:r>
      <w:r>
        <w:lastRenderedPageBreak/>
        <w:t>till att omfatta situationer där det finns en påtaglig risk för att ett barn förs utomlands eller lämnar Sverige och barnets hälsa eller utveckling skadas under utlandsvistelsen på grund av omständigheter som kan leda till vård enligt LVU (se prop. 2023/24:72).</w:t>
      </w:r>
      <w:r w:rsidRPr="00666A59">
        <w:t xml:space="preserve"> </w:t>
      </w:r>
      <w:r>
        <w:t xml:space="preserve">Regeringen har </w:t>
      </w:r>
      <w:r w:rsidR="00B5483D">
        <w:t xml:space="preserve">vidare </w:t>
      </w:r>
      <w:r>
        <w:t xml:space="preserve">den </w:t>
      </w:r>
      <w:r w:rsidR="00182CAC">
        <w:t>19</w:t>
      </w:r>
      <w:r w:rsidR="008E6D6E">
        <w:t> </w:t>
      </w:r>
      <w:r w:rsidR="001575AA">
        <w:t>februari</w:t>
      </w:r>
      <w:r w:rsidR="00D853BF">
        <w:t xml:space="preserve"> </w:t>
      </w:r>
      <w:r w:rsidR="001575AA">
        <w:t>2026</w:t>
      </w:r>
      <w:r>
        <w:t xml:space="preserve"> beslutat </w:t>
      </w:r>
      <w:r w:rsidR="001575AA">
        <w:t>propositionen E</w:t>
      </w:r>
      <w:r>
        <w:t>n särskild straffbestämmelse för psykiskt våld</w:t>
      </w:r>
      <w:r w:rsidR="001575AA">
        <w:t xml:space="preserve"> (prop.</w:t>
      </w:r>
      <w:r w:rsidR="001575AA" w:rsidRPr="001575AA">
        <w:t xml:space="preserve"> 2025/26:138</w:t>
      </w:r>
      <w:r w:rsidR="001575AA">
        <w:t>)</w:t>
      </w:r>
      <w:r>
        <w:t>. Förslaget syftar bl.a. till att stärka skyddet mot heders</w:t>
      </w:r>
      <w:r>
        <w:softHyphen/>
        <w:t>relaterat våld och förtryck.</w:t>
      </w:r>
    </w:p>
    <w:p w14:paraId="5510FA54" w14:textId="6EF9F04A" w:rsidR="006973D1" w:rsidRDefault="006973D1" w:rsidP="006973D1">
      <w:pPr>
        <w:pStyle w:val="Brdtextmedindrag"/>
      </w:pPr>
      <w:r>
        <w:t xml:space="preserve">Sverige har en rad internationella åtaganden på området. Bland dessa bör särskilt nämnas Sveriges åtaganden enligt Europeiska konventionen om skydd för de mänskliga rättigheterna (Europakonventionen), </w:t>
      </w:r>
      <w:r w:rsidRPr="00AB7976">
        <w:t>F</w:t>
      </w:r>
      <w:r>
        <w:t>örenta nationernas</w:t>
      </w:r>
      <w:r w:rsidRPr="00AB7976">
        <w:t xml:space="preserve"> konvention om barnets rättigheter</w:t>
      </w:r>
      <w:r>
        <w:t xml:space="preserve"> (barnkonventionen), Förenta </w:t>
      </w:r>
      <w:r w:rsidR="000D0981">
        <w:t>n</w:t>
      </w:r>
      <w:r>
        <w:t>ationernas konvention om avskaffande av all diskriminering av kvinnor (CEDAW) och Europa</w:t>
      </w:r>
      <w:r>
        <w:softHyphen/>
        <w:t>rådets konvention om förebyggande och bekämpning av mäns våld mot kvinnor och våld i hemmet (Istanbul</w:t>
      </w:r>
      <w:r>
        <w:softHyphen/>
        <w:t>konventionen). Sveriges inter</w:t>
      </w:r>
      <w:r>
        <w:softHyphen/>
        <w:t>nationella åtaganden innebär bl.a. en skyldighet att avskaffa skadliga sedvänjor, så som tvångsäktenskap och barnäktenskap.</w:t>
      </w:r>
    </w:p>
    <w:p w14:paraId="076052B1" w14:textId="77777777" w:rsidR="006973D1" w:rsidRDefault="006973D1" w:rsidP="006973D1">
      <w:pPr>
        <w:pStyle w:val="Rubrik2"/>
      </w:pPr>
      <w:bookmarkStart w:id="26" w:name="_Ref216431940"/>
      <w:bookmarkStart w:id="27" w:name="_Toc221561240"/>
      <w:bookmarkStart w:id="28" w:name="_Toc224807592"/>
      <w:r>
        <w:t>Lagstiftningen måste stärkas och bli mer heltäckande</w:t>
      </w:r>
      <w:bookmarkEnd w:id="26"/>
      <w:bookmarkEnd w:id="27"/>
      <w:bookmarkEnd w:id="28"/>
    </w:p>
    <w:p w14:paraId="1551128A" w14:textId="77777777" w:rsidR="006973D1" w:rsidRDefault="006973D1" w:rsidP="006973D1">
      <w:pPr>
        <w:pStyle w:val="Rubrik4ram"/>
      </w:pPr>
      <w:r>
        <w:t>Regeringens bedömning</w:t>
      </w:r>
    </w:p>
    <w:p w14:paraId="6241017C" w14:textId="77777777" w:rsidR="006973D1" w:rsidRPr="001F4392" w:rsidRDefault="006973D1" w:rsidP="006973D1">
      <w:pPr>
        <w:pStyle w:val="Brdtextram"/>
      </w:pPr>
      <w:r>
        <w:t xml:space="preserve">Det krävs ytterligare åtgärder för att stärka lagstiftningen och göra den mer heltäckande i syfte att motverka hedersrelaterat våld och förtryck. </w:t>
      </w:r>
    </w:p>
    <w:p w14:paraId="72E2EB94" w14:textId="77777777" w:rsidR="006973D1" w:rsidRDefault="006973D1" w:rsidP="006973D1">
      <w:pPr>
        <w:pStyle w:val="Rubrik4efterram"/>
      </w:pPr>
      <w:r>
        <w:t>Utredningens bedömning</w:t>
      </w:r>
    </w:p>
    <w:p w14:paraId="06747E70" w14:textId="77777777" w:rsidR="006973D1" w:rsidRDefault="006973D1" w:rsidP="006973D1">
      <w:pPr>
        <w:pStyle w:val="Brdtext"/>
      </w:pPr>
      <w:r>
        <w:t>Utredningens bedömning överensstämmer med regeringens.</w:t>
      </w:r>
      <w:r w:rsidDel="008F08EC">
        <w:t xml:space="preserve"> </w:t>
      </w:r>
    </w:p>
    <w:p w14:paraId="3E2330EE" w14:textId="77777777" w:rsidR="006973D1" w:rsidRDefault="006973D1" w:rsidP="006973D1">
      <w:pPr>
        <w:pStyle w:val="Rubrik4efterram"/>
      </w:pPr>
      <w:r>
        <w:t xml:space="preserve">Remissinstanserna </w:t>
      </w:r>
    </w:p>
    <w:p w14:paraId="6718F4AC" w14:textId="77777777" w:rsidR="006973D1" w:rsidRPr="009D1C5D" w:rsidRDefault="006973D1" w:rsidP="006973D1">
      <w:pPr>
        <w:pStyle w:val="Brdtext"/>
      </w:pPr>
      <w:r>
        <w:t>Ett flertal remissinstanser anser att det finns ett behov av att stärka lagstift</w:t>
      </w:r>
      <w:r>
        <w:softHyphen/>
        <w:t xml:space="preserve">ningen och göra den mer heltäckande på olika sätt. Däribland finns </w:t>
      </w:r>
      <w:r>
        <w:rPr>
          <w:i/>
          <w:iCs/>
        </w:rPr>
        <w:t>Barnombudsmannen</w:t>
      </w:r>
      <w:r>
        <w:t xml:space="preserve">, </w:t>
      </w:r>
      <w:r>
        <w:rPr>
          <w:i/>
          <w:iCs/>
        </w:rPr>
        <w:t>Brottsförebyggande rådet</w:t>
      </w:r>
      <w:r w:rsidRPr="00704BB5">
        <w:t>,</w:t>
      </w:r>
      <w:r>
        <w:t xml:space="preserve"> </w:t>
      </w:r>
      <w:r>
        <w:rPr>
          <w:i/>
          <w:iCs/>
        </w:rPr>
        <w:t>Brottsofferjouren</w:t>
      </w:r>
      <w:r w:rsidRPr="00625419">
        <w:t>,</w:t>
      </w:r>
      <w:r>
        <w:t xml:space="preserve"> </w:t>
      </w:r>
      <w:r>
        <w:rPr>
          <w:i/>
          <w:iCs/>
        </w:rPr>
        <w:t>Riksorganisationen GAPF</w:t>
      </w:r>
      <w:r w:rsidRPr="00BA083E">
        <w:t xml:space="preserve"> </w:t>
      </w:r>
      <w:r w:rsidRPr="00BA083E">
        <w:rPr>
          <w:i/>
          <w:iCs/>
        </w:rPr>
        <w:t>–</w:t>
      </w:r>
      <w:r w:rsidDel="00B1112B">
        <w:rPr>
          <w:i/>
          <w:iCs/>
        </w:rPr>
        <w:t xml:space="preserve"> </w:t>
      </w:r>
      <w:r>
        <w:rPr>
          <w:i/>
          <w:iCs/>
        </w:rPr>
        <w:t>Glöm aldrig Pela och Fadime</w:t>
      </w:r>
      <w:r>
        <w:t xml:space="preserve">, </w:t>
      </w:r>
      <w:r>
        <w:rPr>
          <w:i/>
          <w:iCs/>
        </w:rPr>
        <w:t>Sveriges advokatsamfund</w:t>
      </w:r>
      <w:r w:rsidRPr="00704BB5">
        <w:t>,</w:t>
      </w:r>
      <w:r>
        <w:rPr>
          <w:i/>
          <w:iCs/>
        </w:rPr>
        <w:t xml:space="preserve"> Stockholms universitet</w:t>
      </w:r>
      <w:r w:rsidRPr="00704BB5">
        <w:t>,</w:t>
      </w:r>
      <w:r>
        <w:rPr>
          <w:i/>
          <w:iCs/>
        </w:rPr>
        <w:t xml:space="preserve"> Unizon</w:t>
      </w:r>
      <w:r w:rsidRPr="00BE6F20">
        <w:t>,</w:t>
      </w:r>
      <w:r>
        <w:t xml:space="preserve"> </w:t>
      </w:r>
      <w:r>
        <w:rPr>
          <w:i/>
          <w:iCs/>
        </w:rPr>
        <w:t xml:space="preserve">Varken hora eller kuvad </w:t>
      </w:r>
      <w:r>
        <w:t xml:space="preserve">och </w:t>
      </w:r>
      <w:r>
        <w:rPr>
          <w:i/>
          <w:iCs/>
        </w:rPr>
        <w:t>Åklagarmyndigheten</w:t>
      </w:r>
      <w:r>
        <w:t xml:space="preserve">. </w:t>
      </w:r>
      <w:r w:rsidRPr="002109A3">
        <w:t>F</w:t>
      </w:r>
      <w:r>
        <w:t xml:space="preserve">lera remissinstanser, bl.a. </w:t>
      </w:r>
      <w:r>
        <w:rPr>
          <w:i/>
          <w:iCs/>
        </w:rPr>
        <w:t>Uppsala universitet (Nationellt centrum för kvinnofrid)</w:t>
      </w:r>
      <w:r w:rsidRPr="00057CF0">
        <w:t>,</w:t>
      </w:r>
      <w:r>
        <w:t xml:space="preserve"> pekar även på behovet av andra åtgärder vid sidan av lagstiftningsåtgärder för att effektivt komma åt hedersrelaterat våld och förtryck, såsom kunskapshöjande insatser inom, och ökad samverkan mellan, exempelvis skola, vård, rättsväsende och socialtjänst och fokus på förebyggande insatser. </w:t>
      </w:r>
    </w:p>
    <w:p w14:paraId="436F5EFF" w14:textId="77777777" w:rsidR="006973D1" w:rsidRPr="00704BB5" w:rsidRDefault="006973D1" w:rsidP="006973D1">
      <w:pPr>
        <w:pStyle w:val="Brdtextmedindrag"/>
        <w:rPr>
          <w:i/>
          <w:iCs/>
        </w:rPr>
      </w:pPr>
      <w:r w:rsidRPr="00704BB5">
        <w:rPr>
          <w:i/>
          <w:iCs/>
        </w:rPr>
        <w:t>Riksorganisationen för kvinnojourer och tjejjourer i Sverige</w:t>
      </w:r>
      <w:r>
        <w:t xml:space="preserve"> ifrågasätter utredningens tilltro till rättspolitiska åtgärder och påtalar att stöd och skydd är det första som måste vara på plats. </w:t>
      </w:r>
    </w:p>
    <w:p w14:paraId="229C47C9" w14:textId="633CFCBC" w:rsidR="006973D1" w:rsidRPr="00D17E97" w:rsidRDefault="00FC1834" w:rsidP="006973D1">
      <w:pPr>
        <w:pStyle w:val="Rubrik4efterram"/>
      </w:pPr>
      <w:r>
        <w:lastRenderedPageBreak/>
        <w:t>Skälen för r</w:t>
      </w:r>
      <w:r w:rsidR="006973D1">
        <w:t>egeringens bedömning</w:t>
      </w:r>
    </w:p>
    <w:p w14:paraId="607ABA1E" w14:textId="192AABFB" w:rsidR="006973D1" w:rsidRDefault="006973D1" w:rsidP="006973D1">
      <w:pPr>
        <w:pStyle w:val="Brdtext"/>
      </w:pPr>
      <w:bookmarkStart w:id="29" w:name="_Hlk219318870"/>
      <w:r w:rsidRPr="003900C6">
        <w:t>Hedersrelaterat våld och förtryck är ett allvarligt samhällsproblem som</w:t>
      </w:r>
      <w:r>
        <w:t xml:space="preserve"> </w:t>
      </w:r>
      <w:r w:rsidRPr="003900C6">
        <w:t xml:space="preserve">måste bekämpas med </w:t>
      </w:r>
      <w:r>
        <w:t>kraft</w:t>
      </w:r>
      <w:r w:rsidRPr="003900C6">
        <w:t>.</w:t>
      </w:r>
      <w:r>
        <w:t xml:space="preserve"> En viktig del i det arbetet är att motverka förekomsten av äktenskap som strider mot individens fria vilja och som är förknippade med förtryck mot kvinnor och flickor.</w:t>
      </w:r>
      <w:bookmarkEnd w:id="29"/>
      <w:r>
        <w:t xml:space="preserve"> Samtidigt som det är förenat med stora svårigheter att kartlägga omfattningen av hedersrelaterat våld och förtryck, har kunskapen ökat. Som framgår av föregående avsnitt har en rad åtgärder vidtagits för att motverka förekomsten av heders</w:t>
      </w:r>
      <w:r>
        <w:softHyphen/>
        <w:t xml:space="preserve">relaterat våld och förtryck. Trots det finns det personer i Sverige som lever i en hederskontext och är begränsade i sina möjligheter att välja partner. </w:t>
      </w:r>
      <w:bookmarkStart w:id="30" w:name="_Hlk219318969"/>
      <w:r>
        <w:t>Tvångsäktenskap och barnäktenskap förekommer i Sverige och utgör en allvarlig kränkning av individernas mänskliga rättigheter. Även mång</w:t>
      </w:r>
      <w:r>
        <w:softHyphen/>
        <w:t xml:space="preserve">gifte, som är förknippat med förtryck mot kvinnor och flickor, förekommer i Sverige. </w:t>
      </w:r>
      <w:bookmarkEnd w:id="30"/>
      <w:r>
        <w:t>Antalet lagföringar för brott som äktenskapstvång och barn</w:t>
      </w:r>
      <w:r>
        <w:softHyphen/>
        <w:t xml:space="preserve">äktenskapsbrott är </w:t>
      </w:r>
      <w:r w:rsidR="00593A35">
        <w:t>begränsat</w:t>
      </w:r>
      <w:r>
        <w:t>. Samtidigt är m</w:t>
      </w:r>
      <w:r w:rsidRPr="00F71147">
        <w:t>örkertalet när det gäller hur många personer som är utsatta för hedersrelaterat våld och förtryck sannolikt</w:t>
      </w:r>
      <w:r>
        <w:t xml:space="preserve"> </w:t>
      </w:r>
      <w:r w:rsidRPr="00F71147">
        <w:t>stort.</w:t>
      </w:r>
      <w:bookmarkStart w:id="31" w:name="_Hlk219318991"/>
      <w:r>
        <w:t xml:space="preserve"> Hedersrelaterade brott är dessutom svårutredda. En anledning till det är att brotten ofta begås i en kontext med ett starkt kollektivistiskt inslag där det råder en tystnadskultur </w:t>
      </w:r>
      <w:r w:rsidRPr="0079757B">
        <w:t>i förhållande till myndigheter.</w:t>
      </w:r>
      <w:bookmarkEnd w:id="31"/>
      <w:r w:rsidRPr="008B520D">
        <w:rPr>
          <w:rFonts w:asciiTheme="minorHAnsi" w:hAnsiTheme="minorHAnsi"/>
          <w:sz w:val="22"/>
        </w:rPr>
        <w:t xml:space="preserve"> </w:t>
      </w:r>
      <w:r>
        <w:t xml:space="preserve">För att effektivt kunna motverka hedersrelaterat våld och förtryck är det viktigt att de luckor som finns i den befintliga lagstiftningen täpps till och att både det straffrättsliga och civilrättsliga skyddet mot vissa former av äktenskap stärks. Det </w:t>
      </w:r>
      <w:r w:rsidRPr="008B520D">
        <w:t xml:space="preserve">finns </w:t>
      </w:r>
      <w:r>
        <w:t xml:space="preserve">mot denna bakgrund </w:t>
      </w:r>
      <w:r w:rsidRPr="00873CD1">
        <w:t>anledning att</w:t>
      </w:r>
      <w:r w:rsidDel="005857DE">
        <w:t xml:space="preserve"> </w:t>
      </w:r>
      <w:r>
        <w:t>skärpa lagstiftningen och göra den mer heltäckande för att tydligt återspegla problemets allvar, samtidigt som det ges verktyg för att effektivt motverka det heders</w:t>
      </w:r>
      <w:r>
        <w:softHyphen/>
        <w:t xml:space="preserve">relaterade våldet och förtrycket. </w:t>
      </w:r>
    </w:p>
    <w:p w14:paraId="5F42F168" w14:textId="5F2B17D2" w:rsidR="006973D1" w:rsidRDefault="006973D1" w:rsidP="006973D1">
      <w:pPr>
        <w:pStyle w:val="Brdtextmedindrag"/>
      </w:pPr>
      <w:r>
        <w:t>I likhet med flera remissinstanser anser regeringen att det är viktigt att samtidigt</w:t>
      </w:r>
      <w:r w:rsidDel="006F3E2C">
        <w:t xml:space="preserve"> </w:t>
      </w:r>
      <w:r>
        <w:t>vidta andra åtgärder</w:t>
      </w:r>
      <w:r w:rsidDel="006F3E2C">
        <w:t xml:space="preserve"> </w:t>
      </w:r>
      <w:r>
        <w:t>för att effektivt motverka hedersrelaterat våld och förtryck. Bl</w:t>
      </w:r>
      <w:r w:rsidR="00FC1834">
        <w:t>and andra</w:t>
      </w:r>
      <w:r>
        <w:t xml:space="preserve"> </w:t>
      </w:r>
      <w:r>
        <w:rPr>
          <w:i/>
          <w:iCs/>
        </w:rPr>
        <w:t>Brottsofferjouren</w:t>
      </w:r>
      <w:r w:rsidRPr="00625419">
        <w:t>,</w:t>
      </w:r>
      <w:r>
        <w:rPr>
          <w:i/>
          <w:iCs/>
        </w:rPr>
        <w:t xml:space="preserve"> Linköpings universitet (Barna</w:t>
      </w:r>
      <w:r>
        <w:rPr>
          <w:i/>
          <w:iCs/>
        </w:rPr>
        <w:softHyphen/>
        <w:t>frid – Nationellt centrum för kunskap om våld mot barn)</w:t>
      </w:r>
      <w:r w:rsidRPr="000D3F37">
        <w:t>,</w:t>
      </w:r>
      <w:r>
        <w:rPr>
          <w:i/>
          <w:iCs/>
        </w:rPr>
        <w:t xml:space="preserve"> Diskriminerings</w:t>
      </w:r>
      <w:r>
        <w:rPr>
          <w:i/>
          <w:iCs/>
        </w:rPr>
        <w:softHyphen/>
        <w:t>ombudsmannen</w:t>
      </w:r>
      <w:r>
        <w:t xml:space="preserve"> och </w:t>
      </w:r>
      <w:r>
        <w:rPr>
          <w:i/>
          <w:iCs/>
        </w:rPr>
        <w:t>Origo</w:t>
      </w:r>
      <w:r>
        <w:t xml:space="preserve"> lyfter behovet av kunskaps</w:t>
      </w:r>
      <w:r>
        <w:softHyphen/>
        <w:t xml:space="preserve">höjande insatser inom rättsväsende, socialtjänst och skola, ökad samverkan mellan myndigheter och adekvata insatser från samhällets sida för att tillgodose de särskilda behoven hos brottsoffren som är utsatta för den aktuella typen av brottslighet och gentemot de som begår brotten. </w:t>
      </w:r>
    </w:p>
    <w:p w14:paraId="2633FAD3" w14:textId="77777777" w:rsidR="006973D1" w:rsidRDefault="006973D1" w:rsidP="006973D1">
      <w:pPr>
        <w:pStyle w:val="Brdtextmedindrag"/>
      </w:pPr>
      <w:bookmarkStart w:id="32" w:name="_Hlk219297234"/>
      <w:r w:rsidRPr="004148F4">
        <w:t>Att förebygga och bekämpa hedersrelaterat våld och förtryck är högt prioriterat av regeringen.</w:t>
      </w:r>
      <w:r>
        <w:t xml:space="preserve"> </w:t>
      </w:r>
      <w:bookmarkStart w:id="33" w:name="_Hlk219297287"/>
      <w:bookmarkEnd w:id="32"/>
      <w:r>
        <w:t xml:space="preserve">I regeringens åtgärdsprogram för att förebygga och bekämpa mäns våld mot kvinnor, våld i nära relationer och hedersrelaterat våld och förtryck samt prostitution och människohandel 2024–2026 finns ett flertal åtgärder som går in på de områden som remissinstanserna lyfter i sina remissvar. </w:t>
      </w:r>
      <w:r w:rsidRPr="005A124D">
        <w:t xml:space="preserve">För att kraftsamla kring det nya delmålet </w:t>
      </w:r>
      <w:r>
        <w:t>mot hedersrelaterat våld och förtryck har regeringen också aviserat att</w:t>
      </w:r>
      <w:r w:rsidRPr="005A124D">
        <w:t xml:space="preserve"> en handlingsplan mot hedersrelaterat våld och förtryck </w:t>
      </w:r>
      <w:r>
        <w:t xml:space="preserve">ska </w:t>
      </w:r>
      <w:r w:rsidRPr="005A124D">
        <w:t>tas fram för åren 2026–2028.</w:t>
      </w:r>
      <w:r>
        <w:t xml:space="preserve"> Handlingsplanen syftar till att lyfta kunskapen och förbättra arbetsmetoderna i hela samhället, bl.a. rättsväsende, skola och socialtjänst, kring hur hedersvåldet och förtrycket kan förebyggas och bekämpas. </w:t>
      </w:r>
      <w:bookmarkEnd w:id="33"/>
    </w:p>
    <w:p w14:paraId="332A348A" w14:textId="77777777" w:rsidR="006973D1" w:rsidRDefault="006973D1" w:rsidP="006973D1">
      <w:pPr>
        <w:pStyle w:val="Rubrik1"/>
      </w:pPr>
      <w:bookmarkStart w:id="34" w:name="_Toc221561241"/>
      <w:bookmarkStart w:id="35" w:name="_Toc224807593"/>
      <w:r>
        <w:lastRenderedPageBreak/>
        <w:t>Skärpt lagstiftning rörande vissa hedersrelaterade brott</w:t>
      </w:r>
      <w:bookmarkEnd w:id="34"/>
      <w:bookmarkEnd w:id="35"/>
    </w:p>
    <w:p w14:paraId="752E5B56" w14:textId="77777777" w:rsidR="006973D1" w:rsidRPr="00AA40D9" w:rsidRDefault="006973D1" w:rsidP="006973D1">
      <w:pPr>
        <w:pStyle w:val="Rubrik2"/>
        <w:spacing w:before="0"/>
      </w:pPr>
      <w:bookmarkStart w:id="36" w:name="_Ref216432083"/>
      <w:bookmarkStart w:id="37" w:name="_Ref216432311"/>
      <w:bookmarkStart w:id="38" w:name="_Toc221561242"/>
      <w:bookmarkStart w:id="39" w:name="_Toc224807594"/>
      <w:r>
        <w:t>Det straffbara området för äktenskapstvång ska utvidgas</w:t>
      </w:r>
      <w:bookmarkEnd w:id="36"/>
      <w:bookmarkEnd w:id="37"/>
      <w:bookmarkEnd w:id="38"/>
      <w:bookmarkEnd w:id="39"/>
    </w:p>
    <w:p w14:paraId="0E72DDD8" w14:textId="77777777" w:rsidR="006973D1" w:rsidRDefault="006973D1" w:rsidP="006973D1">
      <w:pPr>
        <w:pStyle w:val="Rubrik4ram"/>
      </w:pPr>
      <w:r w:rsidRPr="00182F2F">
        <w:t>Regeringens förslag</w:t>
      </w:r>
    </w:p>
    <w:p w14:paraId="67B554A6" w14:textId="77777777" w:rsidR="006973D1" w:rsidRDefault="006973D1" w:rsidP="006973D1">
      <w:pPr>
        <w:pStyle w:val="Brdtextram"/>
      </w:pPr>
      <w:r>
        <w:t>Straffbestämmelsen om äktenskapstvång ska utvidgas till att omfatta även den som genom vilseledande i fråga om att ett äktenskap eller en äktenskapsliknande förbindelse ingås eller förutsättningarna för dess upplösning förmår en person att ingå ett äktenskap eller en äktenskaps</w:t>
      </w:r>
      <w:r>
        <w:softHyphen/>
        <w:t xml:space="preserve">liknande förbindelse. </w:t>
      </w:r>
    </w:p>
    <w:p w14:paraId="327D5273" w14:textId="77777777" w:rsidR="006973D1" w:rsidRDefault="006973D1" w:rsidP="006973D1">
      <w:pPr>
        <w:pStyle w:val="Rubrik4efterram"/>
      </w:pPr>
      <w:r>
        <w:t xml:space="preserve">Utredningens förslag </w:t>
      </w:r>
    </w:p>
    <w:p w14:paraId="0CD0E012" w14:textId="77777777" w:rsidR="006973D1" w:rsidRDefault="006973D1" w:rsidP="006973D1">
      <w:pPr>
        <w:pStyle w:val="Brdtext"/>
        <w:rPr>
          <w:b/>
          <w:bCs/>
        </w:rPr>
      </w:pPr>
      <w:r w:rsidRPr="00D35E62">
        <w:rPr>
          <w:rFonts w:eastAsiaTheme="minorHAnsi"/>
        </w:rPr>
        <w:t xml:space="preserve">Utredningens förslag </w:t>
      </w:r>
      <w:r>
        <w:rPr>
          <w:bCs/>
        </w:rPr>
        <w:t xml:space="preserve">överensstämmer med regeringens. </w:t>
      </w:r>
    </w:p>
    <w:p w14:paraId="4430C14B" w14:textId="77777777" w:rsidR="006973D1" w:rsidRDefault="006973D1" w:rsidP="006973D1">
      <w:pPr>
        <w:pStyle w:val="Rubrik4efterram"/>
      </w:pPr>
      <w:r>
        <w:t>Remissinstanserna</w:t>
      </w:r>
    </w:p>
    <w:p w14:paraId="1D744146" w14:textId="77777777" w:rsidR="006973D1" w:rsidRPr="009605EB" w:rsidRDefault="006973D1" w:rsidP="006973D1">
      <w:pPr>
        <w:pStyle w:val="Brdtext"/>
      </w:pPr>
      <w:r>
        <w:t>De flesta av remissinstanserna tillstyrker förslaget eller har ingen invänd</w:t>
      </w:r>
      <w:r>
        <w:softHyphen/>
        <w:t xml:space="preserve">ning mot det. Bland dem finns </w:t>
      </w:r>
      <w:r>
        <w:rPr>
          <w:i/>
          <w:iCs/>
        </w:rPr>
        <w:t>Brottsförebyggande rådet</w:t>
      </w:r>
      <w:r w:rsidRPr="00FA5AF5">
        <w:t>,</w:t>
      </w:r>
      <w:r>
        <w:rPr>
          <w:i/>
          <w:iCs/>
        </w:rPr>
        <w:t xml:space="preserve"> Brotts</w:t>
      </w:r>
      <w:r>
        <w:rPr>
          <w:i/>
          <w:iCs/>
        </w:rPr>
        <w:softHyphen/>
        <w:t>offer</w:t>
      </w:r>
      <w:r>
        <w:rPr>
          <w:i/>
          <w:iCs/>
        </w:rPr>
        <w:softHyphen/>
        <w:t>jouren</w:t>
      </w:r>
      <w:r w:rsidRPr="00FA5AF5">
        <w:t>,</w:t>
      </w:r>
      <w:r>
        <w:rPr>
          <w:i/>
          <w:iCs/>
        </w:rPr>
        <w:t xml:space="preserve"> Brottsoffermyndigheten</w:t>
      </w:r>
      <w:r w:rsidRPr="00FA5AF5">
        <w:t>,</w:t>
      </w:r>
      <w:r>
        <w:rPr>
          <w:i/>
          <w:iCs/>
        </w:rPr>
        <w:t xml:space="preserve"> </w:t>
      </w:r>
      <w:r w:rsidRPr="00A13114">
        <w:rPr>
          <w:i/>
          <w:iCs/>
        </w:rPr>
        <w:t>Diskrimineringsombuds</w:t>
      </w:r>
      <w:r>
        <w:rPr>
          <w:i/>
          <w:iCs/>
        </w:rPr>
        <w:softHyphen/>
      </w:r>
      <w:r w:rsidRPr="00A13114">
        <w:rPr>
          <w:i/>
          <w:iCs/>
        </w:rPr>
        <w:t>mannen</w:t>
      </w:r>
      <w:r w:rsidRPr="00FA5AF5">
        <w:t>,</w:t>
      </w:r>
      <w:r w:rsidRPr="00A13114">
        <w:rPr>
          <w:i/>
          <w:iCs/>
        </w:rPr>
        <w:t xml:space="preserve"> </w:t>
      </w:r>
      <w:r>
        <w:rPr>
          <w:i/>
          <w:iCs/>
        </w:rPr>
        <w:t>ECPAT</w:t>
      </w:r>
      <w:r w:rsidRPr="00FA5AF5">
        <w:t>,</w:t>
      </w:r>
      <w:r>
        <w:rPr>
          <w:i/>
          <w:iCs/>
        </w:rPr>
        <w:t xml:space="preserve"> </w:t>
      </w:r>
      <w:r w:rsidRPr="00C623EB">
        <w:rPr>
          <w:i/>
          <w:iCs/>
        </w:rPr>
        <w:t>Jämställdhetsmyndigheten</w:t>
      </w:r>
      <w:r w:rsidRPr="00FA5AF5">
        <w:t>,</w:t>
      </w:r>
      <w:r w:rsidRPr="00C623EB">
        <w:rPr>
          <w:i/>
          <w:iCs/>
        </w:rPr>
        <w:t xml:space="preserve"> Myndigheten för delaktighet</w:t>
      </w:r>
      <w:r w:rsidRPr="00FA5AF5">
        <w:t>,</w:t>
      </w:r>
      <w:r w:rsidRPr="00C623EB">
        <w:rPr>
          <w:i/>
          <w:iCs/>
        </w:rPr>
        <w:t xml:space="preserve"> </w:t>
      </w:r>
      <w:r>
        <w:rPr>
          <w:i/>
          <w:iCs/>
        </w:rPr>
        <w:t>Myndig</w:t>
      </w:r>
      <w:r>
        <w:rPr>
          <w:i/>
          <w:iCs/>
        </w:rPr>
        <w:softHyphen/>
        <w:t>heten för stöd till trossamfund</w:t>
      </w:r>
      <w:r w:rsidRPr="00FA5AF5">
        <w:t>,</w:t>
      </w:r>
      <w:r>
        <w:rPr>
          <w:i/>
          <w:iCs/>
        </w:rPr>
        <w:t xml:space="preserve"> Origo</w:t>
      </w:r>
      <w:r w:rsidRPr="00FA5AF5">
        <w:t>,</w:t>
      </w:r>
      <w:r>
        <w:rPr>
          <w:i/>
          <w:iCs/>
        </w:rPr>
        <w:t xml:space="preserve"> </w:t>
      </w:r>
      <w:r w:rsidRPr="00C623EB">
        <w:rPr>
          <w:i/>
          <w:iCs/>
        </w:rPr>
        <w:t>Polismyndigheten</w:t>
      </w:r>
      <w:r w:rsidRPr="00FA5AF5">
        <w:t>,</w:t>
      </w:r>
      <w:r w:rsidRPr="00C623EB">
        <w:rPr>
          <w:i/>
          <w:iCs/>
        </w:rPr>
        <w:t xml:space="preserve"> Länsstyrelsen Öster</w:t>
      </w:r>
      <w:r>
        <w:rPr>
          <w:i/>
          <w:iCs/>
        </w:rPr>
        <w:softHyphen/>
      </w:r>
      <w:r w:rsidRPr="00C623EB">
        <w:rPr>
          <w:i/>
          <w:iCs/>
        </w:rPr>
        <w:t>götland</w:t>
      </w:r>
      <w:r>
        <w:rPr>
          <w:i/>
          <w:iCs/>
        </w:rPr>
        <w:t xml:space="preserve"> </w:t>
      </w:r>
      <w:r w:rsidRPr="00CD6849">
        <w:rPr>
          <w:i/>
          <w:iCs/>
        </w:rPr>
        <w:t>(Nationellt centrum mot hedersrelaterat våld och förtryck)</w:t>
      </w:r>
      <w:r w:rsidRPr="00FA5AF5">
        <w:t>,</w:t>
      </w:r>
      <w:r w:rsidRPr="00C623EB">
        <w:rPr>
          <w:i/>
          <w:iCs/>
        </w:rPr>
        <w:t xml:space="preserve"> Riksorganisationen GAPF – Glöm aldrig Pela och Fadime</w:t>
      </w:r>
      <w:r w:rsidRPr="00FA5AF5">
        <w:t>,</w:t>
      </w:r>
      <w:r w:rsidRPr="00C623EB">
        <w:rPr>
          <w:i/>
          <w:iCs/>
        </w:rPr>
        <w:t xml:space="preserve"> Sveriges advokatsamfund</w:t>
      </w:r>
      <w:r w:rsidRPr="00FA5AF5">
        <w:t>,</w:t>
      </w:r>
      <w:r>
        <w:rPr>
          <w:i/>
          <w:iCs/>
        </w:rPr>
        <w:t xml:space="preserve"> Sveriges interreligiösa råd</w:t>
      </w:r>
      <w:r w:rsidRPr="00FA5AF5">
        <w:t>,</w:t>
      </w:r>
      <w:r>
        <w:rPr>
          <w:i/>
          <w:iCs/>
        </w:rPr>
        <w:t xml:space="preserve"> Sveriges kristna råd</w:t>
      </w:r>
      <w:r w:rsidRPr="00FA5AF5">
        <w:t>,</w:t>
      </w:r>
      <w:r>
        <w:rPr>
          <w:i/>
          <w:iCs/>
        </w:rPr>
        <w:t xml:space="preserve"> Svenska kyrkan</w:t>
      </w:r>
      <w:r w:rsidRPr="00FA5AF5">
        <w:t>,</w:t>
      </w:r>
      <w:r>
        <w:rPr>
          <w:i/>
          <w:iCs/>
        </w:rPr>
        <w:t xml:space="preserve"> Unizon </w:t>
      </w:r>
      <w:r>
        <w:t xml:space="preserve">och </w:t>
      </w:r>
      <w:r w:rsidRPr="00C623EB">
        <w:rPr>
          <w:i/>
          <w:iCs/>
        </w:rPr>
        <w:t>Åklagarmyndigheten</w:t>
      </w:r>
      <w:r>
        <w:rPr>
          <w:i/>
          <w:iCs/>
        </w:rPr>
        <w:t xml:space="preserve">. </w:t>
      </w:r>
      <w:r>
        <w:t>Flera av remissinstans</w:t>
      </w:r>
      <w:r>
        <w:softHyphen/>
        <w:t xml:space="preserve">erna lyfter att förslaget innebär att bestämmelsen blir mer heltäckande och ger ett bättre skydd för särskilt sårbara grupper. </w:t>
      </w:r>
    </w:p>
    <w:p w14:paraId="0FF8EAE8" w14:textId="77777777" w:rsidR="006973D1" w:rsidRDefault="006973D1" w:rsidP="006973D1">
      <w:pPr>
        <w:pStyle w:val="Brdtextmedindrag"/>
      </w:pPr>
      <w:r w:rsidRPr="00C623EB">
        <w:rPr>
          <w:i/>
          <w:iCs/>
        </w:rPr>
        <w:t>Barnombudsmannen</w:t>
      </w:r>
      <w:r>
        <w:t xml:space="preserve"> tillstyrker förslaget men anser att straffbestämmel</w:t>
      </w:r>
      <w:r>
        <w:softHyphen/>
        <w:t xml:space="preserve">sen även borde omfatta fall där den unga har vilseletts att tro att </w:t>
      </w:r>
      <w:r w:rsidRPr="00AE4A2F">
        <w:t>han eller hon</w:t>
      </w:r>
      <w:r>
        <w:t xml:space="preserve"> måste ingå äktenskapet för att undvika en viss negativ effekt. </w:t>
      </w:r>
    </w:p>
    <w:p w14:paraId="5B587CE7" w14:textId="77777777" w:rsidR="006973D1" w:rsidRPr="00C7146C" w:rsidRDefault="006973D1" w:rsidP="006973D1">
      <w:pPr>
        <w:pStyle w:val="Brdtextmedindrag"/>
      </w:pPr>
      <w:r>
        <w:rPr>
          <w:i/>
          <w:iCs/>
        </w:rPr>
        <w:t>Uppsala universitet (Nationellt centrum för kvinnofrid)</w:t>
      </w:r>
      <w:r>
        <w:t xml:space="preserve">, som avstyrker utredningens förslag, efterfrågar en analys kring det som framkommer i forskningen om ambivalensen i fråga om dubbla roller som brottsoffer och förövare. </w:t>
      </w:r>
    </w:p>
    <w:p w14:paraId="6CBC93B7" w14:textId="77777777" w:rsidR="006973D1" w:rsidRDefault="006973D1" w:rsidP="006973D1">
      <w:pPr>
        <w:pStyle w:val="Rubrik4efterram"/>
      </w:pPr>
      <w:r>
        <w:t>Skälen för regeringens förslag</w:t>
      </w:r>
    </w:p>
    <w:p w14:paraId="197BBF9B" w14:textId="77777777" w:rsidR="006973D1" w:rsidRDefault="006973D1" w:rsidP="006973D1">
      <w:pPr>
        <w:pStyle w:val="Brdtextmedindrag"/>
        <w:ind w:firstLine="0"/>
      </w:pPr>
      <w:bookmarkStart w:id="40" w:name="markering"/>
      <w:r>
        <w:t>Den som genom olaga tvång eller utnyttjande av utsatt belägenhet förmår en person att ingå ett äktenskap som är giltigt i den stat där det ingås, i den stat enligt vars lag det ingås eller i en stat i vilken minst en av makarna är medborgare eller har hemvist döms för äktenskapstvång (4 kap. 4 c § första stycket brottsbalken). Det gäller under vissa förutsättningar även den som på samma sätt förmår någon att ingå en äktenskapsliknande förbindelse (4 kap. 4 c § andra stycket brottsbalken).</w:t>
      </w:r>
      <w:bookmarkEnd w:id="40"/>
      <w:r w:rsidRPr="00445017">
        <w:t xml:space="preserve"> </w:t>
      </w:r>
    </w:p>
    <w:p w14:paraId="3B7254FB" w14:textId="764D4823" w:rsidR="006973D1" w:rsidRDefault="006973D1" w:rsidP="006973D1">
      <w:pPr>
        <w:pStyle w:val="Brdtextmedindrag"/>
      </w:pPr>
      <w:r>
        <w:t xml:space="preserve">Med olaga tvång </w:t>
      </w:r>
      <w:r w:rsidRPr="00445017">
        <w:t xml:space="preserve">avses detsamma som i </w:t>
      </w:r>
      <w:r>
        <w:t>straff</w:t>
      </w:r>
      <w:r w:rsidRPr="00445017">
        <w:t xml:space="preserve">bestämmelsen om olaga tvång </w:t>
      </w:r>
      <w:r>
        <w:t>(</w:t>
      </w:r>
      <w:r w:rsidRPr="00445017">
        <w:t>4</w:t>
      </w:r>
      <w:r>
        <w:t> </w:t>
      </w:r>
      <w:r w:rsidRPr="00445017">
        <w:t>kap. 4</w:t>
      </w:r>
      <w:r>
        <w:t> §</w:t>
      </w:r>
      <w:r w:rsidRPr="00445017">
        <w:t xml:space="preserve"> </w:t>
      </w:r>
      <w:r>
        <w:t>b</w:t>
      </w:r>
      <w:r w:rsidRPr="00445017">
        <w:t>r</w:t>
      </w:r>
      <w:r>
        <w:t>ottsbalken)</w:t>
      </w:r>
      <w:r w:rsidRPr="00445017">
        <w:t>.</w:t>
      </w:r>
      <w:r>
        <w:t xml:space="preserve"> Det är framför allt gärningarna i första </w:t>
      </w:r>
      <w:r>
        <w:lastRenderedPageBreak/>
        <w:t xml:space="preserve">stycket som är av relevans för frågan om äktenskapstvång, dvs. </w:t>
      </w:r>
      <w:r w:rsidRPr="00445017">
        <w:t>att genom misshandel eller annars med våld eller genom hot om brottslig gärning tvinga någon annan att göra, tåla eller underlåta något</w:t>
      </w:r>
      <w:r>
        <w:t>.</w:t>
      </w:r>
      <w:r w:rsidRPr="00445017">
        <w:t xml:space="preserve"> Med utnyttjande av utsatt belägenhet avses detsamma som i straffbestämmelsen om människo</w:t>
      </w:r>
      <w:r>
        <w:softHyphen/>
      </w:r>
      <w:r w:rsidRPr="00445017">
        <w:t xml:space="preserve">handel </w:t>
      </w:r>
      <w:r>
        <w:t>(</w:t>
      </w:r>
      <w:r w:rsidRPr="00445017">
        <w:t>4</w:t>
      </w:r>
      <w:r>
        <w:t> kap.</w:t>
      </w:r>
      <w:r w:rsidRPr="00445017">
        <w:t xml:space="preserve"> 1</w:t>
      </w:r>
      <w:r>
        <w:t> </w:t>
      </w:r>
      <w:r w:rsidRPr="00445017">
        <w:t>a</w:t>
      </w:r>
      <w:r>
        <w:t> §</w:t>
      </w:r>
      <w:r w:rsidRPr="00445017">
        <w:t xml:space="preserve"> </w:t>
      </w:r>
      <w:r>
        <w:t>b</w:t>
      </w:r>
      <w:r w:rsidRPr="00445017">
        <w:t>r</w:t>
      </w:r>
      <w:r>
        <w:t xml:space="preserve">ottsbalken). Det kan dels vara fråga om situationer där gärningspersonen utnyttjar att personen befinner sig </w:t>
      </w:r>
      <w:r w:rsidRPr="00445017">
        <w:t>i en beroende</w:t>
      </w:r>
      <w:r>
        <w:softHyphen/>
      </w:r>
      <w:r w:rsidRPr="00445017">
        <w:t>ställning i förhållande till honom eller henne</w:t>
      </w:r>
      <w:r>
        <w:t>, dels</w:t>
      </w:r>
      <w:r w:rsidDel="00AA54D5">
        <w:t xml:space="preserve"> </w:t>
      </w:r>
      <w:r>
        <w:t>sit</w:t>
      </w:r>
      <w:r w:rsidRPr="00445017">
        <w:t>uationer där gärning</w:t>
      </w:r>
      <w:r>
        <w:t>s</w:t>
      </w:r>
      <w:r>
        <w:softHyphen/>
        <w:t>personen</w:t>
      </w:r>
      <w:r w:rsidRPr="00445017">
        <w:t xml:space="preserve"> utnyttjar att brottsoffret lever under ekonomiskt svåra förhållan</w:t>
      </w:r>
      <w:r>
        <w:softHyphen/>
      </w:r>
      <w:r w:rsidRPr="00445017">
        <w:t>den, i flyktingskap, befinner sig i vanmakt, har en intellektuell funktions</w:t>
      </w:r>
      <w:r>
        <w:softHyphen/>
      </w:r>
      <w:r w:rsidRPr="00B2043F">
        <w:rPr>
          <w:spacing w:val="-2"/>
        </w:rPr>
        <w:t>nedsättning eller någon sjukdom eller är beroende av narkotika. Omständig</w:t>
      </w:r>
      <w:r w:rsidRPr="00B2043F">
        <w:rPr>
          <w:spacing w:val="-2"/>
        </w:rPr>
        <w:softHyphen/>
      </w:r>
      <w:r w:rsidRPr="00445017">
        <w:t>heterna</w:t>
      </w:r>
      <w:r>
        <w:t xml:space="preserve"> ska vid en helhetsbedömning</w:t>
      </w:r>
      <w:r w:rsidRPr="00445017">
        <w:t xml:space="preserve"> vara sådana att brotts</w:t>
      </w:r>
      <w:r>
        <w:softHyphen/>
      </w:r>
      <w:r w:rsidRPr="00445017">
        <w:t>offret inte hade något annat verkligt eller godtagbart alternativ än att underkasta sig gärnings</w:t>
      </w:r>
      <w:r w:rsidR="00F71993">
        <w:t>person</w:t>
      </w:r>
      <w:r w:rsidRPr="00445017">
        <w:t>ens vilja</w:t>
      </w:r>
      <w:r>
        <w:t xml:space="preserve"> </w:t>
      </w:r>
      <w:r w:rsidRPr="00445017">
        <w:t>(</w:t>
      </w:r>
      <w:r>
        <w:t>se p</w:t>
      </w:r>
      <w:r w:rsidRPr="00445017">
        <w:t>rop. 2013/14:208 s. 140</w:t>
      </w:r>
      <w:r>
        <w:t>–141</w:t>
      </w:r>
      <w:r w:rsidRPr="00445017">
        <w:t>)</w:t>
      </w:r>
      <w:r>
        <w:t xml:space="preserve">. </w:t>
      </w:r>
    </w:p>
    <w:p w14:paraId="2C32F973" w14:textId="77777777" w:rsidR="006973D1" w:rsidRDefault="006973D1" w:rsidP="006973D1">
      <w:pPr>
        <w:pStyle w:val="Brdtextmedindrag"/>
      </w:pPr>
      <w:r>
        <w:t>Utanför bestämmelsens område faller den situationen att någon genom vilseledande förmås att ingå ett äktenskap eller en äktenskapsliknande förbindelse. Frågan om att kriminalisera sådant handlande</w:t>
      </w:r>
      <w:r w:rsidDel="00AA54D5">
        <w:t xml:space="preserve"> </w:t>
      </w:r>
      <w:r>
        <w:t>har varit föremål för tidigare överväganden. Regeringen konstaterade då att sådana</w:t>
      </w:r>
      <w:r w:rsidRPr="009846CC">
        <w:rPr>
          <w:rFonts w:ascii="Segoe UI" w:hAnsi="Segoe UI" w:cs="Segoe UI"/>
          <w:sz w:val="18"/>
          <w:szCs w:val="18"/>
        </w:rPr>
        <w:t xml:space="preserve"> </w:t>
      </w:r>
      <w:r w:rsidRPr="009846CC">
        <w:t>gärningar k</w:t>
      </w:r>
      <w:r>
        <w:t>an</w:t>
      </w:r>
      <w:r w:rsidRPr="009846CC">
        <w:t xml:space="preserve"> vara nog så allvarliga för den som drabba</w:t>
      </w:r>
      <w:r>
        <w:t>s</w:t>
      </w:r>
      <w:r w:rsidRPr="009846CC">
        <w:t xml:space="preserve"> av dem</w:t>
      </w:r>
      <w:r>
        <w:t>,</w:t>
      </w:r>
      <w:r w:rsidRPr="009846CC">
        <w:t xml:space="preserve"> men </w:t>
      </w:r>
      <w:r>
        <w:t>att de är</w:t>
      </w:r>
      <w:r w:rsidRPr="009846CC">
        <w:t xml:space="preserve"> av ett</w:t>
      </w:r>
      <w:r w:rsidRPr="009846CC" w:rsidDel="006F3E2C">
        <w:t xml:space="preserve"> </w:t>
      </w:r>
      <w:r w:rsidRPr="009846CC">
        <w:t xml:space="preserve">annat slag än de som </w:t>
      </w:r>
      <w:r>
        <w:t>omfattas av den reglering om äktenskaps</w:t>
      </w:r>
      <w:r>
        <w:softHyphen/>
        <w:t xml:space="preserve">tvång som då övervägdes (se prop. 2013/14:208 s. 60). </w:t>
      </w:r>
    </w:p>
    <w:p w14:paraId="3A988991" w14:textId="77777777" w:rsidR="006973D1" w:rsidRDefault="006973D1" w:rsidP="006973D1">
      <w:pPr>
        <w:pStyle w:val="Brdtextmedindrag"/>
      </w:pPr>
      <w:r>
        <w:t xml:space="preserve">Det förekommer att personer blir gifta mot sin vilja genom vilseledande. </w:t>
      </w:r>
      <w:r w:rsidRPr="00AE2811">
        <w:t xml:space="preserve">Exempel på situationer som </w:t>
      </w:r>
      <w:r>
        <w:t>det kan vara fråga om</w:t>
      </w:r>
      <w:r w:rsidRPr="00AE2811">
        <w:t xml:space="preserve"> är att personen inte förstår ceremonins verkliga innebörd och därmed deltar i ceremonin i tron att det är fråga om något annat än en vigsel eller att personen vilseleds att tro att äktenskapet </w:t>
      </w:r>
      <w:r>
        <w:t xml:space="preserve">eller den äktenskapsliknande förbindelsen </w:t>
      </w:r>
      <w:r w:rsidRPr="00AE2811">
        <w:t>kan upplösas trots att så inte är fallet.</w:t>
      </w:r>
      <w:r>
        <w:t xml:space="preserve"> Om personen som vilseleds är ett barn skulle ansvar för barnäktenskapsbrott kunna komma i fråga. Straffansvar i de fallen kräver inte att något otillbörligt medel har använts och r</w:t>
      </w:r>
      <w:r w:rsidRPr="00B3777D">
        <w:t xml:space="preserve">edan mycket subtila påtryckningar </w:t>
      </w:r>
      <w:r>
        <w:t>kan</w:t>
      </w:r>
      <w:r w:rsidRPr="00B3777D">
        <w:t xml:space="preserve"> vara tillräckligt för att rekvisitet ”förmår” </w:t>
      </w:r>
      <w:r>
        <w:t xml:space="preserve">någon att ingå äktenskap eller äktenskapsliknande förbindelse </w:t>
      </w:r>
      <w:r w:rsidRPr="00B3777D">
        <w:t xml:space="preserve">ska anses </w:t>
      </w:r>
      <w:r>
        <w:t xml:space="preserve">vara </w:t>
      </w:r>
      <w:r w:rsidRPr="00B3777D">
        <w:t>uppfyllt</w:t>
      </w:r>
      <w:r>
        <w:t xml:space="preserve"> (se prop. 2019/20:131 s. 101). </w:t>
      </w:r>
    </w:p>
    <w:p w14:paraId="08E262E2" w14:textId="77777777" w:rsidR="006973D1" w:rsidRDefault="006973D1" w:rsidP="006973D1">
      <w:pPr>
        <w:pStyle w:val="Brdtextmedindrag"/>
      </w:pPr>
      <w:r>
        <w:t>Som utredningen och flera</w:t>
      </w:r>
      <w:r w:rsidDel="006F3E2C">
        <w:t xml:space="preserve"> </w:t>
      </w:r>
      <w:r>
        <w:t xml:space="preserve">remissinstanser påpekar kan även en vuxen person befinna sig i en utsatt situation där det är svårt att freda sig från påtryckningar att ingå äktenskap eller en äktenskapsliknande förbindelse, utan att han eller hon för den delen kan anses befinna sig i en utsatt belägenhet på det sätt som krävs för straffansvar enligt den nuvarande regleringen. Personer </w:t>
      </w:r>
      <w:r w:rsidRPr="00C75041">
        <w:t>med intellektuell funktionsnedsättning</w:t>
      </w:r>
      <w:r>
        <w:t xml:space="preserve">, men även personer med annan funktionsnedsättning så som </w:t>
      </w:r>
      <w:r w:rsidRPr="00EC752A">
        <w:rPr>
          <w:i/>
        </w:rPr>
        <w:t>Myndigheten för delaktighet</w:t>
      </w:r>
      <w:r>
        <w:t xml:space="preserve"> påpekar, som lever i hedersrelaterat våld och förtryck är särskilt sårbara</w:t>
      </w:r>
      <w:r w:rsidRPr="008E03E0">
        <w:t>.</w:t>
      </w:r>
      <w:r>
        <w:t xml:space="preserve"> Utsattheten för tvångsäktenskap kan alltså förvärras på grund av funktionsnedsättningen. </w:t>
      </w:r>
    </w:p>
    <w:p w14:paraId="6FF83E75" w14:textId="4B805DA7" w:rsidR="006973D1" w:rsidRDefault="006973D1" w:rsidP="006973D1">
      <w:pPr>
        <w:pStyle w:val="Brdtextmedindrag"/>
      </w:pPr>
      <w:r>
        <w:t>Som utredningen konstaterar kan följderna för den som vilseleds att ingå ett äktenskap eller en äktenskapsliknande förbindelse vidare vara lika allvarliga som för den som tvingas till det. Kunskapen på området hedersrelaterat våld och förtryck har ökat de senaste åren och det finns skäl att se allvarligare på den här typen av brottslighet</w:t>
      </w:r>
      <w:r w:rsidRPr="00674C53">
        <w:t xml:space="preserve">. </w:t>
      </w:r>
      <w:r>
        <w:t>Det finns</w:t>
      </w:r>
      <w:r w:rsidRPr="00674C53">
        <w:t xml:space="preserve"> </w:t>
      </w:r>
      <w:r>
        <w:t>alltså</w:t>
      </w:r>
      <w:r w:rsidRPr="00674C53">
        <w:t xml:space="preserve"> anledning att fästa större avseende vid de allvarliga och långtgående följderna av ett äktenskap mot den egna viljan än vad som har gjorts hittills</w:t>
      </w:r>
      <w:r>
        <w:t xml:space="preserve">. Vilseledande skiljer sig visserligen åt från de handlingar som nu är straffbelagda som äktenskapstvång. Inte alla former av vilseledande kan </w:t>
      </w:r>
      <w:r>
        <w:lastRenderedPageBreak/>
        <w:t>heller jämföras med att tvinga någon att ingå äktenskap. Som exempel kan tas ett vilseledande angående motpartens sociala eller ekonomiska status.</w:t>
      </w:r>
      <w:r w:rsidRPr="00507A6E">
        <w:t xml:space="preserve"> </w:t>
      </w:r>
    </w:p>
    <w:p w14:paraId="2180FDD9" w14:textId="016574E9" w:rsidR="006973D1" w:rsidRDefault="006973D1" w:rsidP="006973D1">
      <w:pPr>
        <w:pStyle w:val="Brdtextmedindrag"/>
      </w:pPr>
      <w:r>
        <w:t xml:space="preserve">Utredningen gör bedömningen att en kriminalisering bör ta sikte på vilseledande som avser äktenskapets eller den äktenskapsliknande förbindelsens ingående eller förutsättningarna för dess upplösning. </w:t>
      </w:r>
      <w:r>
        <w:rPr>
          <w:i/>
          <w:iCs/>
        </w:rPr>
        <w:t xml:space="preserve">Barnombudsmannen </w:t>
      </w:r>
      <w:r>
        <w:t>anser att även fall då den unge har vilseletts att tro att han eller hon måste ingå äktenskapet för att undvika en viss negativ effekt, såsom att familjen måste flytta från Sverige, bör omfattas av en krimi</w:t>
      </w:r>
      <w:r>
        <w:softHyphen/>
        <w:t>nalisering. Även om ett sådant vilseledande är klandervärt, kan en bredare kriminalisering enligt regeringens bedömning leda till svåra gränsdrag</w:t>
      </w:r>
      <w:r>
        <w:softHyphen/>
        <w:t>ningsproblem kring vilka omständigheter som är av sådan betydelse för viljan att ingå äktenskapet att handlandet bör vara straffbelagt. Regeringen instämmer därför i utredningens bedömning i fråga om avgränsningen av det straffbara området. Handlingar som går ut på att ge eller vidmakthålla en felaktig uppfattning om den verkliga inne</w:t>
      </w:r>
      <w:r>
        <w:softHyphen/>
        <w:t>börden av en vigsel eller annan äktenskapsceremoni eller att äktenskapet eller den äktenskaps</w:t>
      </w:r>
      <w:r>
        <w:softHyphen/>
        <w:t xml:space="preserve">liknande förbindelsen går att upplösa när så inte är fallet är vidare så straffvärda att en kriminalisering är motiverad. Härigenom undanröjs, som </w:t>
      </w:r>
      <w:r w:rsidRPr="00C51671">
        <w:rPr>
          <w:i/>
          <w:iCs/>
        </w:rPr>
        <w:t>Diskrimi</w:t>
      </w:r>
      <w:r>
        <w:rPr>
          <w:i/>
          <w:iCs/>
        </w:rPr>
        <w:softHyphen/>
      </w:r>
      <w:r w:rsidRPr="00C51671">
        <w:rPr>
          <w:i/>
          <w:iCs/>
        </w:rPr>
        <w:t>neringsombudsmannen</w:t>
      </w:r>
      <w:r>
        <w:t xml:space="preserve"> påpekar, en lucka i lagstiftningen och bestämmel</w:t>
      </w:r>
      <w:r>
        <w:softHyphen/>
        <w:t xml:space="preserve">sen blir mer ändamålsenlig. </w:t>
      </w:r>
      <w:r w:rsidRPr="00C51671">
        <w:t>Utanför</w:t>
      </w:r>
      <w:r>
        <w:t xml:space="preserve"> det straffbara området för äktenskaps</w:t>
      </w:r>
      <w:r>
        <w:softHyphen/>
        <w:t xml:space="preserve">tvång bör falla sådant vilseledande som tar sikte på hur äktenskapet kommer att gestalta sig eller andra omständigheter som inte har direkt inverkan på frågan om att det är ett äktenskap som ingås. </w:t>
      </w:r>
    </w:p>
    <w:p w14:paraId="6C9744AC" w14:textId="77777777" w:rsidR="006973D1" w:rsidRDefault="006973D1" w:rsidP="006973D1">
      <w:pPr>
        <w:pStyle w:val="Brdtextmedindrag"/>
      </w:pPr>
      <w:r>
        <w:t>Begreppet vilseledande bör ha samma betydelse som det har i bedrägeri</w:t>
      </w:r>
      <w:r>
        <w:softHyphen/>
        <w:t>bestämmelsen och bestämmelsen om vilseledande till äkten</w:t>
      </w:r>
      <w:r>
        <w:softHyphen/>
        <w:t>skapsresa. Det bör alltså omfatta inte bara det fallet att gärnings</w:t>
      </w:r>
      <w:r>
        <w:softHyphen/>
        <w:t xml:space="preserve">personen förmedlar en felaktig uppfattning utan även att han eller hon vidmakthåller eller förstärker en oriktig föreställning som brottsoffret har. För straffbarhet bör också krävas att gärningspersonen genom vilseledandet förmår den andra personen att ingå ett äktenskap eller en äktenskapsliknande förbindelse. </w:t>
      </w:r>
    </w:p>
    <w:p w14:paraId="02326855" w14:textId="77777777" w:rsidR="006973D1" w:rsidRPr="00165687" w:rsidRDefault="006973D1" w:rsidP="006973D1">
      <w:pPr>
        <w:pStyle w:val="Brdtextmedindrag"/>
      </w:pPr>
      <w:r>
        <w:t xml:space="preserve">I anslutning till detta finns det anledning att beröra det som </w:t>
      </w:r>
      <w:r>
        <w:rPr>
          <w:i/>
          <w:iCs/>
        </w:rPr>
        <w:t>Uppsala universitet</w:t>
      </w:r>
      <w:r>
        <w:t xml:space="preserve"> </w:t>
      </w:r>
      <w:r>
        <w:rPr>
          <w:i/>
          <w:iCs/>
        </w:rPr>
        <w:t>(Nationellt centrum</w:t>
      </w:r>
      <w:r>
        <w:rPr>
          <w:i/>
        </w:rPr>
        <w:t xml:space="preserve"> för </w:t>
      </w:r>
      <w:r>
        <w:rPr>
          <w:i/>
          <w:iCs/>
        </w:rPr>
        <w:t xml:space="preserve">kvinnofrid) </w:t>
      </w:r>
      <w:r>
        <w:t xml:space="preserve">lyfter om dubbla roller som förövare och brottsoffer inom ramen för hedersrelaterat våld och förtryck. </w:t>
      </w:r>
      <w:r w:rsidRPr="002F1A32">
        <w:t xml:space="preserve">Det är inte ovanligt att individer </w:t>
      </w:r>
      <w:r>
        <w:t xml:space="preserve">både </w:t>
      </w:r>
      <w:r w:rsidRPr="002F1A32">
        <w:t>uts</w:t>
      </w:r>
      <w:r>
        <w:t>ätts för och är utövare av</w:t>
      </w:r>
      <w:r w:rsidRPr="002F1A32">
        <w:t xml:space="preserve"> hedersrelaterat våld och förtryck.</w:t>
      </w:r>
      <w:r w:rsidRPr="000A1606">
        <w:rPr>
          <w:rFonts w:ascii="Segoe UI" w:hAnsi="Segoe UI" w:cs="Segoe UI"/>
          <w:sz w:val="18"/>
          <w:szCs w:val="18"/>
        </w:rPr>
        <w:t xml:space="preserve"> </w:t>
      </w:r>
      <w:r w:rsidRPr="006617F4">
        <w:t xml:space="preserve">Den kollektiva karaktär som präglar hedersrelaterat våld och förtryck gör att gränserna mellan </w:t>
      </w:r>
      <w:r>
        <w:t>brotts</w:t>
      </w:r>
      <w:r w:rsidRPr="006617F4">
        <w:t>offer och förövare suddas ut. </w:t>
      </w:r>
      <w:r w:rsidRPr="000A1606">
        <w:t xml:space="preserve">Som anges ovan talar de allvarliga och långtgående följderna av ett äktenskap mot den egna viljan för en kriminalisering av det aktuella slaget. </w:t>
      </w:r>
      <w:r>
        <w:t>Agerande som här utgör h</w:t>
      </w:r>
      <w:r w:rsidRPr="000A1606">
        <w:t>edersrelaterad brottslighet kan vara socialt accepterad i det sammanhang i vilken den utövas och stödjas eller t.o.m. krävas av t.ex. gärningspersonens och den förtrycktas familj och släkt</w:t>
      </w:r>
      <w:r>
        <w:t>. Värdet</w:t>
      </w:r>
      <w:r w:rsidRPr="000A1606">
        <w:t xml:space="preserve"> av att uttryckligen markera att det handlar om en oacceptabel företeelse i samhället </w:t>
      </w:r>
      <w:r>
        <w:t xml:space="preserve">kan därför </w:t>
      </w:r>
      <w:r w:rsidRPr="000A1606">
        <w:t>vara större än för andra brottstyper. Den normera</w:t>
      </w:r>
      <w:r>
        <w:t>n</w:t>
      </w:r>
      <w:r w:rsidRPr="000A1606">
        <w:t xml:space="preserve">de effekt som en särskild kriminalisering medför borde därmed på sikt kunna bidra till minskad förekomst och kan underlätta för de brottsoffer som tar mod </w:t>
      </w:r>
      <w:r>
        <w:t>till sig</w:t>
      </w:r>
      <w:r w:rsidRPr="000A1606">
        <w:t xml:space="preserve"> och anmäler brott. Enligt regeringen finns </w:t>
      </w:r>
      <w:r>
        <w:t xml:space="preserve">det </w:t>
      </w:r>
      <w:r w:rsidRPr="000A1606">
        <w:t>därför, även med beaktande av de utmaningar som Upp</w:t>
      </w:r>
      <w:r>
        <w:t xml:space="preserve">sala universitet </w:t>
      </w:r>
      <w:r w:rsidRPr="000A1606">
        <w:t xml:space="preserve">lyfter, starka skäl att straffsanktionera den som genom vilseledande </w:t>
      </w:r>
      <w:r>
        <w:t xml:space="preserve">på de sätt som framgår ovan </w:t>
      </w:r>
      <w:r w:rsidRPr="000A1606">
        <w:t>förmår en person att ingå ett äktenskap eller en äktenskapsliknande förbindelse</w:t>
      </w:r>
      <w:r>
        <w:t xml:space="preserve">. </w:t>
      </w:r>
    </w:p>
    <w:p w14:paraId="62D94371" w14:textId="77777777" w:rsidR="006973D1" w:rsidRDefault="006973D1" w:rsidP="006973D1">
      <w:pPr>
        <w:pStyle w:val="Rubrik2"/>
      </w:pPr>
      <w:bookmarkStart w:id="41" w:name="_Ref216432120"/>
      <w:bookmarkStart w:id="42" w:name="_Toc221561243"/>
      <w:bookmarkStart w:id="43" w:name="_Toc224807595"/>
      <w:r>
        <w:lastRenderedPageBreak/>
        <w:t>Skyddet mot äktenskapsresor stärks</w:t>
      </w:r>
      <w:bookmarkEnd w:id="41"/>
      <w:bookmarkEnd w:id="42"/>
      <w:bookmarkEnd w:id="43"/>
    </w:p>
    <w:p w14:paraId="43FD3998" w14:textId="77777777" w:rsidR="006973D1" w:rsidRDefault="006973D1" w:rsidP="006973D1">
      <w:pPr>
        <w:pStyle w:val="Rubrik3"/>
        <w:spacing w:before="0"/>
      </w:pPr>
      <w:bookmarkStart w:id="44" w:name="_Ref216431286"/>
      <w:bookmarkStart w:id="45" w:name="_Ref216431718"/>
      <w:bookmarkStart w:id="46" w:name="_Ref216432263"/>
      <w:bookmarkStart w:id="47" w:name="_Ref216432333"/>
      <w:bookmarkStart w:id="48" w:name="_Toc221561244"/>
      <w:bookmarkStart w:id="49" w:name="_Toc224807596"/>
      <w:r>
        <w:t>Ett utvidgat straffansvar för äktenskapsresebrott</w:t>
      </w:r>
      <w:bookmarkEnd w:id="44"/>
      <w:bookmarkEnd w:id="45"/>
      <w:bookmarkEnd w:id="46"/>
      <w:bookmarkEnd w:id="47"/>
      <w:bookmarkEnd w:id="48"/>
      <w:bookmarkEnd w:id="49"/>
    </w:p>
    <w:p w14:paraId="64974A24" w14:textId="77777777" w:rsidR="006973D1" w:rsidRDefault="006973D1" w:rsidP="006973D1">
      <w:pPr>
        <w:pStyle w:val="Rubrik4ram"/>
      </w:pPr>
      <w:r>
        <w:t>Regeringens förslag</w:t>
      </w:r>
    </w:p>
    <w:p w14:paraId="1B0443B0" w14:textId="77777777" w:rsidR="006973D1" w:rsidRDefault="006973D1" w:rsidP="006973D1">
      <w:pPr>
        <w:pStyle w:val="Brdtextram"/>
      </w:pPr>
      <w:r>
        <w:t xml:space="preserve">Straffbestämmelsen om </w:t>
      </w:r>
      <w:r w:rsidRPr="00493EA1">
        <w:t>vilseledande till äktenskapsresa</w:t>
      </w:r>
      <w:r>
        <w:t xml:space="preserve"> ska utvidgas till att omfatta även situationer där en person genom olaga tvång eller utnyttjande av utsatt belägenhet förmås att resa till en annan stat än den där han eller hon bor i syfte att personen ska utsättas för äktenskaps</w:t>
      </w:r>
      <w:r>
        <w:softHyphen/>
        <w:t xml:space="preserve">tvång eller barnäktenskapsbrott. Brottsbeteckningen ska ändras till </w:t>
      </w:r>
      <w:r w:rsidRPr="00493EA1">
        <w:t>äktenskapsresebrott</w:t>
      </w:r>
      <w:r>
        <w:t xml:space="preserve">. </w:t>
      </w:r>
    </w:p>
    <w:p w14:paraId="0DA56D0A" w14:textId="77777777" w:rsidR="006973D1" w:rsidRDefault="006973D1" w:rsidP="006973D1">
      <w:pPr>
        <w:pStyle w:val="Rubrik4efterram"/>
        <w:rPr>
          <w:b w:val="0"/>
          <w:bCs/>
        </w:rPr>
      </w:pPr>
      <w:r>
        <w:t>Utredningens förslag</w:t>
      </w:r>
      <w:r>
        <w:rPr>
          <w:b w:val="0"/>
          <w:bCs/>
        </w:rPr>
        <w:t xml:space="preserve"> </w:t>
      </w:r>
    </w:p>
    <w:p w14:paraId="1E54D1A8" w14:textId="77777777" w:rsidR="006973D1" w:rsidRDefault="006973D1" w:rsidP="006973D1">
      <w:pPr>
        <w:pStyle w:val="Brdtext"/>
        <w:rPr>
          <w:b/>
          <w:bCs/>
        </w:rPr>
      </w:pPr>
      <w:r>
        <w:t>Utredningens förslag</w:t>
      </w:r>
      <w:r>
        <w:rPr>
          <w:bCs/>
        </w:rPr>
        <w:t xml:space="preserve"> överensstämmer med regeringens. </w:t>
      </w:r>
    </w:p>
    <w:p w14:paraId="36FBD646" w14:textId="77777777" w:rsidR="006973D1" w:rsidRDefault="006973D1" w:rsidP="006973D1">
      <w:pPr>
        <w:pStyle w:val="Rubrik4efterram"/>
      </w:pPr>
      <w:r>
        <w:t>Remissinstanserna</w:t>
      </w:r>
    </w:p>
    <w:p w14:paraId="765816C4" w14:textId="77777777" w:rsidR="006973D1" w:rsidRPr="00CE7CDB" w:rsidRDefault="006973D1" w:rsidP="006973D1">
      <w:pPr>
        <w:pStyle w:val="Brdtext"/>
        <w:rPr>
          <w:i/>
          <w:iCs/>
        </w:rPr>
      </w:pPr>
      <w:r w:rsidRPr="005301BB">
        <w:t>De flesta</w:t>
      </w:r>
      <w:r>
        <w:t xml:space="preserve"> av</w:t>
      </w:r>
      <w:r w:rsidRPr="005301BB">
        <w:t xml:space="preserve"> remissinstanser</w:t>
      </w:r>
      <w:r>
        <w:t>na</w:t>
      </w:r>
      <w:r w:rsidRPr="005301BB">
        <w:t xml:space="preserve"> tillstyrker förslaget eller har ingen invänd</w:t>
      </w:r>
      <w:r>
        <w:softHyphen/>
      </w:r>
      <w:r w:rsidRPr="005301BB">
        <w:t>ning mot det.</w:t>
      </w:r>
      <w:r>
        <w:t xml:space="preserve"> Bland dem finns </w:t>
      </w:r>
      <w:r>
        <w:rPr>
          <w:i/>
          <w:iCs/>
        </w:rPr>
        <w:t>Barnombudsmannen</w:t>
      </w:r>
      <w:r w:rsidRPr="00FA5AF5">
        <w:t>,</w:t>
      </w:r>
      <w:r>
        <w:rPr>
          <w:i/>
          <w:iCs/>
        </w:rPr>
        <w:t xml:space="preserve"> Brottsoffer</w:t>
      </w:r>
      <w:r>
        <w:rPr>
          <w:i/>
          <w:iCs/>
        </w:rPr>
        <w:softHyphen/>
        <w:t>myndig</w:t>
      </w:r>
      <w:r>
        <w:rPr>
          <w:i/>
          <w:iCs/>
        </w:rPr>
        <w:softHyphen/>
        <w:t>heten</w:t>
      </w:r>
      <w:r w:rsidRPr="00FA5AF5">
        <w:t>,</w:t>
      </w:r>
      <w:r>
        <w:rPr>
          <w:i/>
          <w:iCs/>
        </w:rPr>
        <w:t xml:space="preserve"> Diskrimineringsombudsmannen</w:t>
      </w:r>
      <w:r w:rsidRPr="00FA5AF5">
        <w:t>,</w:t>
      </w:r>
      <w:r>
        <w:rPr>
          <w:i/>
          <w:iCs/>
        </w:rPr>
        <w:t xml:space="preserve"> Jämställdhetsmyndig</w:t>
      </w:r>
      <w:r>
        <w:rPr>
          <w:i/>
          <w:iCs/>
        </w:rPr>
        <w:softHyphen/>
        <w:t>heten</w:t>
      </w:r>
      <w:r w:rsidRPr="00FA5AF5">
        <w:t>,</w:t>
      </w:r>
      <w:r>
        <w:rPr>
          <w:i/>
          <w:iCs/>
        </w:rPr>
        <w:t xml:space="preserve"> Läns</w:t>
      </w:r>
      <w:r>
        <w:rPr>
          <w:i/>
          <w:iCs/>
        </w:rPr>
        <w:softHyphen/>
        <w:t xml:space="preserve">styrelsen Östergötlands län </w:t>
      </w:r>
      <w:r w:rsidRPr="00CD6849">
        <w:rPr>
          <w:i/>
          <w:iCs/>
        </w:rPr>
        <w:t>(Nationellt centrum mot hedersrelaterat våld och förtryck)</w:t>
      </w:r>
      <w:r w:rsidRPr="00FA5AF5">
        <w:t>,</w:t>
      </w:r>
      <w:r>
        <w:rPr>
          <w:i/>
          <w:iCs/>
        </w:rPr>
        <w:t xml:space="preserve"> Myndigheten för delaktig</w:t>
      </w:r>
      <w:r>
        <w:rPr>
          <w:i/>
          <w:iCs/>
        </w:rPr>
        <w:softHyphen/>
        <w:t>het</w:t>
      </w:r>
      <w:r w:rsidRPr="00FA5AF5">
        <w:t>,</w:t>
      </w:r>
      <w:r>
        <w:t xml:space="preserve"> </w:t>
      </w:r>
      <w:r>
        <w:rPr>
          <w:i/>
          <w:iCs/>
        </w:rPr>
        <w:t>Myndigheten för familjerätt och föräldraskapsstöd</w:t>
      </w:r>
      <w:r w:rsidRPr="0086067D">
        <w:t>,</w:t>
      </w:r>
      <w:r>
        <w:rPr>
          <w:i/>
          <w:iCs/>
        </w:rPr>
        <w:t xml:space="preserve"> Myndigheten för stöd till trossam</w:t>
      </w:r>
      <w:r>
        <w:rPr>
          <w:i/>
          <w:iCs/>
        </w:rPr>
        <w:softHyphen/>
        <w:t>fund</w:t>
      </w:r>
      <w:r w:rsidRPr="0086067D">
        <w:t>,</w:t>
      </w:r>
      <w:r>
        <w:rPr>
          <w:i/>
          <w:iCs/>
        </w:rPr>
        <w:t xml:space="preserve"> Origo</w:t>
      </w:r>
      <w:r w:rsidRPr="00FA5AF5">
        <w:t>,</w:t>
      </w:r>
      <w:r>
        <w:rPr>
          <w:i/>
          <w:iCs/>
        </w:rPr>
        <w:t xml:space="preserve"> Polismyndigheten</w:t>
      </w:r>
      <w:r w:rsidRPr="0086067D">
        <w:t>,</w:t>
      </w:r>
      <w:r>
        <w:rPr>
          <w:i/>
          <w:iCs/>
        </w:rPr>
        <w:t xml:space="preserve"> Riksföreningen för skolsköterskor</w:t>
      </w:r>
      <w:r w:rsidRPr="0086067D">
        <w:t>,</w:t>
      </w:r>
      <w:r>
        <w:rPr>
          <w:i/>
          <w:iCs/>
        </w:rPr>
        <w:t xml:space="preserve"> Riks</w:t>
      </w:r>
      <w:r>
        <w:rPr>
          <w:i/>
          <w:iCs/>
        </w:rPr>
        <w:softHyphen/>
        <w:t>organisationen GAPF – Glöm aldrig Pela och Fadime</w:t>
      </w:r>
      <w:r w:rsidRPr="0086067D">
        <w:t>,</w:t>
      </w:r>
      <w:r>
        <w:rPr>
          <w:i/>
          <w:iCs/>
        </w:rPr>
        <w:t xml:space="preserve"> Social</w:t>
      </w:r>
      <w:r>
        <w:rPr>
          <w:i/>
          <w:iCs/>
        </w:rPr>
        <w:softHyphen/>
        <w:t>styrel</w:t>
      </w:r>
      <w:r>
        <w:rPr>
          <w:i/>
          <w:iCs/>
        </w:rPr>
        <w:softHyphen/>
        <w:t>sen</w:t>
      </w:r>
      <w:r w:rsidRPr="0086067D">
        <w:t>,</w:t>
      </w:r>
      <w:r>
        <w:rPr>
          <w:i/>
          <w:iCs/>
        </w:rPr>
        <w:t xml:space="preserve"> Sveriges inter</w:t>
      </w:r>
      <w:r>
        <w:rPr>
          <w:i/>
          <w:iCs/>
        </w:rPr>
        <w:softHyphen/>
        <w:t>religiösa råd</w:t>
      </w:r>
      <w:r w:rsidRPr="0086067D">
        <w:t>,</w:t>
      </w:r>
      <w:r>
        <w:rPr>
          <w:i/>
          <w:iCs/>
        </w:rPr>
        <w:t xml:space="preserve"> Sveriges kristna råd</w:t>
      </w:r>
      <w:r w:rsidRPr="0086067D">
        <w:t>,</w:t>
      </w:r>
      <w:r>
        <w:rPr>
          <w:i/>
          <w:iCs/>
        </w:rPr>
        <w:t xml:space="preserve"> Svenska kyrkan</w:t>
      </w:r>
      <w:r w:rsidRPr="00FA5AF5">
        <w:t>,</w:t>
      </w:r>
      <w:r>
        <w:rPr>
          <w:i/>
          <w:iCs/>
        </w:rPr>
        <w:t xml:space="preserve"> Sveriges advokat</w:t>
      </w:r>
      <w:r>
        <w:rPr>
          <w:i/>
          <w:iCs/>
        </w:rPr>
        <w:softHyphen/>
        <w:t>samfund</w:t>
      </w:r>
      <w:r w:rsidRPr="0086067D">
        <w:t>,</w:t>
      </w:r>
      <w:r>
        <w:rPr>
          <w:i/>
          <w:iCs/>
        </w:rPr>
        <w:t xml:space="preserve"> Unizon </w:t>
      </w:r>
      <w:r w:rsidRPr="00145170">
        <w:t>och</w:t>
      </w:r>
      <w:r>
        <w:rPr>
          <w:i/>
          <w:iCs/>
        </w:rPr>
        <w:t xml:space="preserve"> Åklagar</w:t>
      </w:r>
      <w:r>
        <w:rPr>
          <w:i/>
          <w:iCs/>
        </w:rPr>
        <w:softHyphen/>
        <w:t>myn</w:t>
      </w:r>
      <w:r>
        <w:rPr>
          <w:i/>
          <w:iCs/>
        </w:rPr>
        <w:softHyphen/>
        <w:t>dig</w:t>
      </w:r>
      <w:r>
        <w:rPr>
          <w:i/>
          <w:iCs/>
        </w:rPr>
        <w:softHyphen/>
        <w:t xml:space="preserve">heten. </w:t>
      </w:r>
    </w:p>
    <w:p w14:paraId="2C6E4727" w14:textId="77777777" w:rsidR="006973D1" w:rsidRDefault="006973D1" w:rsidP="006973D1">
      <w:pPr>
        <w:pStyle w:val="Brdtextmedindrag"/>
      </w:pPr>
      <w:r>
        <w:t>Flera remissinstanser, däribland Jämställdhetsmyndigheten och Åkla</w:t>
      </w:r>
      <w:r>
        <w:softHyphen/>
        <w:t xml:space="preserve">garmyndigheten, anser att förslaget innebär att straffbestämmelsen blir mer heltäckande. </w:t>
      </w:r>
    </w:p>
    <w:p w14:paraId="1DAC7704" w14:textId="77777777" w:rsidR="006973D1" w:rsidRDefault="006973D1" w:rsidP="006973D1">
      <w:pPr>
        <w:pStyle w:val="Brdtextmedindrag"/>
      </w:pPr>
      <w:r w:rsidRPr="00F56F45">
        <w:t>Även</w:t>
      </w:r>
      <w:r>
        <w:rPr>
          <w:i/>
          <w:iCs/>
        </w:rPr>
        <w:t xml:space="preserve"> Stockholms universitet</w:t>
      </w:r>
      <w:r>
        <w:t xml:space="preserve"> ser positivt på utred</w:t>
      </w:r>
      <w:r>
        <w:softHyphen/>
        <w:t>ningens förslag, men anser att det kan finnas överlappningar i förhål</w:t>
      </w:r>
      <w:r>
        <w:softHyphen/>
        <w:t>lande till förslaget om en straffbestämmelse om psykiskt våld och att detta bör beaktas i det fortsatta arbetet.</w:t>
      </w:r>
    </w:p>
    <w:p w14:paraId="7C5E91BE" w14:textId="77777777" w:rsidR="006973D1" w:rsidRDefault="006973D1" w:rsidP="006973D1">
      <w:pPr>
        <w:pStyle w:val="Rubrik4efterram"/>
      </w:pPr>
      <w:r>
        <w:t>Skälen för regeringens förslag</w:t>
      </w:r>
    </w:p>
    <w:p w14:paraId="530A1631" w14:textId="77777777" w:rsidR="006973D1" w:rsidRDefault="006973D1" w:rsidP="006973D1">
      <w:pPr>
        <w:pStyle w:val="Brdtext"/>
      </w:pPr>
      <w:r w:rsidRPr="00816D40">
        <w:t>Den som</w:t>
      </w:r>
      <w:r>
        <w:t xml:space="preserve"> </w:t>
      </w:r>
      <w:r w:rsidRPr="00816D40">
        <w:t xml:space="preserve">genom vilseledande förmår en person att resa till en annan stat än den där han eller hon bor, i syfte att personen ska utsättas för </w:t>
      </w:r>
      <w:r>
        <w:t>äktenskapstvång eller barnäktenskapsbrott,</w:t>
      </w:r>
      <w:r w:rsidRPr="00816D40">
        <w:t xml:space="preserve"> döms för vilseledande till äktenskaps</w:t>
      </w:r>
      <w:r>
        <w:softHyphen/>
      </w:r>
      <w:r w:rsidRPr="00816D40">
        <w:t>resa</w:t>
      </w:r>
      <w:r>
        <w:t xml:space="preserve"> (4 kap. 4 d § brottsbalken)</w:t>
      </w:r>
      <w:r w:rsidRPr="00816D40">
        <w:t>.</w:t>
      </w:r>
      <w:r>
        <w:t xml:space="preserve"> </w:t>
      </w:r>
    </w:p>
    <w:p w14:paraId="45022C7E" w14:textId="77777777" w:rsidR="006973D1" w:rsidRDefault="006973D1" w:rsidP="006973D1">
      <w:pPr>
        <w:pStyle w:val="Brdtextmedindrag"/>
      </w:pPr>
      <w:r>
        <w:t>Bestämmelsen omfattar fall då personen förmås att resa genom vilse</w:t>
      </w:r>
      <w:r>
        <w:softHyphen/>
        <w:t xml:space="preserve">ledande. Om andra otillbörliga medel används faller handlandet utanför bestämmelsens tillämpningsområde. </w:t>
      </w:r>
      <w:r w:rsidRPr="007A6577">
        <w:t>Utredningen om stärkt skydd mot tvångsäktenskap och barnäktenskap, vars förslag låg till grund för bestäm</w:t>
      </w:r>
      <w:r>
        <w:softHyphen/>
      </w:r>
      <w:r w:rsidRPr="007A6577">
        <w:t>melsen, anförde bl.a. att den situationen</w:t>
      </w:r>
      <w:r>
        <w:t xml:space="preserve"> att någon tvingas att resa</w:t>
      </w:r>
      <w:r w:rsidRPr="007A6577">
        <w:t xml:space="preserve"> nästan alltid är straffbar som olaga tvång eller ibland som människorov, varför det inte fanns något påtagligt behov av att inrymma den under straff</w:t>
      </w:r>
      <w:r>
        <w:softHyphen/>
      </w:r>
      <w:r w:rsidRPr="007A6577">
        <w:t>bestämmelsen</w:t>
      </w:r>
      <w:r>
        <w:t xml:space="preserve"> (se SOU 2012:35 s. 320</w:t>
      </w:r>
      <w:r w:rsidRPr="007A6577">
        <w:t>–</w:t>
      </w:r>
      <w:r>
        <w:t>321)</w:t>
      </w:r>
      <w:r w:rsidRPr="007A6577">
        <w:t xml:space="preserve">. Regeringen instämde i </w:t>
      </w:r>
      <w:r w:rsidRPr="007A6577">
        <w:lastRenderedPageBreak/>
        <w:t>utredningens förslag om att bestämmelsen om vilseledande till äkten</w:t>
      </w:r>
      <w:r>
        <w:softHyphen/>
      </w:r>
      <w:r w:rsidRPr="007A6577">
        <w:t>skapsresa endast skulle omfatta fall där en person förmås att resa genom vilseledande (se prop. 2013/14:208 s. 61–67).</w:t>
      </w:r>
    </w:p>
    <w:p w14:paraId="7F71BDAE" w14:textId="77777777" w:rsidR="006973D1" w:rsidRDefault="006973D1" w:rsidP="006973D1">
      <w:pPr>
        <w:pStyle w:val="Brdtextmedindrag"/>
      </w:pPr>
      <w:r w:rsidRPr="00CE1C58">
        <w:t>Att förmå någon att resa i syfte att personen ska utsättas för äktenskaps</w:t>
      </w:r>
      <w:r>
        <w:softHyphen/>
      </w:r>
      <w:r w:rsidRPr="00CE1C58">
        <w:t>tvång eller barnäktenskap</w:t>
      </w:r>
      <w:r>
        <w:t>sbrott</w:t>
      </w:r>
      <w:r w:rsidRPr="00CE1C58">
        <w:t xml:space="preserve"> med tvång eller andra påtryckningar som innebär att han eller hon inte har något annat val än att följa med kan, precis som </w:t>
      </w:r>
      <w:r>
        <w:t>flera</w:t>
      </w:r>
      <w:r w:rsidRPr="00CE1C58">
        <w:t xml:space="preserve"> remissinstanser påpekar, vara minst lika straffvärt som att vilseleda</w:t>
      </w:r>
      <w:r>
        <w:t xml:space="preserve"> någon</w:t>
      </w:r>
      <w:r w:rsidRPr="00CE1C58">
        <w:t xml:space="preserve"> för samma syfte. </w:t>
      </w:r>
      <w:r>
        <w:t>Regeringen bedömer också att det finns straffvärda situationer som inte omfattas av straffansvar i dag. Straff</w:t>
      </w:r>
      <w:r>
        <w:softHyphen/>
        <w:t>bestämmelsen om olaga tvång träffar exempelvis inte situationer där en persons utsatta belägenhet utnyttjas för att förmå honom eller henne att resa utomlands i syfte att utsättas för äktenskapstvång eller barnäkten</w:t>
      </w:r>
      <w:r>
        <w:softHyphen/>
        <w:t>skapsbrott.</w:t>
      </w:r>
      <w:r w:rsidRPr="001972F7">
        <w:t xml:space="preserve"> </w:t>
      </w:r>
      <w:r w:rsidRPr="001D5E3C">
        <w:rPr>
          <w:i/>
          <w:iCs/>
        </w:rPr>
        <w:t>Åklagarmyndig</w:t>
      </w:r>
      <w:r>
        <w:rPr>
          <w:i/>
          <w:iCs/>
        </w:rPr>
        <w:softHyphen/>
      </w:r>
      <w:r w:rsidRPr="001D5E3C">
        <w:rPr>
          <w:i/>
          <w:iCs/>
        </w:rPr>
        <w:t>heten</w:t>
      </w:r>
      <w:r>
        <w:t xml:space="preserve"> lyfter också att brottet olaga tvång ställer förhål</w:t>
      </w:r>
      <w:r>
        <w:softHyphen/>
        <w:t xml:space="preserve">landevis </w:t>
      </w:r>
      <w:r w:rsidRPr="00285644">
        <w:t>höga krav på tvångets karaktär</w:t>
      </w:r>
      <w:r>
        <w:t xml:space="preserve"> och att det kan vara svårt för den </w:t>
      </w:r>
      <w:r w:rsidRPr="00285644">
        <w:t>som lever i en hederskontext</w:t>
      </w:r>
      <w:r>
        <w:t xml:space="preserve"> att stå emot </w:t>
      </w:r>
      <w:r w:rsidRPr="00285644">
        <w:t>även påtryckningar som objektivt sett framstår som mindre allvarliga.</w:t>
      </w:r>
      <w:r>
        <w:t xml:space="preserve"> </w:t>
      </w:r>
    </w:p>
    <w:p w14:paraId="4986A93B" w14:textId="77777777" w:rsidR="006973D1" w:rsidRDefault="006973D1" w:rsidP="006973D1">
      <w:pPr>
        <w:pStyle w:val="Brdtextmedindrag"/>
      </w:pPr>
      <w:r>
        <w:t>Brottet människohandel omfattar visserligen handlanden som innebär att någons utsatta belägenhet som allvarligt begränsar personens alternativ utnyttjas. För att en gärning ska bedömas som människohandel ska dock även andra rekvisit vara uppfyllda. Gärningspersonen ska bl.a. vidta en så kallad handelsåtgärd genom att rekrytera, transportera, överföra, inhysa eller ta emot brottsoffret. Det är inte heller givet att</w:t>
      </w:r>
      <w:r w:rsidDel="00EF50EA">
        <w:t xml:space="preserve"> </w:t>
      </w:r>
      <w:r>
        <w:t>kravet på att handels</w:t>
      </w:r>
      <w:r>
        <w:softHyphen/>
        <w:t xml:space="preserve">åtgärden ska vidtas i ett exploateringssyfte – såsom ett syfte att utnyttja någon i en situation som innebär nödläge – alltid är uppfyllt när syftet är att brottsoffret ska utsättas för ett tvångsäktenskap (se prop. 2013/14:208 s. 62). Enligt </w:t>
      </w:r>
      <w:r w:rsidRPr="001D5E3C">
        <w:rPr>
          <w:i/>
          <w:iCs/>
        </w:rPr>
        <w:t>Åklagarmyndigheten</w:t>
      </w:r>
      <w:r>
        <w:t xml:space="preserve"> är också myndighetens erfarenhet </w:t>
      </w:r>
      <w:r w:rsidRPr="00285644">
        <w:t>att människohandelsbestämmelsen är svår att tillämpa</w:t>
      </w:r>
      <w:r>
        <w:t xml:space="preserve"> i sådana situationer som nu är aktuella.</w:t>
      </w:r>
      <w:r w:rsidRPr="0088055E">
        <w:t xml:space="preserve"> </w:t>
      </w:r>
      <w:r w:rsidRPr="006802A9">
        <w:t>Det kan nämnas att utredningen om genomförande av ändringar i människohandelsdirektivet har föreslagit att tvångsäktenskap ska anges som ett uttryckligt exploateringssyfte i människohandelsbestäm</w:t>
      </w:r>
      <w:r>
        <w:softHyphen/>
      </w:r>
      <w:r w:rsidRPr="006802A9">
        <w:t>melsen</w:t>
      </w:r>
      <w:r>
        <w:t xml:space="preserve"> (SOU 2025:119)</w:t>
      </w:r>
      <w:r w:rsidRPr="006802A9">
        <w:t xml:space="preserve">. Betänkandet </w:t>
      </w:r>
      <w:r>
        <w:t>remitteras för närvarande</w:t>
      </w:r>
      <w:r w:rsidRPr="006802A9">
        <w:t>.</w:t>
      </w:r>
    </w:p>
    <w:p w14:paraId="4E17215D" w14:textId="77777777" w:rsidR="006973D1" w:rsidRDefault="006973D1" w:rsidP="006973D1">
      <w:pPr>
        <w:pStyle w:val="Brdtextmedindrag"/>
      </w:pPr>
      <w:r>
        <w:t>Ett handlande som går ut på att genom olaga tvång eller utnyttjande av någons utsatta belägenhet förmå en person att resa för att ingå ett äkten</w:t>
      </w:r>
      <w:r>
        <w:softHyphen/>
        <w:t>skap kan visserligen</w:t>
      </w:r>
      <w:r w:rsidDel="00E13E8D">
        <w:t xml:space="preserve"> </w:t>
      </w:r>
      <w:r>
        <w:t>i vissa fall utgöra ett straffbart försök till äkten</w:t>
      </w:r>
      <w:r>
        <w:softHyphen/>
        <w:t xml:space="preserve">skapstvång eller barnäktenskapsbrott. Försöksansvar förutsätter dock som regel att handlandet sker utan avbrott, eftersom gärningspersonen i annat fall inte kan anses vara tillräckligt bestämd i sitt uppsåt. Ansvar för försöksbrott skulle därmed, beroende på omständigheterna, kunna vara uteslutet endast av praktiska skäl, exempelvis för att det går för lång tid från det att personen anländer till den andra staten till dess att äktenskapet ingås. </w:t>
      </w:r>
    </w:p>
    <w:p w14:paraId="6867B9F6" w14:textId="77777777" w:rsidR="006973D1" w:rsidRDefault="006973D1" w:rsidP="006973D1">
      <w:pPr>
        <w:pStyle w:val="Brdtextmedindrag"/>
      </w:pPr>
      <w:r>
        <w:t>I likhet med utredningen och flertalet remissinstanser anser regeringen mot denna bakgrund att den nuvarande regleringen inte fullt ut täcker de straffvärda situationer som kan aktualiseras. Det straffbara området för vilseledande till äktenskapsresa bör därför utvidgas till att omfatta även de situationer då gärningspersonen genom olaga tvång eller utnyttjande av utsatt belägenhet förmår någon att vidta en resa till en annan stat än den där han eller hon bor i syfte att utsättas för äktenskaptvång eller barnäkten</w:t>
      </w:r>
      <w:r>
        <w:softHyphen/>
        <w:t xml:space="preserve">skapsbrott. Det är alltså fråga om samma handlingssätt som omfattas av straffbestämmelsen om äktenskapstvång (4 kap. 4 c § brottsbalken). Straffbestämmelsen får härigenom ett något ändrat innehåll. Det bör </w:t>
      </w:r>
      <w:r>
        <w:lastRenderedPageBreak/>
        <w:t>avspeglas i brottets rubricering. Som utredningen föreslår bör brottet, i stället för vilseledande till äktenskapsresa, benämnas äktenskapsresebrott.</w:t>
      </w:r>
    </w:p>
    <w:p w14:paraId="6E55EFA7" w14:textId="04F5336E" w:rsidR="006973D1" w:rsidRDefault="006973D1" w:rsidP="006973D1">
      <w:pPr>
        <w:pStyle w:val="Brdtextmedindrag"/>
      </w:pPr>
      <w:r>
        <w:t xml:space="preserve">Som </w:t>
      </w:r>
      <w:r>
        <w:rPr>
          <w:i/>
          <w:iCs/>
        </w:rPr>
        <w:t xml:space="preserve">Stockholms universitet </w:t>
      </w:r>
      <w:r>
        <w:t>lyfter finns det anledning att beröra frågan hur förslaget om en utvidgning av straff</w:t>
      </w:r>
      <w:r>
        <w:softHyphen/>
        <w:t xml:space="preserve">bestämmelsen till att omfatta fler otillbörliga handlanden förhåller sig till förslaget om en straffbestämmelse om psykiskt våld. Regeringen beslutade den </w:t>
      </w:r>
      <w:r w:rsidR="00F35C14">
        <w:t>19</w:t>
      </w:r>
      <w:r w:rsidR="00086DA8">
        <w:t> </w:t>
      </w:r>
      <w:r w:rsidR="001575AA">
        <w:t>februari</w:t>
      </w:r>
      <w:r w:rsidR="00086DA8">
        <w:t> </w:t>
      </w:r>
      <w:r w:rsidR="001575AA">
        <w:t>2026</w:t>
      </w:r>
      <w:r w:rsidR="001D6650">
        <w:t xml:space="preserve"> </w:t>
      </w:r>
      <w:r w:rsidR="001575AA">
        <w:t>proposi</w:t>
      </w:r>
      <w:r w:rsidR="00086DA8">
        <w:softHyphen/>
      </w:r>
      <w:r w:rsidR="001575AA">
        <w:t>tio</w:t>
      </w:r>
      <w:r w:rsidR="00086DA8">
        <w:softHyphen/>
      </w:r>
      <w:r w:rsidR="001575AA">
        <w:t>nen En särskild straffbestämmelse för psykiskt våld (prop.</w:t>
      </w:r>
      <w:r w:rsidR="001575AA" w:rsidRPr="001575AA">
        <w:t xml:space="preserve"> 2025/26:138</w:t>
      </w:r>
      <w:r w:rsidR="001575AA">
        <w:t>)</w:t>
      </w:r>
      <w:r>
        <w:t xml:space="preserve"> med förslag till en sådan straff</w:t>
      </w:r>
      <w:r>
        <w:softHyphen/>
        <w:t xml:space="preserve">bestämmelse. Förslaget innebär att den som utsätter någon annan för upprepade kränkningar i form av </w:t>
      </w:r>
      <w:r w:rsidR="001575AA">
        <w:t xml:space="preserve">beskyllning, nedsättande uttalande, förödmjukande </w:t>
      </w:r>
      <w:r w:rsidR="000B69A1">
        <w:t>beteende, otillbörligt</w:t>
      </w:r>
      <w:r>
        <w:t xml:space="preserve"> hot, otillbör</w:t>
      </w:r>
      <w:r>
        <w:softHyphen/>
        <w:t>ligt tvång eller otillbörlig övervakning döms, om kränkningarna samman</w:t>
      </w:r>
      <w:r>
        <w:softHyphen/>
        <w:t>tagna varit ägnade att allvarligt skada den utsattas självkänsla, för psykiskt våld.</w:t>
      </w:r>
      <w:r w:rsidRPr="00430B2A">
        <w:t xml:space="preserve"> </w:t>
      </w:r>
      <w:r>
        <w:t>Rekvisiten för straffansvar skiljer sig åt i de olika förslagen. Som fakulteten påpekar kan det dock uppstå situationer där ett och samma handlande uppfyller rekvisiten i båda straffbestäm</w:t>
      </w:r>
      <w:r w:rsidR="000B69A1">
        <w:softHyphen/>
      </w:r>
      <w:r>
        <w:t>mel</w:t>
      </w:r>
      <w:r w:rsidR="000B69A1">
        <w:softHyphen/>
      </w:r>
      <w:r>
        <w:t>serna. När ett handlande innefattar mer än en straffbelagd gärning uppstår frågan om domstolen ska döma för ett eller för flera brott. Utgångspunkten är att välja den lösning som utifrån omständigheterna i det enskilda fallet framstår som mest följdriktig och rimlig (se NJA 2013 s. 397 p. 16). Brotten föreslås ha samma straffskalor. Med hänsyn till att bestämmel</w:t>
      </w:r>
      <w:r w:rsidR="000B69A1">
        <w:softHyphen/>
      </w:r>
      <w:r>
        <w:t>serna får anses ha samma kriminalpolitiska bakgrund bör endast dömas för ett av brotten om ett och samma handlande uppfyller kraven i båda bestämmel</w:t>
      </w:r>
      <w:r>
        <w:softHyphen/>
        <w:t xml:space="preserve">serna. Den lösning som framstår som mest följdriktig och lämplig i det enskilda fallet får då väljas. </w:t>
      </w:r>
      <w:r w:rsidRPr="008959FA">
        <w:t>Principerna för lösning av konkurrensproblem är emellertid endast att anse som huvud</w:t>
      </w:r>
      <w:r>
        <w:softHyphen/>
      </w:r>
      <w:r w:rsidRPr="008959FA">
        <w:t>regler.</w:t>
      </w:r>
      <w:r>
        <w:t xml:space="preserve"> Ytterst får konkurrensfrågor av detta slag lösas i rätts</w:t>
      </w:r>
      <w:r>
        <w:softHyphen/>
        <w:t xml:space="preserve">tillämpningen. </w:t>
      </w:r>
    </w:p>
    <w:p w14:paraId="71D7B8F9" w14:textId="77777777" w:rsidR="006973D1" w:rsidRDefault="006973D1" w:rsidP="006973D1">
      <w:pPr>
        <w:pStyle w:val="Rubrik3"/>
      </w:pPr>
      <w:bookmarkStart w:id="50" w:name="_Ref216432274"/>
      <w:bookmarkStart w:id="51" w:name="_Ref216432296"/>
      <w:bookmarkStart w:id="52" w:name="_Toc221561245"/>
      <w:bookmarkStart w:id="53" w:name="_Toc224807597"/>
      <w:r>
        <w:t>En ny straffbestämmelse om äktenskapsresebrott mot barn</w:t>
      </w:r>
      <w:bookmarkEnd w:id="50"/>
      <w:bookmarkEnd w:id="51"/>
      <w:bookmarkEnd w:id="52"/>
      <w:bookmarkEnd w:id="53"/>
    </w:p>
    <w:p w14:paraId="7BE02A74" w14:textId="77777777" w:rsidR="006973D1" w:rsidRDefault="006973D1" w:rsidP="006973D1">
      <w:pPr>
        <w:pStyle w:val="Rubrik4ram"/>
      </w:pPr>
      <w:r>
        <w:t>Regeringens förslag</w:t>
      </w:r>
    </w:p>
    <w:p w14:paraId="61C9AA09" w14:textId="77777777" w:rsidR="006973D1" w:rsidRDefault="006973D1" w:rsidP="006973D1">
      <w:pPr>
        <w:pStyle w:val="Brdtextram"/>
      </w:pPr>
      <w:r>
        <w:t xml:space="preserve">En ny straffbestämmelse om </w:t>
      </w:r>
      <w:r w:rsidRPr="00493EA1">
        <w:t>äktenskapsresebrott mot barn</w:t>
      </w:r>
      <w:r w:rsidRPr="00761CDB">
        <w:t xml:space="preserve"> </w:t>
      </w:r>
      <w:r>
        <w:t xml:space="preserve">ska införas. </w:t>
      </w:r>
    </w:p>
    <w:p w14:paraId="108D0BE4" w14:textId="77777777" w:rsidR="006973D1" w:rsidRDefault="006973D1" w:rsidP="006973D1">
      <w:pPr>
        <w:pStyle w:val="Brdtextmedindragram"/>
      </w:pPr>
      <w:r>
        <w:t>Bestämmelsen ska omfatta den som begår en sådan gärning som avses i bestämmelsen om äktenskapsresebrott mot en person som inte har fyllt 18 år samt den som i annat fall förmår eller tillåter en person som inte har fyllt 18 år att resa till en annan stat i syfte att personen ska utsättas för barnäktenskapsbrott. Bestämmelsen ska gälla även den som begår en sådan gärning och som varit oaktsam beträffande omständig</w:t>
      </w:r>
      <w:r>
        <w:softHyphen/>
        <w:t xml:space="preserve">heten att den andra personen inte fyllt 18 år. </w:t>
      </w:r>
    </w:p>
    <w:p w14:paraId="0E0DDD88" w14:textId="77777777" w:rsidR="006973D1" w:rsidRDefault="006973D1" w:rsidP="006973D1">
      <w:pPr>
        <w:pStyle w:val="Rubrik4efterram"/>
      </w:pPr>
      <w:r>
        <w:t xml:space="preserve">Utredningens förslag </w:t>
      </w:r>
    </w:p>
    <w:p w14:paraId="44F86A9F" w14:textId="77777777" w:rsidR="006973D1" w:rsidRDefault="006973D1" w:rsidP="006973D1">
      <w:pPr>
        <w:pStyle w:val="Brdtext"/>
        <w:rPr>
          <w:b/>
          <w:bCs/>
        </w:rPr>
      </w:pPr>
      <w:r>
        <w:t xml:space="preserve">Utredningens förslag </w:t>
      </w:r>
      <w:r>
        <w:rPr>
          <w:bCs/>
        </w:rPr>
        <w:t xml:space="preserve">överensstämmer med regeringens. </w:t>
      </w:r>
    </w:p>
    <w:p w14:paraId="091F22CB" w14:textId="77777777" w:rsidR="006973D1" w:rsidRDefault="006973D1" w:rsidP="006973D1">
      <w:pPr>
        <w:pStyle w:val="Rubrik4efterram"/>
      </w:pPr>
      <w:r>
        <w:t>Remissinstanserna</w:t>
      </w:r>
    </w:p>
    <w:p w14:paraId="0A866EBC" w14:textId="77777777" w:rsidR="006973D1" w:rsidRDefault="006973D1" w:rsidP="006973D1">
      <w:pPr>
        <w:pStyle w:val="Brdtext"/>
        <w:rPr>
          <w:i/>
        </w:rPr>
      </w:pPr>
      <w:r>
        <w:t>De flesta</w:t>
      </w:r>
      <w:r w:rsidDel="005F6654">
        <w:t xml:space="preserve"> av</w:t>
      </w:r>
      <w:r>
        <w:t xml:space="preserve"> remissinstanser</w:t>
      </w:r>
      <w:r w:rsidDel="005F6654">
        <w:t>na</w:t>
      </w:r>
      <w:r>
        <w:t xml:space="preserve"> tillstyrker förslaget eller har ingen invändning mot det. Bland dem finns </w:t>
      </w:r>
      <w:bookmarkStart w:id="54" w:name="_Hlk210765197"/>
      <w:r w:rsidRPr="00221907">
        <w:rPr>
          <w:i/>
          <w:iCs/>
        </w:rPr>
        <w:t>Brottsoffermyndigheten</w:t>
      </w:r>
      <w:r>
        <w:t xml:space="preserve">, </w:t>
      </w:r>
      <w:r>
        <w:rPr>
          <w:i/>
          <w:iCs/>
        </w:rPr>
        <w:t>Brottsföre</w:t>
      </w:r>
      <w:r>
        <w:rPr>
          <w:i/>
          <w:iCs/>
        </w:rPr>
        <w:softHyphen/>
        <w:t>byggande rådet</w:t>
      </w:r>
      <w:r w:rsidRPr="00A20565">
        <w:t>,</w:t>
      </w:r>
      <w:r>
        <w:rPr>
          <w:i/>
          <w:iCs/>
        </w:rPr>
        <w:t xml:space="preserve"> </w:t>
      </w:r>
      <w:r w:rsidRPr="00221907">
        <w:rPr>
          <w:i/>
          <w:iCs/>
        </w:rPr>
        <w:t>Jämställdhetsmyndigheten</w:t>
      </w:r>
      <w:r w:rsidRPr="00FA5AF5">
        <w:t>,</w:t>
      </w:r>
      <w:r>
        <w:t xml:space="preserve"> </w:t>
      </w:r>
      <w:r w:rsidRPr="00221907">
        <w:rPr>
          <w:i/>
          <w:iCs/>
        </w:rPr>
        <w:t>Länsstyrelsen Östergötland</w:t>
      </w:r>
      <w:r>
        <w:rPr>
          <w:i/>
          <w:iCs/>
        </w:rPr>
        <w:t xml:space="preserve"> </w:t>
      </w:r>
      <w:r w:rsidRPr="00CD6849">
        <w:rPr>
          <w:i/>
          <w:iCs/>
        </w:rPr>
        <w:lastRenderedPageBreak/>
        <w:t>(Nationellt centrum mot hedersrelaterat våld och förtryck)</w:t>
      </w:r>
      <w:r w:rsidRPr="00A20565">
        <w:t>,</w:t>
      </w:r>
      <w:r>
        <w:t xml:space="preserve"> </w:t>
      </w:r>
      <w:r w:rsidRPr="00221907">
        <w:rPr>
          <w:i/>
          <w:iCs/>
        </w:rPr>
        <w:t>Myndigheten för familjerätt och föräldraskapsstöd</w:t>
      </w:r>
      <w:r>
        <w:t xml:space="preserve">, </w:t>
      </w:r>
      <w:r w:rsidRPr="00221907">
        <w:rPr>
          <w:i/>
          <w:iCs/>
        </w:rPr>
        <w:t>Polis</w:t>
      </w:r>
      <w:r>
        <w:rPr>
          <w:i/>
          <w:iCs/>
        </w:rPr>
        <w:softHyphen/>
      </w:r>
      <w:r w:rsidRPr="00221907">
        <w:rPr>
          <w:i/>
          <w:iCs/>
        </w:rPr>
        <w:t>myndigheten</w:t>
      </w:r>
      <w:r>
        <w:t xml:space="preserve">, </w:t>
      </w:r>
      <w:r w:rsidRPr="00221907">
        <w:rPr>
          <w:i/>
          <w:iCs/>
        </w:rPr>
        <w:t>Socialstyrelsen</w:t>
      </w:r>
      <w:r>
        <w:t xml:space="preserve">, </w:t>
      </w:r>
      <w:r w:rsidRPr="00221907">
        <w:rPr>
          <w:i/>
          <w:iCs/>
        </w:rPr>
        <w:t>Stockholms universitet</w:t>
      </w:r>
      <w:r w:rsidRPr="00A20565">
        <w:t>,</w:t>
      </w:r>
      <w:r>
        <w:rPr>
          <w:i/>
          <w:iCs/>
        </w:rPr>
        <w:t xml:space="preserve"> Sveriges advokatsamfund</w:t>
      </w:r>
      <w:r w:rsidRPr="00A20565">
        <w:t>,</w:t>
      </w:r>
      <w:r>
        <w:rPr>
          <w:i/>
          <w:iCs/>
        </w:rPr>
        <w:t xml:space="preserve"> Sveriges kristna råd</w:t>
      </w:r>
      <w:r w:rsidRPr="00FA5AF5">
        <w:t>,</w:t>
      </w:r>
      <w:r>
        <w:rPr>
          <w:i/>
          <w:iCs/>
        </w:rPr>
        <w:t xml:space="preserve"> Svenska kyrkan</w:t>
      </w:r>
      <w:r w:rsidRPr="00FA5AF5">
        <w:t>,</w:t>
      </w:r>
      <w:r>
        <w:rPr>
          <w:i/>
          <w:iCs/>
        </w:rPr>
        <w:t xml:space="preserve"> Unizon</w:t>
      </w:r>
      <w:r w:rsidRPr="00A20565">
        <w:t>,</w:t>
      </w:r>
      <w:r>
        <w:rPr>
          <w:i/>
          <w:iCs/>
        </w:rPr>
        <w:t xml:space="preserve"> Riks</w:t>
      </w:r>
      <w:r>
        <w:rPr>
          <w:i/>
          <w:iCs/>
        </w:rPr>
        <w:softHyphen/>
        <w:t>före</w:t>
      </w:r>
      <w:r>
        <w:rPr>
          <w:i/>
          <w:iCs/>
        </w:rPr>
        <w:softHyphen/>
        <w:t xml:space="preserve">ningen för skolsköterskor </w:t>
      </w:r>
      <w:r w:rsidRPr="00453910">
        <w:t xml:space="preserve">och </w:t>
      </w:r>
      <w:r>
        <w:rPr>
          <w:i/>
          <w:iCs/>
        </w:rPr>
        <w:t>Åklagar</w:t>
      </w:r>
      <w:r>
        <w:rPr>
          <w:i/>
          <w:iCs/>
        </w:rPr>
        <w:softHyphen/>
        <w:t>myndig</w:t>
      </w:r>
      <w:r>
        <w:rPr>
          <w:i/>
          <w:iCs/>
        </w:rPr>
        <w:softHyphen/>
        <w:t xml:space="preserve">heten. </w:t>
      </w:r>
    </w:p>
    <w:bookmarkEnd w:id="54"/>
    <w:p w14:paraId="6252E37C" w14:textId="5E3F3BF8" w:rsidR="006973D1" w:rsidRPr="00317368" w:rsidRDefault="006973D1" w:rsidP="006973D1">
      <w:pPr>
        <w:pStyle w:val="Brdtextmedindrag"/>
      </w:pPr>
      <w:r>
        <w:t xml:space="preserve">Flera remissinstanser, bl.a. </w:t>
      </w:r>
      <w:r w:rsidR="00A1432B">
        <w:t xml:space="preserve">Barnombudsmannen </w:t>
      </w:r>
      <w:r>
        <w:t>och Åklagarmyn</w:t>
      </w:r>
      <w:r>
        <w:softHyphen/>
        <w:t xml:space="preserve">digheten, pekar särskilt på att utsattheten hos barn ofta är större än hos vuxna och att det är viktigt att vårdnadshavarens ansvar tydliggörs. </w:t>
      </w:r>
    </w:p>
    <w:p w14:paraId="20EDE6F0" w14:textId="77777777" w:rsidR="006973D1" w:rsidRPr="0039132B" w:rsidRDefault="006973D1" w:rsidP="006973D1">
      <w:pPr>
        <w:pStyle w:val="Brdtextmedindrag"/>
      </w:pPr>
      <w:r>
        <w:rPr>
          <w:i/>
          <w:iCs/>
        </w:rPr>
        <w:t xml:space="preserve">ECPAT </w:t>
      </w:r>
      <w:r>
        <w:t xml:space="preserve">och </w:t>
      </w:r>
      <w:r>
        <w:rPr>
          <w:i/>
          <w:iCs/>
        </w:rPr>
        <w:t>Riksorganisationen GAPF – Glöm aldrig Pela och Fadime</w:t>
      </w:r>
      <w:r>
        <w:t xml:space="preserve"> tillstyrker förslaget om att införa ett särskilt äktenskapsresebrott för barn, men anser</w:t>
      </w:r>
      <w:r w:rsidDel="006338D7">
        <w:t xml:space="preserve"> </w:t>
      </w:r>
      <w:r>
        <w:t xml:space="preserve">att kretsen av personer som kan hållas straffrättsligt ansvariga för att tillåta barnet att resa bör utvidgas i förhållande till vad som i dag gäller för ansvar för barnäktenskapsbrott. </w:t>
      </w:r>
    </w:p>
    <w:p w14:paraId="61C14553" w14:textId="77777777" w:rsidR="006973D1" w:rsidRDefault="006973D1" w:rsidP="006973D1">
      <w:pPr>
        <w:pStyle w:val="Rubrik4efterram"/>
      </w:pPr>
      <w:r>
        <w:t xml:space="preserve">Skälen för regeringens förslag </w:t>
      </w:r>
    </w:p>
    <w:p w14:paraId="4E8D6D93" w14:textId="7382443D" w:rsidR="006973D1" w:rsidRDefault="006973D1" w:rsidP="006973D1">
      <w:pPr>
        <w:pStyle w:val="Brdtext"/>
      </w:pPr>
      <w:r>
        <w:t>I samband med att barnäktenskapsbrottet infördes utvidgades straff</w:t>
      </w:r>
      <w:r>
        <w:softHyphen/>
        <w:t xml:space="preserve">ansvaret för vilseledande till äktenskapsresa (fortsättningsvis benämnt äktenskapsresebrott, </w:t>
      </w:r>
      <w:r w:rsidRPr="00800A44">
        <w:t xml:space="preserve">se avsnitt </w:t>
      </w:r>
      <w:r w:rsidR="00EB5551">
        <w:t>5.2.1</w:t>
      </w:r>
      <w:r>
        <w:t>) från att enbart omfatta resor i syfte att personen ska utsättas för äktenskapstvång till att även omfatta sådana resor där syftet är att ett barn ska utsättas för barnäktenskapsbrott. Bestäm</w:t>
      </w:r>
      <w:r w:rsidR="00086DA8">
        <w:softHyphen/>
      </w:r>
      <w:r>
        <w:t>melsen skiljer dock, till skillnad från barnäktenskapsbrottet, inte på om målsäganden är ett barn eller en vuxen i fråga om kravet på otillbörligt handlande. Straffbestämmelsen omfattar inte</w:t>
      </w:r>
      <w:r w:rsidDel="00A14F36">
        <w:t xml:space="preserve"> </w:t>
      </w:r>
      <w:r>
        <w:t xml:space="preserve">ansvar för den som i annat fall förmår eller tillåter att ett barn reser utomlands i syfte att utsättas för äktenskapstvång eller barnäktenskapsbrott. </w:t>
      </w:r>
    </w:p>
    <w:p w14:paraId="22B173E0" w14:textId="77777777" w:rsidR="006973D1" w:rsidRDefault="006973D1" w:rsidP="006973D1">
      <w:pPr>
        <w:pStyle w:val="Brdtextmedindrag"/>
      </w:pPr>
      <w:r>
        <w:t xml:space="preserve">Varje år förs barn och unga ut ur landet för att utsättas för hedersrelaterat våld och förtryck. Ett syfte med en sådan resa kan vara att den unge ska utsättas för barnäktenskapsbrott. Som flertalet remissinstanser konstaterar kan det vara mycket traumatiskt att föras utomlands för att ingå äktenskap. Ofta saknar personen som förts utomlands möjligheter att på egen hand ta sig tillbaka till Sverige och det förekommer att barnets frihet inskränks både fysiskt och genom kontroll, isolering och hot. Barn är särskilt utsatta då de ofta har begränsad förmåga att klara sig själva eller att kontakta myndigheter och kan ha svårare än vuxna att söka hjälp. </w:t>
      </w:r>
    </w:p>
    <w:p w14:paraId="0CB71931" w14:textId="77777777" w:rsidR="006973D1" w:rsidRDefault="006973D1" w:rsidP="006973D1">
      <w:pPr>
        <w:pStyle w:val="Brdtextmedindrag"/>
      </w:pPr>
      <w:r>
        <w:t>Flera av remissinstanserna pekar på svårigheter för svenska myndigheter att agera i andra länder eftersom de saknar verkställande befogenheter utomlands. Särskilda svårigheter möter de fallen där personen också är medborgare i det land dit han eller hon har förts. Dessutom skiljer sig ofta den familjerättsliga lagstiftningen avsevärt från den svenska i de länder dit personen har förts för att giftas bort. Även om äktenskaps</w:t>
      </w:r>
      <w:r w:rsidRPr="003B7D34">
        <w:t xml:space="preserve">resebrott </w:t>
      </w:r>
      <w:r>
        <w:t>omfattar förberedande gärningar</w:t>
      </w:r>
      <w:r w:rsidRPr="003B7D34">
        <w:t xml:space="preserve"> i förhållande till äktenskapstvång och barnäktenskapsbrott</w:t>
      </w:r>
      <w:r>
        <w:t>, finns det mot denna bakgrund skäl att se</w:t>
      </w:r>
      <w:r w:rsidRPr="003B7D34">
        <w:t xml:space="preserve"> allvarligt </w:t>
      </w:r>
      <w:r>
        <w:t>på sådana gärningar</w:t>
      </w:r>
      <w:r w:rsidRPr="003B7D34">
        <w:t>.</w:t>
      </w:r>
      <w:r>
        <w:t xml:space="preserve"> </w:t>
      </w:r>
    </w:p>
    <w:p w14:paraId="674E24D8" w14:textId="77777777" w:rsidR="006973D1" w:rsidRPr="007A5AB1" w:rsidRDefault="006973D1" w:rsidP="006973D1">
      <w:pPr>
        <w:pStyle w:val="Brdtextmedindrag"/>
        <w:rPr>
          <w:i/>
          <w:iCs/>
        </w:rPr>
      </w:pPr>
      <w:r>
        <w:t>På samma sätt som vid barnäktenskapsbrott finns det enligt regeringens bedömning ett behov av att utsträcka straffansvaret för äktenskaps</w:t>
      </w:r>
      <w:r>
        <w:softHyphen/>
        <w:t>rese</w:t>
      </w:r>
      <w:r>
        <w:softHyphen/>
        <w:t>brott som begås mot barn till fall då gärningspersonen på annat sätt förmår ett barn att resa utomlands för att utsättas för barnäktenskapsbrott,</w:t>
      </w:r>
      <w:r w:rsidRPr="006D0C2C">
        <w:t xml:space="preserve"> </w:t>
      </w:r>
      <w:r>
        <w:t xml:space="preserve">utan att något otillbörligt medel används. Visserligen kan ett barn i förhållande till vuxna i sin närhet ofta anses befinna sig i en sådan beroendeställning som utgör en särskilt utsatt belägenhet. Det finns dock situationer då så inte är </w:t>
      </w:r>
      <w:r>
        <w:lastRenderedPageBreak/>
        <w:t xml:space="preserve">fallet, exempelvis då den som utövar påtryckningar är någon som inte omfattas av barnets närståendekrets. Det kan också vara så att familjens kontroll över barnet utnyttjas för att få barnet att resa, utan att det behövs någon användning av tvång eller utnyttjande av barnets utsatta belägenhet. Straffbestämmelsen bör därför omfatta även de fall då någon i annat fall förmår ett barn att resa till en annan stat i syfte att där utsättas för barnäktenskapsbrott. </w:t>
      </w:r>
      <w:r w:rsidRPr="009A499F">
        <w:t xml:space="preserve">I ”förmår” </w:t>
      </w:r>
      <w:r>
        <w:t>bör, liksom vid barnäktenskapsbrott,</w:t>
      </w:r>
      <w:r w:rsidRPr="009A499F">
        <w:t xml:space="preserve"> </w:t>
      </w:r>
      <w:r>
        <w:t xml:space="preserve">ligga </w:t>
      </w:r>
      <w:r w:rsidRPr="009A499F">
        <w:t>att det ska finnas ett orsakssamband mellan gärnings</w:t>
      </w:r>
      <w:r>
        <w:t>personens</w:t>
      </w:r>
      <w:r w:rsidRPr="009A499F">
        <w:t xml:space="preserve"> handlande och att äktenskapet ingås. Det innebär att det kommer </w:t>
      </w:r>
      <w:r>
        <w:t>att</w:t>
      </w:r>
      <w:r w:rsidRPr="009A499F">
        <w:t xml:space="preserve"> finnas ett krav på ett aktivt handlande från gärnings</w:t>
      </w:r>
      <w:r>
        <w:t>personen</w:t>
      </w:r>
      <w:r w:rsidRPr="009A499F">
        <w:t>s sida inriktat på ett visst resultat. Redan mycket subtila påtryckningar bör dock vara tillräckligt för att rekvisitet ”förmår” ska anses uppfyllt</w:t>
      </w:r>
      <w:r w:rsidRPr="00DE4275">
        <w:t xml:space="preserve"> </w:t>
      </w:r>
      <w:r>
        <w:t xml:space="preserve">(se prop. 2019/20:131 s. 101). Som </w:t>
      </w:r>
      <w:r>
        <w:rPr>
          <w:i/>
          <w:iCs/>
        </w:rPr>
        <w:t>Barnombudsmannen</w:t>
      </w:r>
      <w:r>
        <w:t xml:space="preserve"> påpekar ska det således inte krävas något otillbörligt medel när brottsoffret är under 18 år</w:t>
      </w:r>
      <w:r w:rsidRPr="009A499F" w:rsidDel="00FB64CA">
        <w:t>.</w:t>
      </w:r>
    </w:p>
    <w:p w14:paraId="3BE86D94" w14:textId="3DD84248" w:rsidR="006973D1" w:rsidRDefault="006973D1" w:rsidP="006973D1">
      <w:pPr>
        <w:pStyle w:val="Brdtextmedindrag"/>
      </w:pPr>
      <w:r>
        <w:t>Det är vidare regeringens uppfattning att den vårdnadshavare som tillåter att barnet reser till en annan stat i syfte att där utsättas för barn</w:t>
      </w:r>
      <w:r w:rsidR="00086DA8">
        <w:softHyphen/>
      </w:r>
      <w:r>
        <w:t>äktenskapsbrott brister i sitt vårdnadsansvar på samma sätt som en vård</w:t>
      </w:r>
      <w:r w:rsidR="00086DA8">
        <w:softHyphen/>
      </w:r>
      <w:r>
        <w:t>nadshavare som tillåter barnet att ingå ett äktenskap. En vårdnads</w:t>
      </w:r>
      <w:r>
        <w:softHyphen/>
        <w:t>havare bör därför ha en straffrättslig skyldighet att ingripa för att förhindra att barnet förs utomlands för att utsättas för barnäktenskapsbrott. Det straff</w:t>
      </w:r>
      <w:r w:rsidR="00086DA8">
        <w:softHyphen/>
      </w:r>
      <w:r>
        <w:t>värda handlandet består i att vårdnadshavaren uttryckligen tillåter barnet att resa utomlands i syfte att barnet ska utsättas för barnäkten</w:t>
      </w:r>
      <w:r>
        <w:softHyphen/>
        <w:t>skapsbrott eller, trots kännedom om en sådan resa, tillåter barnet att företa resan utan att vidta någon åtgärd för att förhindra det. Regeringen anser därför att det bör vara straffbelagt att tillåta en person som är under 18 år att resa till en annan stat för att där utsättas för barnäktenskapsbrott. Till skillnad från</w:t>
      </w:r>
      <w:r w:rsidDel="00BA083E">
        <w:t xml:space="preserve"> </w:t>
      </w:r>
      <w:r>
        <w:rPr>
          <w:i/>
          <w:iCs/>
        </w:rPr>
        <w:t xml:space="preserve">ECPAT </w:t>
      </w:r>
      <w:r w:rsidRPr="007A5AB1">
        <w:t>och</w:t>
      </w:r>
      <w:r>
        <w:rPr>
          <w:i/>
          <w:iCs/>
        </w:rPr>
        <w:t xml:space="preserve"> Riksorganisationen GAPF – Glöm aldrig Pela och Fadime</w:t>
      </w:r>
      <w:r>
        <w:t xml:space="preserve"> anser regeringen</w:t>
      </w:r>
      <w:r w:rsidRPr="007A5AB1">
        <w:t xml:space="preserve"> att </w:t>
      </w:r>
      <w:r>
        <w:t>ett sådant</w:t>
      </w:r>
      <w:r w:rsidRPr="007A5AB1">
        <w:t xml:space="preserve"> </w:t>
      </w:r>
      <w:r>
        <w:t>straffbud bör motsvara vad som gäller vid tillåtande i fråga om barnäktenskapsbrott och då träffa vårdnads</w:t>
      </w:r>
      <w:r>
        <w:softHyphen/>
        <w:t>havaren, den som har trätt i vårdnadshavarens ställe eller någon annan som har den faktiska vårdnaden om och bestämmande inflytande över barnet. På så sätt träffar bestämmelsen de personer som får anses ha ett särskilt ansvar för att förhindra barnäktenskapet. I sammanhanget kan det nämnas att utred</w:t>
      </w:r>
      <w:r w:rsidR="00086DA8">
        <w:softHyphen/>
      </w:r>
      <w:r>
        <w:t>ningen har övervägt om kretsen av personer som kan hålla straff</w:t>
      </w:r>
      <w:r>
        <w:softHyphen/>
        <w:t>rättsligt ansvariga för att tillåta någon att ingå ett barnäktenskap bör utvidgas och besvarat den nekande, bl.a. med hänsyn till att straffbudet redan träffar de med ett bestämmande inflytande över barnet och att en vid krets av per</w:t>
      </w:r>
      <w:r w:rsidR="00086DA8">
        <w:softHyphen/>
      </w:r>
      <w:r>
        <w:t>soner därutöver redan kan hållas straffrättsligt ansvariga för sin inbland</w:t>
      </w:r>
      <w:r w:rsidR="00086DA8">
        <w:softHyphen/>
      </w:r>
      <w:r>
        <w:t xml:space="preserve">ning i att ett barnäktenskap kommer till stånd. Det finns också anledning att nämna att </w:t>
      </w:r>
      <w:r w:rsidRPr="006D068A">
        <w:t xml:space="preserve">underlåtenhet att avslöja eller förhindra äktenskapstvång och barnäktenskapsbrott </w:t>
      </w:r>
      <w:r>
        <w:t>är</w:t>
      </w:r>
      <w:r w:rsidRPr="006D068A">
        <w:t xml:space="preserve"> </w:t>
      </w:r>
      <w:r>
        <w:t>straffbart sedan den 1 december 2025</w:t>
      </w:r>
      <w:r w:rsidRPr="006D068A">
        <w:t>.</w:t>
      </w:r>
    </w:p>
    <w:p w14:paraId="5EC08AF3" w14:textId="77777777" w:rsidR="006973D1" w:rsidRDefault="006973D1" w:rsidP="006973D1">
      <w:pPr>
        <w:pStyle w:val="Brdtextmedindrag"/>
      </w:pPr>
      <w:r>
        <w:t xml:space="preserve">Uttrycket tillåter bör ha samma innebörd som det har i bestämmelsen om barnäktenskapsbrott. Med tillåta avses därmed såväl aktiva handlingar som underlåtenhet bestående i att vårdnadshavaren, trots kännedom om resan och dess syfte, förhåller sig passiv (jfr prop. 2019/20:131 s. 44–47 och vad som där sägs i fråga om ansvar för den som är i garantställning i enlighet med den s.k. garantläran). </w:t>
      </w:r>
    </w:p>
    <w:p w14:paraId="1B9F715C" w14:textId="590A1D3A" w:rsidR="006973D1" w:rsidRDefault="006973D1" w:rsidP="006973D1">
      <w:pPr>
        <w:pStyle w:val="Brdtextmedindrag"/>
      </w:pPr>
      <w:r>
        <w:t>En gärning som består i att gärningspersonen tillåter eller i annat fall förmår brottsoffret att resa bör, likt övriga gärningar som utgör äkten</w:t>
      </w:r>
      <w:r w:rsidR="00086DA8">
        <w:softHyphen/>
      </w:r>
      <w:r>
        <w:t xml:space="preserve">skapsresebrott, anses fullbordad när offret anländer till det andra landet. Det utvidgade straffansvaret för brott som riktas mot barn bör komma till </w:t>
      </w:r>
      <w:r>
        <w:lastRenderedPageBreak/>
        <w:t>uttryck genom att en ny straffbestämmelse om äktenskaps</w:t>
      </w:r>
      <w:r>
        <w:softHyphen/>
        <w:t>resebrott mot barn införs i ett nytt andra stycke i bestämmelsen om äkten</w:t>
      </w:r>
      <w:r>
        <w:softHyphen/>
        <w:t xml:space="preserve">skapsresebrott. Brottet bör benämnas äktenskapsresebrott mot barn. </w:t>
      </w:r>
    </w:p>
    <w:p w14:paraId="1803EC08" w14:textId="73B344E4" w:rsidR="006973D1" w:rsidRDefault="006973D1" w:rsidP="001D6650">
      <w:pPr>
        <w:pStyle w:val="Brdtextmedindrag"/>
        <w:rPr>
          <w:rFonts w:eastAsiaTheme="minorHAnsi" w:cstheme="minorBidi"/>
          <w:b/>
          <w:sz w:val="23"/>
          <w:szCs w:val="22"/>
        </w:rPr>
      </w:pPr>
      <w:r>
        <w:t xml:space="preserve">Liksom när det gäller barnäktenskapsbrott bör bestämmelsen gälla även om den som begår en sådan gärning inte har haft uppsåt till men varit oaktsam beträffande omständigheten att den andra personen inte fyllt arton år. </w:t>
      </w:r>
      <w:bookmarkStart w:id="55" w:name="_Ref216432144"/>
    </w:p>
    <w:p w14:paraId="6982A899" w14:textId="77777777" w:rsidR="006973D1" w:rsidRDefault="006973D1" w:rsidP="006973D1">
      <w:pPr>
        <w:pStyle w:val="Rubrik3"/>
      </w:pPr>
      <w:bookmarkStart w:id="56" w:name="_Ref221291074"/>
      <w:bookmarkStart w:id="57" w:name="_Toc221561246"/>
      <w:bookmarkStart w:id="58" w:name="_Toc224807598"/>
      <w:r>
        <w:t>Försök till äktenskapsresebrotten ska kriminaliseras</w:t>
      </w:r>
      <w:bookmarkEnd w:id="55"/>
      <w:bookmarkEnd w:id="56"/>
      <w:bookmarkEnd w:id="57"/>
      <w:bookmarkEnd w:id="58"/>
    </w:p>
    <w:p w14:paraId="548AF08A" w14:textId="77777777" w:rsidR="006973D1" w:rsidRDefault="006973D1" w:rsidP="006973D1">
      <w:pPr>
        <w:pStyle w:val="Rubrik4ram"/>
      </w:pPr>
      <w:r>
        <w:t>Regeringens förslag</w:t>
      </w:r>
    </w:p>
    <w:p w14:paraId="713ABABE" w14:textId="77777777" w:rsidR="006973D1" w:rsidRDefault="006973D1" w:rsidP="006973D1">
      <w:pPr>
        <w:pStyle w:val="Brdtextram"/>
      </w:pPr>
      <w:r>
        <w:t>Försök till äktenskapsresebrott och äktenskapsresebrott mot barn ska kriminaliseras.</w:t>
      </w:r>
    </w:p>
    <w:p w14:paraId="751AF857" w14:textId="77777777" w:rsidR="006973D1" w:rsidRDefault="006973D1" w:rsidP="006973D1">
      <w:pPr>
        <w:pStyle w:val="Rubrik4ram"/>
      </w:pPr>
      <w:r>
        <w:t>Regeringens bedömning</w:t>
      </w:r>
    </w:p>
    <w:p w14:paraId="26B62269" w14:textId="77777777" w:rsidR="006973D1" w:rsidRPr="00867883" w:rsidRDefault="006973D1" w:rsidP="006973D1">
      <w:pPr>
        <w:pStyle w:val="Brdtextram"/>
      </w:pPr>
      <w:r>
        <w:t xml:space="preserve">Stämpling till äktenskapsresebrott och äktenskapsresebrott mot barn bör inte kriminaliseras. </w:t>
      </w:r>
    </w:p>
    <w:p w14:paraId="3452D2EA" w14:textId="77777777" w:rsidR="006973D1" w:rsidRDefault="006973D1" w:rsidP="006973D1">
      <w:pPr>
        <w:pStyle w:val="Rubrik4utannumrering"/>
      </w:pPr>
      <w:r>
        <w:t xml:space="preserve">Utredningens förslag och bedömning </w:t>
      </w:r>
    </w:p>
    <w:p w14:paraId="68721A65" w14:textId="77777777" w:rsidR="006973D1" w:rsidRDefault="006973D1" w:rsidP="006973D1">
      <w:pPr>
        <w:pStyle w:val="Brdtext"/>
        <w:rPr>
          <w:b/>
          <w:bCs/>
        </w:rPr>
      </w:pPr>
      <w:r>
        <w:t xml:space="preserve">Utredningens förslag och bedömning </w:t>
      </w:r>
      <w:r>
        <w:rPr>
          <w:bCs/>
        </w:rPr>
        <w:t>överensstämmer med regeringens. Utredningen lämnar dock ett alternativt förslag om att stämpling till äktenskapsresebrott och äktenskapsresebrott mot barn ska kriminaliseras.</w:t>
      </w:r>
    </w:p>
    <w:p w14:paraId="7C6B8827" w14:textId="77777777" w:rsidR="006973D1" w:rsidRDefault="006973D1" w:rsidP="006973D1">
      <w:pPr>
        <w:pStyle w:val="Rubrik4utannumrering"/>
      </w:pPr>
      <w:r>
        <w:t>Remissinstanserna</w:t>
      </w:r>
    </w:p>
    <w:p w14:paraId="44533CD9" w14:textId="77777777" w:rsidR="006973D1" w:rsidRDefault="006973D1" w:rsidP="006973D1">
      <w:pPr>
        <w:pStyle w:val="Brdtextmedindrag"/>
        <w:ind w:firstLine="0"/>
      </w:pPr>
      <w:r>
        <w:t>De flesta av remissinstanserna tillstyrker förslaget och instämmer i bedöm</w:t>
      </w:r>
      <w:r>
        <w:softHyphen/>
        <w:t xml:space="preserve">ningen eller har ingen invändning mot dem. Bland dem finns </w:t>
      </w:r>
      <w:bookmarkStart w:id="59" w:name="_Hlk210765538"/>
      <w:bookmarkStart w:id="60" w:name="_Hlk210766581"/>
      <w:r w:rsidRPr="00CB3A7E">
        <w:rPr>
          <w:i/>
          <w:iCs/>
        </w:rPr>
        <w:t>Brotts</w:t>
      </w:r>
      <w:r>
        <w:rPr>
          <w:i/>
          <w:iCs/>
        </w:rPr>
        <w:softHyphen/>
      </w:r>
      <w:r w:rsidRPr="00CB3A7E">
        <w:rPr>
          <w:i/>
          <w:iCs/>
        </w:rPr>
        <w:t>förebyggande rådet</w:t>
      </w:r>
      <w:r>
        <w:t xml:space="preserve">, </w:t>
      </w:r>
      <w:r w:rsidRPr="00CB3A7E">
        <w:rPr>
          <w:i/>
          <w:iCs/>
        </w:rPr>
        <w:t>Brottsoffermyndigheten</w:t>
      </w:r>
      <w:r>
        <w:t xml:space="preserve">, </w:t>
      </w:r>
      <w:r w:rsidRPr="00CB3A7E">
        <w:rPr>
          <w:i/>
          <w:iCs/>
        </w:rPr>
        <w:t>Diskriminerings</w:t>
      </w:r>
      <w:r>
        <w:rPr>
          <w:i/>
          <w:iCs/>
        </w:rPr>
        <w:softHyphen/>
      </w:r>
      <w:r w:rsidRPr="00CB3A7E">
        <w:rPr>
          <w:i/>
          <w:iCs/>
        </w:rPr>
        <w:t>ombuds</w:t>
      </w:r>
      <w:r>
        <w:rPr>
          <w:i/>
          <w:iCs/>
        </w:rPr>
        <w:softHyphen/>
      </w:r>
      <w:r w:rsidRPr="00CB3A7E">
        <w:rPr>
          <w:i/>
          <w:iCs/>
        </w:rPr>
        <w:t>mannen</w:t>
      </w:r>
      <w:r w:rsidRPr="001907D7">
        <w:t>,</w:t>
      </w:r>
      <w:r w:rsidRPr="00CB3A7E">
        <w:rPr>
          <w:i/>
          <w:iCs/>
        </w:rPr>
        <w:t xml:space="preserve"> </w:t>
      </w:r>
      <w:r>
        <w:rPr>
          <w:i/>
          <w:iCs/>
        </w:rPr>
        <w:t>Polis</w:t>
      </w:r>
      <w:r>
        <w:rPr>
          <w:i/>
          <w:iCs/>
        </w:rPr>
        <w:softHyphen/>
        <w:t>myndigheten</w:t>
      </w:r>
      <w:r w:rsidRPr="001907D7">
        <w:t>,</w:t>
      </w:r>
      <w:r>
        <w:rPr>
          <w:i/>
          <w:iCs/>
        </w:rPr>
        <w:t xml:space="preserve"> </w:t>
      </w:r>
      <w:r w:rsidRPr="00CB3A7E">
        <w:rPr>
          <w:i/>
          <w:iCs/>
        </w:rPr>
        <w:t>Socialstyrelsen</w:t>
      </w:r>
      <w:r>
        <w:t xml:space="preserve">, </w:t>
      </w:r>
      <w:r>
        <w:rPr>
          <w:i/>
          <w:iCs/>
        </w:rPr>
        <w:t>Sveriges kristna råd</w:t>
      </w:r>
      <w:r w:rsidRPr="001907D7">
        <w:t>,</w:t>
      </w:r>
      <w:r>
        <w:rPr>
          <w:i/>
          <w:iCs/>
        </w:rPr>
        <w:t xml:space="preserve"> </w:t>
      </w:r>
      <w:r w:rsidRPr="00681C60">
        <w:rPr>
          <w:i/>
          <w:iCs/>
        </w:rPr>
        <w:t>Svenska</w:t>
      </w:r>
      <w:r>
        <w:rPr>
          <w:i/>
          <w:iCs/>
        </w:rPr>
        <w:t xml:space="preserve"> kyrkan</w:t>
      </w:r>
      <w:r w:rsidRPr="001907D7">
        <w:t>,</w:t>
      </w:r>
      <w:r>
        <w:rPr>
          <w:i/>
          <w:iCs/>
        </w:rPr>
        <w:t xml:space="preserve"> Riksföreningen för skolsköterskor</w:t>
      </w:r>
      <w:r w:rsidRPr="001907D7">
        <w:t>,</w:t>
      </w:r>
      <w:r>
        <w:rPr>
          <w:i/>
          <w:iCs/>
        </w:rPr>
        <w:t xml:space="preserve"> Varken hora eller kuvad </w:t>
      </w:r>
      <w:r w:rsidRPr="00CB3A7E">
        <w:t>och</w:t>
      </w:r>
      <w:r>
        <w:rPr>
          <w:i/>
          <w:iCs/>
        </w:rPr>
        <w:t xml:space="preserve"> Åklagarmyndigheten. </w:t>
      </w:r>
      <w:r w:rsidRPr="00543EAB">
        <w:t>Åklagarmyndigheten</w:t>
      </w:r>
      <w:r>
        <w:t xml:space="preserve"> anser samtidigt att ändringen medför gränsdragningsproblem i förhållande till förberedelse till äkten</w:t>
      </w:r>
      <w:r>
        <w:softHyphen/>
        <w:t>skapstvång och barnäktenskapsbrott och efterlyser ledning kring vilket brott en gärning bör bedömas som i en situation då ansvar för flera brott kan aktualiseras.</w:t>
      </w:r>
      <w:bookmarkEnd w:id="59"/>
    </w:p>
    <w:bookmarkEnd w:id="60"/>
    <w:p w14:paraId="48523443" w14:textId="77777777" w:rsidR="006973D1" w:rsidRDefault="006973D1" w:rsidP="006973D1">
      <w:pPr>
        <w:pStyle w:val="Brdtextmedindrag"/>
      </w:pPr>
      <w:r>
        <w:rPr>
          <w:i/>
          <w:iCs/>
        </w:rPr>
        <w:t xml:space="preserve">Barnombudsmannen </w:t>
      </w:r>
      <w:r>
        <w:t xml:space="preserve">anser att även stämpling till äktenskapsresebrott och äktenskapsresebrott mot barn ska kriminaliseras utifrån brottens allvar och det symbolvärde en sådan kriminalisering kan ha. </w:t>
      </w:r>
      <w:r w:rsidRPr="00AB0D19">
        <w:rPr>
          <w:i/>
          <w:iCs/>
        </w:rPr>
        <w:t>Riksorganisationen GAPF – Glöm aldrig Pela och Fadime</w:t>
      </w:r>
      <w:r>
        <w:t xml:space="preserve"> framför liknande synpunkter. </w:t>
      </w:r>
      <w:r>
        <w:rPr>
          <w:i/>
          <w:iCs/>
        </w:rPr>
        <w:t xml:space="preserve">ECPAT </w:t>
      </w:r>
      <w:r>
        <w:t>anser att även stämpling till äktenskapsresebrott mot barn bör kriminaliseras och lyfter att det är ytterst angeläget att det finns till</w:t>
      </w:r>
      <w:r>
        <w:softHyphen/>
        <w:t xml:space="preserve">räckliga verktyg för att kunna agera innan barnet hinner föras utomlands. </w:t>
      </w:r>
    </w:p>
    <w:p w14:paraId="14ABC99B" w14:textId="77777777" w:rsidR="006973D1" w:rsidRDefault="006973D1" w:rsidP="006973D1">
      <w:pPr>
        <w:pStyle w:val="Brdtextmedindrag"/>
      </w:pPr>
      <w:r>
        <w:rPr>
          <w:i/>
          <w:iCs/>
        </w:rPr>
        <w:t>Jämställdhetsmyndigheten</w:t>
      </w:r>
      <w:r>
        <w:t xml:space="preserve"> anser att förberedelse till båda brotten bör kriminaliseras och tillägger att det inte kan uteslutas att det finns situationer då försöksstadiet inte är uppnått men där det skulle vara möjligt att lagföra någon för förberedelse till brotten. </w:t>
      </w:r>
    </w:p>
    <w:p w14:paraId="1D61FBEE" w14:textId="77777777" w:rsidR="006973D1" w:rsidRDefault="006973D1" w:rsidP="006973D1">
      <w:pPr>
        <w:pStyle w:val="Rubrik4utannumrering"/>
      </w:pPr>
      <w:r>
        <w:lastRenderedPageBreak/>
        <w:t>Skälen för regeringens förslag och bedömning</w:t>
      </w:r>
    </w:p>
    <w:p w14:paraId="530A8AEA" w14:textId="77777777" w:rsidR="006973D1" w:rsidRPr="00EE1D1F" w:rsidRDefault="006973D1" w:rsidP="006973D1">
      <w:pPr>
        <w:pStyle w:val="Rubrik5utannumrering"/>
        <w:spacing w:before="0"/>
      </w:pPr>
      <w:r>
        <w:t>Kriminalisering av förstadier till brott</w:t>
      </w:r>
    </w:p>
    <w:p w14:paraId="5680085A" w14:textId="2CB8E05D" w:rsidR="006973D1" w:rsidRDefault="006973D1" w:rsidP="006973D1">
      <w:pPr>
        <w:pStyle w:val="Brdtext"/>
      </w:pPr>
      <w:r>
        <w:t>Försök, förberedelse och stämpling till äktenskapstvång och barnäkten</w:t>
      </w:r>
      <w:r>
        <w:softHyphen/>
        <w:t>skapsbrott är kriminaliserat. Det gäller inte för vilseledande till äkten</w:t>
      </w:r>
      <w:r>
        <w:softHyphen/>
        <w:t>skapsresa (fortsättningsvis benämnt äktenskapsresebrott, se avsnitt </w:t>
      </w:r>
      <w:r>
        <w:fldChar w:fldCharType="begin"/>
      </w:r>
      <w:r>
        <w:instrText xml:space="preserve"> REF _Ref216432263 \w \h </w:instrText>
      </w:r>
      <w:r>
        <w:fldChar w:fldCharType="separate"/>
      </w:r>
      <w:r w:rsidR="00072863">
        <w:t>5.2.1</w:t>
      </w:r>
      <w:r>
        <w:fldChar w:fldCharType="end"/>
      </w:r>
      <w:r>
        <w:t xml:space="preserve">). I avsnitt </w:t>
      </w:r>
      <w:r w:rsidR="00EB5551">
        <w:t>5.2.2</w:t>
      </w:r>
      <w:r>
        <w:t xml:space="preserve"> föreslås även att ett nytt brott, äktenskaps</w:t>
      </w:r>
      <w:r>
        <w:softHyphen/>
        <w:t>resebrott mot barn, införs. När frågan om att kriminalisera gärningar på förstadiet till äkten</w:t>
      </w:r>
      <w:r>
        <w:softHyphen/>
        <w:t>skapsresebrottet övervägts tidigare har, som skäl mot en kriminalisering, anförts bl.a. att brottet är en slags förberedelsehandling till tvångsäkten</w:t>
      </w:r>
      <w:r>
        <w:softHyphen/>
        <w:t xml:space="preserve">skap, och att en kriminalisering skulle omfatta handlingar </w:t>
      </w:r>
      <w:r w:rsidRPr="000A1251">
        <w:t>som utförs mycket tidigt på vägen mot ett tvångsäktenskap</w:t>
      </w:r>
      <w:r>
        <w:t xml:space="preserve"> (se prop. 2013/14:208 s. 67).</w:t>
      </w:r>
      <w:r w:rsidRPr="00251D16">
        <w:t xml:space="preserve"> </w:t>
      </w:r>
    </w:p>
    <w:p w14:paraId="08CD3A44" w14:textId="77777777" w:rsidR="006973D1" w:rsidRDefault="006973D1" w:rsidP="006973D1">
      <w:pPr>
        <w:pStyle w:val="Brdtextmedindrag"/>
      </w:pPr>
      <w:r w:rsidRPr="00684202">
        <w:t xml:space="preserve">För att </w:t>
      </w:r>
      <w:r>
        <w:t xml:space="preserve">en </w:t>
      </w:r>
      <w:r w:rsidRPr="00684202">
        <w:t>kriminalisering</w:t>
      </w:r>
      <w:r>
        <w:t xml:space="preserve"> av brott på förstadiet</w:t>
      </w:r>
      <w:r w:rsidRPr="00684202">
        <w:t xml:space="preserve"> ska vara befogad gäller som en allmän utgångspunkt att det beteende som ska kriminaliseras är straffvärt. </w:t>
      </w:r>
      <w:r>
        <w:t>En k</w:t>
      </w:r>
      <w:r w:rsidRPr="00684202">
        <w:t>riminalisering är dessutom tänkt att förbehållas brott av visst allvar. En utgångspunkt för bedömningen av om ett brott bör straff</w:t>
      </w:r>
      <w:r>
        <w:softHyphen/>
      </w:r>
      <w:r w:rsidRPr="00684202">
        <w:t>beläggas på försöks-, förberedelse- eller stämplingsstadiet är således det</w:t>
      </w:r>
      <w:r>
        <w:t xml:space="preserve"> </w:t>
      </w:r>
      <w:r w:rsidRPr="00684202">
        <w:t xml:space="preserve">fullbordade brottets abstrakta straffvärde. Därutöver bör det också i praktiken finnas fall av brottet som är så allvarliga att ett ingripande redan på förstadiet framstår som motiverat. Vid bedömningen av om förstadier till ett brott bör kriminaliseras måste hänsyn vidare tas till det självständiga brottets konstruktion. Som regel finns starkare skäl för en kriminalisering om det självständiga brottet är konstruerat som ett skadebrott än som ett farebrott. </w:t>
      </w:r>
    </w:p>
    <w:p w14:paraId="444106D0" w14:textId="77777777" w:rsidR="006973D1" w:rsidRDefault="006973D1" w:rsidP="006973D1">
      <w:pPr>
        <w:pStyle w:val="Brdtextmedindrag"/>
      </w:pPr>
      <w:r w:rsidRPr="00684202">
        <w:t>Liksom vid annan kriminalisering måste det i fråga om förstadier till brott finnas skäl att anta att kriminaliseringen har någon effekt. Det innebär att det måste undersökas om det för den aktuella brottstypen finns något</w:t>
      </w:r>
      <w:r>
        <w:t xml:space="preserve"> </w:t>
      </w:r>
      <w:r w:rsidRPr="00684202">
        <w:t>reellt tillämpningsområde för den tänkta osjälvständiga brottsformen. Det måste också krävas att införandet av ett straffansvar skulle få praktisk betydelse och att det blir möjligt att i praktiken upprätthålla kriminali</w:t>
      </w:r>
      <w:r>
        <w:softHyphen/>
      </w:r>
      <w:r w:rsidRPr="00684202">
        <w:t>seringen. Utrymmet för att straffbelägga försök till brott är något större än beträffande förberedelse och stämpling eftersom de senare brottsformerna avser gärningar som i regel befinner sig på ett längre avstånd från fullbordat brott</w:t>
      </w:r>
      <w:r>
        <w:t xml:space="preserve">. </w:t>
      </w:r>
    </w:p>
    <w:p w14:paraId="0DAF37AD" w14:textId="77777777" w:rsidR="006973D1" w:rsidRPr="00A406E8" w:rsidRDefault="006973D1" w:rsidP="006973D1">
      <w:pPr>
        <w:pStyle w:val="Rubrik5utannumrering"/>
      </w:pPr>
      <w:r>
        <w:t>Försök till äktenskapsresebrott och äktenskapsresebrott mot barn ska kriminaliseras</w:t>
      </w:r>
    </w:p>
    <w:p w14:paraId="15F7A0B9" w14:textId="0F07105D" w:rsidR="006973D1" w:rsidRDefault="006973D1" w:rsidP="006973D1">
      <w:pPr>
        <w:pStyle w:val="Brdtextmedindrag"/>
        <w:ind w:firstLine="0"/>
      </w:pPr>
      <w:r>
        <w:t>Det finns anledning att se allvarligare på gärningar som utgör äktenskaps</w:t>
      </w:r>
      <w:r>
        <w:softHyphen/>
        <w:t xml:space="preserve">resebrott än vad som har gjorts tidigare. I avsnitt </w:t>
      </w:r>
      <w:r w:rsidR="00EB5551">
        <w:t>5.3.2</w:t>
      </w:r>
      <w:r>
        <w:t xml:space="preserve"> föreslås därför en höjning av straffskalan för brottet till fängelse i högst fyra år. </w:t>
      </w:r>
      <w:r w:rsidRPr="004D0E3F">
        <w:t>Den nya straffbestämmelse</w:t>
      </w:r>
      <w:r>
        <w:t>n</w:t>
      </w:r>
      <w:r w:rsidRPr="004D0E3F">
        <w:t xml:space="preserve"> om äktenskapsresebrott mot barn som regeringen föreslår </w:t>
      </w:r>
      <w:r>
        <w:t xml:space="preserve">i avsnitt </w:t>
      </w:r>
      <w:r w:rsidR="00EB5551">
        <w:t>5.2.2</w:t>
      </w:r>
      <w:r>
        <w:t xml:space="preserve"> ska omfatta den som begår en sådan gärning som avses i bestämmelsen om äktenskapsresebrott mot en person som inte har fyllt arton år samt den som i annat fall förmår eller tillåter en person som inte har fyllt arton år att resa till en annan stat i syfte att personen ska utsätta</w:t>
      </w:r>
      <w:r w:rsidR="00D26F18">
        <w:t>s</w:t>
      </w:r>
      <w:r>
        <w:t xml:space="preserve"> för barnäktenskapsbrott. Straffskalan föreslås vara densamma som för äktenskapsresebrottet. </w:t>
      </w:r>
      <w:r w:rsidRPr="00EA7B7B">
        <w:t xml:space="preserve">Avsikten med förslagen som helhet är att markera allvaret i brottsligheten och att </w:t>
      </w:r>
      <w:r>
        <w:t xml:space="preserve">åstadkomma ett mer heltäckande </w:t>
      </w:r>
      <w:r w:rsidRPr="00EA7B7B">
        <w:t>straff</w:t>
      </w:r>
      <w:r>
        <w:softHyphen/>
      </w:r>
      <w:r w:rsidRPr="00EA7B7B">
        <w:t>rättsligt skydd.</w:t>
      </w:r>
    </w:p>
    <w:p w14:paraId="57DD8783" w14:textId="77777777" w:rsidR="006973D1" w:rsidRDefault="006973D1" w:rsidP="006973D1">
      <w:pPr>
        <w:pStyle w:val="Brdtextmedindrag"/>
      </w:pPr>
      <w:r>
        <w:lastRenderedPageBreak/>
        <w:t>Brottens allvar talar i sig för att en kriminalisering av förstadierna till brotten är motiverad. I och med den föreslagna utvidgningen av äkten</w:t>
      </w:r>
      <w:r>
        <w:softHyphen/>
        <w:t>skapsresebrottets tillämpningsområde till att omfatta även fall då brotts</w:t>
      </w:r>
      <w:r>
        <w:softHyphen/>
        <w:t xml:space="preserve">offret förmås att resa genom olaga tvång eller annars utnyttjande av utsatt belägenhet kan brotten komma att träffa fler straffvärda gärningar än den nuvarande bestämmelsen gör. </w:t>
      </w:r>
    </w:p>
    <w:p w14:paraId="68A4902B" w14:textId="77777777" w:rsidR="006973D1" w:rsidRDefault="006973D1" w:rsidP="006973D1">
      <w:pPr>
        <w:pStyle w:val="Brdtextmedindrag"/>
      </w:pPr>
      <w:r>
        <w:t>Det krävs inte att ett äktenskap eller en äktenskapsliknande förbindelse har kommit till stånd för att det ska vara fråga om ett fullbordat äkten</w:t>
      </w:r>
      <w:r>
        <w:softHyphen/>
        <w:t>skapsresebrott. Äktenskapsresebrott och äktenskapsresebrott mot barn fullbordas när målsäganden anländer till det andra landet. Den straff</w:t>
      </w:r>
      <w:r>
        <w:softHyphen/>
        <w:t xml:space="preserve">belagda gärningen är i stället sådan att den typiskt sett medför en risk för en viss skadlig effekt, dvs. att någon förmås ingå ett äktenskap eller en äktenskapsliknande förbindelse mot sin vilja. Som bl.a. </w:t>
      </w:r>
      <w:r w:rsidRPr="002D3030">
        <w:rPr>
          <w:i/>
        </w:rPr>
        <w:t>Åklagar</w:t>
      </w:r>
      <w:r>
        <w:rPr>
          <w:i/>
        </w:rPr>
        <w:softHyphen/>
      </w:r>
      <w:r w:rsidRPr="002D3030">
        <w:rPr>
          <w:i/>
        </w:rPr>
        <w:t>myndig</w:t>
      </w:r>
      <w:r>
        <w:rPr>
          <w:i/>
        </w:rPr>
        <w:softHyphen/>
      </w:r>
      <w:r w:rsidRPr="002D3030">
        <w:rPr>
          <w:i/>
        </w:rPr>
        <w:t>heten</w:t>
      </w:r>
      <w:r>
        <w:t xml:space="preserve"> lyfter kan dock även ett äktenskapsresebrott leda till allvarliga konsekvenser för den som drabbas. Brottsoffret kan, redan på grund av resan, hamna i en svår och utsatt situation med begränsade möjligheter att söka hjälp eller resa hem till Sverige. Barn och unga som utsätts för äktenskapsresebrott försätts i en särskilt utsatt situation och kan möta stora svårigheter att ta sig hem eller i övrigt sköta kontakter med myndigheter för det fall de förs utomlands. Detsamma gäller personer med funktions</w:t>
      </w:r>
      <w:r>
        <w:softHyphen/>
        <w:t>ned</w:t>
      </w:r>
      <w:r>
        <w:softHyphen/>
        <w:t>sättning, som ofta är utlämnade till sina familjer. Vikten av att barn som riskerar att utsättas för bl.a. barnäktenskap inte lämnar Sverige har också tidigare anförts som ett skäl för att kriminalisera försök till över</w:t>
      </w:r>
      <w:r>
        <w:softHyphen/>
        <w:t>trädelse av utreseförbud (se prop. 2019/20:131 s. 89). Till skillnad från vad som anförts tidigare anser regeringen att de situationer som kan uppkomma redan på försöksstadiet till brotten är straffvärda.</w:t>
      </w:r>
      <w:r w:rsidRPr="000A1251">
        <w:t xml:space="preserve"> </w:t>
      </w:r>
      <w:r>
        <w:t xml:space="preserve">Brottens konstruktion är inte heller sådan att den i sig talar mot en kriminalisering av försök till dessa brott. </w:t>
      </w:r>
    </w:p>
    <w:p w14:paraId="0C3BAAD3" w14:textId="7CAC2112" w:rsidR="006973D1" w:rsidRDefault="006973D1" w:rsidP="006973D1">
      <w:pPr>
        <w:pStyle w:val="Brdtextmedindrag"/>
      </w:pPr>
      <w:r>
        <w:t>Äktenskapsresebrott och äktenskapsresebrott mot barn är brott som till sin natur kräver tid och planering. Inte sällan är flera personer inblandade. Det kan alltså många gånger vara fråga om ett längre händelseförlopp och inrymma situationer då försök till äktenskapsres</w:t>
      </w:r>
      <w:r w:rsidR="00D26F18">
        <w:t>ebrott</w:t>
      </w:r>
      <w:r>
        <w:t xml:space="preserve"> skulle ha praktisk betydelse, exempelvis om polis larmas och hinner ingripa innan en målsägande lämnar landet. När det gäller situationer där någon tillåter ett barn att företa en sådan resa bör försök till äktenskapsresebrott mot barn, precis som vid barnäktenskapsbrott, i praktiken endast bli aktuellt när det gäller aktiva tillåtande handlingar (jfr prop. 2019/20:131 s. 103). </w:t>
      </w:r>
    </w:p>
    <w:p w14:paraId="68151506" w14:textId="77777777" w:rsidR="006973D1" w:rsidRDefault="006973D1" w:rsidP="006973D1">
      <w:pPr>
        <w:pStyle w:val="Brdtextmedindrag"/>
      </w:pPr>
      <w:r>
        <w:t>Regeringens uppfattning är att det finns ett reellt tillämpningsområde för försök till äktenskapsresebrotten. En tidig kriminalisering kan visserligen innebära bevissvårigheter. Regeringen anser dock att bevissvårigheterna inte är så påtagliga att de hindrar att försök till brotten kriminaliseras. En kriminalisering är också befogad med hänsyn till brottens allvar. Som flera remissinstanser påpekar är det viktigt att det finns medel för att kunna hindra att personer lämnar Sverige när det är fråga om att företa en resa i syfte att utsättas för äktenskapstvång eller barnäktenskapsbrott. En</w:t>
      </w:r>
      <w:r w:rsidDel="00584AE8">
        <w:t xml:space="preserve"> </w:t>
      </w:r>
      <w:r>
        <w:t>krimi</w:t>
      </w:r>
      <w:r>
        <w:softHyphen/>
        <w:t>nalisering av äktenskapsresebrotten på försöksstadiet skulle kunna öka möjligheterna att skydda personer från att utsättas för sådana resor. Försök till äktenskaps</w:t>
      </w:r>
      <w:r>
        <w:softHyphen/>
        <w:t xml:space="preserve">resebrott och äktenskapsresebrott mot barn bör därmed omfattas av straffansvar. </w:t>
      </w:r>
    </w:p>
    <w:p w14:paraId="0BD4861D" w14:textId="77777777" w:rsidR="006973D1" w:rsidRDefault="006973D1" w:rsidP="006973D1">
      <w:pPr>
        <w:pStyle w:val="Brdtextmedindrag"/>
      </w:pPr>
      <w:r>
        <w:t xml:space="preserve">Som </w:t>
      </w:r>
      <w:r w:rsidRPr="00D9717E">
        <w:rPr>
          <w:i/>
          <w:iCs/>
        </w:rPr>
        <w:t>Åklagarmyndigheten</w:t>
      </w:r>
      <w:r>
        <w:t xml:space="preserve"> lyfter kan den situationen uppstå att ett hand</w:t>
      </w:r>
      <w:r>
        <w:softHyphen/>
        <w:t xml:space="preserve">lande utgör både straffbart försök till äktenskapsresebrott och förberedelse </w:t>
      </w:r>
      <w:r>
        <w:lastRenderedPageBreak/>
        <w:t>till äktenskapstvång eller barnäktenskapsbrott. Frågan uppstår då om domstolen ska döma för ett eller för flera brott. Utgångs</w:t>
      </w:r>
      <w:r>
        <w:softHyphen/>
        <w:t xml:space="preserve">punkten är att välja den lösning som utifrån omständigheterna i det enskilda fallet framstår som mest följdriktig och rimlig (se </w:t>
      </w:r>
      <w:bookmarkStart w:id="61" w:name="_Hlk215690009"/>
      <w:r>
        <w:t xml:space="preserve">NJA 2013 s. 397 </w:t>
      </w:r>
      <w:bookmarkEnd w:id="61"/>
      <w:r>
        <w:t xml:space="preserve">p. 16). </w:t>
      </w:r>
      <w:r w:rsidRPr="00584AE8">
        <w:t xml:space="preserve">En princip som brukar upprätthållas är att det ena brottet konsumerar det andra om bestämmelserna har samma kriminalpolitiska grund. I sådana fall bör normalt det strängare straffbudet vara tillämpligt och det mindre allvarliga brottet konsumeras, men vägas in vid bedömningen av brottets allvar. </w:t>
      </w:r>
      <w:r>
        <w:t>Bestämmelserna om äktenskapstvång respektive barnäktenskapsbrott och äktenskapsresebrotten vilar på samma kriminalpolitiska grund och i den situation som Åklagarmyndigheten pekar på bör det därför endast dömas till ansvar för ett av brotten. En bedömning får göras i det enskilda fallet. Situationen kan exempelvis vara sådan att försökshandlingen har närmat sig fullbordanspunkten. I ett sådant fall ligger det</w:t>
      </w:r>
      <w:r w:rsidDel="00584AE8">
        <w:t xml:space="preserve"> </w:t>
      </w:r>
      <w:r>
        <w:t>nära till hands att låta försöksbrottet ha företräde framför förberedelsebrottet. I andra situationer kan förberedelsehandlingen vara så avancerad, samtidigt som försöks</w:t>
      </w:r>
      <w:r>
        <w:softHyphen/>
        <w:t xml:space="preserve">brottet ligger relativt långt från fullbordanspunkten, att förberedelsebrottet bör ha företräde framför försöksbrottet. Ytterst får denna typ av fall lösas av rättstillämpningen. </w:t>
      </w:r>
    </w:p>
    <w:p w14:paraId="7329AE78" w14:textId="77777777" w:rsidR="006973D1" w:rsidRDefault="006973D1" w:rsidP="006973D1">
      <w:pPr>
        <w:pStyle w:val="Rubrik5utannumrering"/>
      </w:pPr>
      <w:r>
        <w:t>Stämpling till äktenskapsresebrott och äktenskapsresebrott mot barn behöver inte kriminaliseras</w:t>
      </w:r>
    </w:p>
    <w:p w14:paraId="21172AAE" w14:textId="77777777" w:rsidR="006973D1" w:rsidRDefault="006973D1" w:rsidP="006973D1">
      <w:pPr>
        <w:pStyle w:val="Brdtext"/>
      </w:pPr>
      <w:r>
        <w:t>På motsvarande sätt som i fråga om kriminalisering av försök till äkten</w:t>
      </w:r>
      <w:r>
        <w:softHyphen/>
        <w:t>skapsresebrott och äktenskapsresebrott mot barn kan brottslighetens allvar anses tala för att även stämpling till brotten bör vara straffbart. Inte heller brottens konstruktion talar mot det. För att det ska vara befogat att straff</w:t>
      </w:r>
      <w:r>
        <w:softHyphen/>
        <w:t xml:space="preserve">belägga ett brott på förstadiet måste det dock </w:t>
      </w:r>
      <w:r w:rsidRPr="00684202">
        <w:t>finnas skäl att anta att kriminaliseringen har effekt.</w:t>
      </w:r>
      <w:r>
        <w:t xml:space="preserve"> Till skillnad från vad som är fallet i fråga om försök till äktenskapsresebrott och äktenskapsresebrott mot barn bedöms samtliga tänkbara fall som skulle kunna utgöra stämpling till de brotten också utgöra stämpling till de allvarligare brotten äktenskapstvång och barnäktenskapsbrott. Enligt</w:t>
      </w:r>
      <w:r w:rsidDel="00C53904">
        <w:t xml:space="preserve"> </w:t>
      </w:r>
      <w:r>
        <w:t>principen om att ett brott konsumerar ett annat när brotten har samma kriminalpolitiska grund ska,</w:t>
      </w:r>
      <w:r w:rsidDel="00C53904">
        <w:t xml:space="preserve"> </w:t>
      </w:r>
      <w:r>
        <w:t xml:space="preserve">som redogörs för ovan, i samtliga fall dömas för det allvarligare brottet. Regeringen anser därför att en kriminalisering inte är befogad. Av i huvudsak samma skäl finns det inte skäl att, så som </w:t>
      </w:r>
      <w:r>
        <w:rPr>
          <w:i/>
          <w:iCs/>
        </w:rPr>
        <w:t>Jämställdhets</w:t>
      </w:r>
      <w:r>
        <w:rPr>
          <w:i/>
          <w:iCs/>
        </w:rPr>
        <w:softHyphen/>
        <w:t>myndig</w:t>
      </w:r>
      <w:r>
        <w:rPr>
          <w:i/>
          <w:iCs/>
        </w:rPr>
        <w:softHyphen/>
        <w:t xml:space="preserve">heten </w:t>
      </w:r>
      <w:r>
        <w:t xml:space="preserve">förordar, kriminalisera förberedelse till brotten.   </w:t>
      </w:r>
    </w:p>
    <w:p w14:paraId="10CD1D12" w14:textId="77777777" w:rsidR="006973D1" w:rsidRDefault="006973D1" w:rsidP="006973D1">
      <w:pPr>
        <w:pStyle w:val="Brdtextmedindrag"/>
      </w:pPr>
      <w:r>
        <w:t>Det kan i det sammanhanget konstateras att regeringen nyligen har föreslagit att bestämmelsen om stämpling till brott ska utvidgas till att omfatta den som</w:t>
      </w:r>
      <w:r w:rsidRPr="00B3402A">
        <w:t xml:space="preserve"> kommer överens</w:t>
      </w:r>
      <w:r>
        <w:t xml:space="preserve"> med någon</w:t>
      </w:r>
      <w:r w:rsidRPr="00B3402A">
        <w:t xml:space="preserve"> om att en gärning ska utföras</w:t>
      </w:r>
      <w:r>
        <w:t xml:space="preserve">, se propositionen </w:t>
      </w:r>
      <w:r w:rsidRPr="00E6479C">
        <w:t>Ett utvidgat straffansvar för försök, förberedelse och stämpling till brott</w:t>
      </w:r>
      <w:r>
        <w:t xml:space="preserve"> (prop. 2025/26:49). Avsikten med ändringen är att tydlig</w:t>
      </w:r>
      <w:r>
        <w:softHyphen/>
        <w:t>göra</w:t>
      </w:r>
      <w:r w:rsidRPr="00B3402A">
        <w:t xml:space="preserve"> att det inte är nödvändigt att gärningen före</w:t>
      </w:r>
      <w:r>
        <w:softHyphen/>
      </w:r>
      <w:r w:rsidRPr="00B3402A">
        <w:t xml:space="preserve">gås av ett </w:t>
      </w:r>
      <w:r>
        <w:t xml:space="preserve">uttryckligt </w:t>
      </w:r>
      <w:r w:rsidRPr="00B3402A">
        <w:t>beslut som har fattats vid en viss bestämd tidpunkt</w:t>
      </w:r>
      <w:r>
        <w:t xml:space="preserve"> och att d</w:t>
      </w:r>
      <w:r w:rsidRPr="00B3402A">
        <w:t>et är tillräckligt att per</w:t>
      </w:r>
      <w:r>
        <w:softHyphen/>
      </w:r>
      <w:r w:rsidRPr="00B3402A">
        <w:t xml:space="preserve">sonerna </w:t>
      </w:r>
      <w:r>
        <w:t xml:space="preserve">kommit överens </w:t>
      </w:r>
      <w:r w:rsidRPr="00B3402A">
        <w:t xml:space="preserve">om att </w:t>
      </w:r>
      <w:r>
        <w:t>en gärning ska utföras. Även en utökning av det straffbara området för förberedelse till brott har före</w:t>
      </w:r>
      <w:r>
        <w:softHyphen/>
        <w:t>slagits, bl.a. på så sätt att st</w:t>
      </w:r>
      <w:r w:rsidRPr="00700545">
        <w:t>raffansvaret omfatta</w:t>
      </w:r>
      <w:r>
        <w:t>r</w:t>
      </w:r>
      <w:r w:rsidRPr="00700545">
        <w:t xml:space="preserve"> den som tar befattning med något som, utifrån dess beskaffenhet och omständigheterna i övrigt, är särskilt ägnat att komma till användning som hjälpmedel vid brott eller möjliggöra utförandet av ett brott. </w:t>
      </w:r>
    </w:p>
    <w:p w14:paraId="27E0F66F" w14:textId="77777777" w:rsidR="006973D1" w:rsidRDefault="006973D1" w:rsidP="006973D1">
      <w:pPr>
        <w:pStyle w:val="Rubrik2"/>
      </w:pPr>
      <w:bookmarkStart w:id="62" w:name="_Toc221561247"/>
      <w:bookmarkStart w:id="63" w:name="_Toc224807599"/>
      <w:r>
        <w:lastRenderedPageBreak/>
        <w:t>Straffskalorna för hedersrelaterade brott</w:t>
      </w:r>
      <w:bookmarkEnd w:id="62"/>
      <w:bookmarkEnd w:id="63"/>
    </w:p>
    <w:p w14:paraId="7C5AD151" w14:textId="77777777" w:rsidR="006973D1" w:rsidRPr="00EC2374" w:rsidRDefault="006973D1" w:rsidP="006973D1">
      <w:pPr>
        <w:pStyle w:val="Rubrik3"/>
        <w:spacing w:before="0"/>
      </w:pPr>
      <w:bookmarkStart w:id="64" w:name="_Ref216431748"/>
      <w:bookmarkStart w:id="65" w:name="_Ref216431901"/>
      <w:bookmarkStart w:id="66" w:name="_Ref216432059"/>
      <w:bookmarkStart w:id="67" w:name="_Ref216432094"/>
      <w:bookmarkStart w:id="68" w:name="_Ref216432158"/>
      <w:bookmarkStart w:id="69" w:name="_Ref216432357"/>
      <w:bookmarkStart w:id="70" w:name="_Toc221561248"/>
      <w:bookmarkStart w:id="71" w:name="_Toc224807600"/>
      <w:r>
        <w:t>Straffen för äktenskapstvång och barnäktenskapsbrott skärps</w:t>
      </w:r>
      <w:bookmarkEnd w:id="64"/>
      <w:bookmarkEnd w:id="65"/>
      <w:bookmarkEnd w:id="66"/>
      <w:bookmarkEnd w:id="67"/>
      <w:bookmarkEnd w:id="68"/>
      <w:bookmarkEnd w:id="69"/>
      <w:bookmarkEnd w:id="70"/>
      <w:bookmarkEnd w:id="71"/>
    </w:p>
    <w:p w14:paraId="431D1E31" w14:textId="77777777" w:rsidR="006973D1" w:rsidRDefault="006973D1" w:rsidP="006973D1">
      <w:pPr>
        <w:pStyle w:val="Rubrik4ram"/>
      </w:pPr>
      <w:r>
        <w:t>Regeringens förslag</w:t>
      </w:r>
    </w:p>
    <w:p w14:paraId="4F1C0AC0" w14:textId="77777777" w:rsidR="006973D1" w:rsidRDefault="006973D1" w:rsidP="006973D1">
      <w:pPr>
        <w:pStyle w:val="Brdtextram"/>
      </w:pPr>
      <w:r w:rsidRPr="00CC6DCB">
        <w:rPr>
          <w:spacing w:val="-1"/>
        </w:rPr>
        <w:t>Straffskalorna för äktenskapstvång och barnäktenskapsbrott ska skärpas</w:t>
      </w:r>
      <w:r>
        <w:t xml:space="preserve"> på så sätt att minimistraffet höjs till fängelse i sex månader och maximi</w:t>
      </w:r>
      <w:r>
        <w:softHyphen/>
        <w:t>straffet höjs till fängelse i sex år.</w:t>
      </w:r>
    </w:p>
    <w:p w14:paraId="01D55680" w14:textId="77777777" w:rsidR="006973D1" w:rsidRPr="00867883" w:rsidRDefault="006973D1" w:rsidP="006973D1">
      <w:pPr>
        <w:pStyle w:val="Brdtextmedindragram"/>
      </w:pPr>
      <w:r>
        <w:t xml:space="preserve">Undantaget från kravet på dubbel straffbarhet för grovt olaga tvång varigenom någon förmåtts att ingå ett tvångsäktenskap ska tas bort. </w:t>
      </w:r>
    </w:p>
    <w:p w14:paraId="70640B71" w14:textId="77777777" w:rsidR="006973D1" w:rsidRDefault="006973D1" w:rsidP="006973D1">
      <w:pPr>
        <w:pStyle w:val="Rubrik4efterram"/>
      </w:pPr>
      <w:r>
        <w:t xml:space="preserve">Utredningens </w:t>
      </w:r>
      <w:r w:rsidRPr="009B6F4E">
        <w:t>förslag</w:t>
      </w:r>
      <w:r>
        <w:t xml:space="preserve"> </w:t>
      </w:r>
    </w:p>
    <w:p w14:paraId="4917EEEE" w14:textId="77777777" w:rsidR="006973D1" w:rsidRDefault="006973D1" w:rsidP="006973D1">
      <w:pPr>
        <w:pStyle w:val="Brdtext"/>
      </w:pPr>
      <w:r>
        <w:t xml:space="preserve">Utredningens förslag överensstämmer med regeringens. </w:t>
      </w:r>
    </w:p>
    <w:p w14:paraId="3635FB33" w14:textId="77777777" w:rsidR="006973D1" w:rsidRDefault="006973D1" w:rsidP="006973D1">
      <w:pPr>
        <w:pStyle w:val="Rubrik4efterram"/>
      </w:pPr>
      <w:r>
        <w:t>Remissinstanserna</w:t>
      </w:r>
    </w:p>
    <w:p w14:paraId="4FF2AC18" w14:textId="77777777" w:rsidR="006973D1" w:rsidRDefault="006973D1" w:rsidP="006973D1">
      <w:pPr>
        <w:pStyle w:val="Brdtext"/>
      </w:pPr>
      <w:r>
        <w:t xml:space="preserve">De flesta av remissinstanserna tillstyrker eller har ingen invändning mot förslaget. Bland dem finns </w:t>
      </w:r>
      <w:bookmarkStart w:id="72" w:name="_Hlk210765717"/>
      <w:r w:rsidRPr="00A4724C">
        <w:rPr>
          <w:i/>
          <w:iCs/>
        </w:rPr>
        <w:t>Brottsförebyggande rådet</w:t>
      </w:r>
      <w:r>
        <w:t xml:space="preserve">, </w:t>
      </w:r>
      <w:r w:rsidRPr="00A4724C">
        <w:rPr>
          <w:i/>
          <w:iCs/>
        </w:rPr>
        <w:t>Brottsofferjouren</w:t>
      </w:r>
      <w:r>
        <w:t xml:space="preserve">, </w:t>
      </w:r>
      <w:r w:rsidRPr="00A4724C">
        <w:rPr>
          <w:i/>
          <w:iCs/>
        </w:rPr>
        <w:t>Brottsoffermyndigheten</w:t>
      </w:r>
      <w:r w:rsidRPr="000C6A14">
        <w:t>,</w:t>
      </w:r>
      <w:r>
        <w:rPr>
          <w:i/>
          <w:iCs/>
        </w:rPr>
        <w:t xml:space="preserve"> ECPAT</w:t>
      </w:r>
      <w:r w:rsidRPr="000C6A14">
        <w:t>,</w:t>
      </w:r>
      <w:r>
        <w:rPr>
          <w:i/>
          <w:iCs/>
        </w:rPr>
        <w:t xml:space="preserve"> Myndigheten för familjerätt och för</w:t>
      </w:r>
      <w:r>
        <w:rPr>
          <w:i/>
          <w:iCs/>
        </w:rPr>
        <w:softHyphen/>
        <w:t>äldraskapsstöd</w:t>
      </w:r>
      <w:r w:rsidRPr="000C6A14">
        <w:t>,</w:t>
      </w:r>
      <w:r>
        <w:rPr>
          <w:i/>
          <w:iCs/>
        </w:rPr>
        <w:t xml:space="preserve"> Myndigheten för stöd till trossamfund</w:t>
      </w:r>
      <w:r w:rsidRPr="000C6A14">
        <w:t>,</w:t>
      </w:r>
      <w:r>
        <w:rPr>
          <w:i/>
          <w:iCs/>
        </w:rPr>
        <w:t xml:space="preserve"> Polis</w:t>
      </w:r>
      <w:r>
        <w:rPr>
          <w:i/>
          <w:iCs/>
        </w:rPr>
        <w:softHyphen/>
        <w:t>myndig</w:t>
      </w:r>
      <w:r>
        <w:rPr>
          <w:i/>
          <w:iCs/>
        </w:rPr>
        <w:softHyphen/>
        <w:t>heten</w:t>
      </w:r>
      <w:r w:rsidRPr="000C6A14">
        <w:t>,</w:t>
      </w:r>
      <w:r>
        <w:rPr>
          <w:i/>
          <w:iCs/>
        </w:rPr>
        <w:t xml:space="preserve"> Riksorganisationen GAPF – Glöm aldrig Pela och Fadime</w:t>
      </w:r>
      <w:r w:rsidRPr="000C6A14">
        <w:t>,</w:t>
      </w:r>
      <w:r>
        <w:rPr>
          <w:i/>
          <w:iCs/>
        </w:rPr>
        <w:t xml:space="preserve"> Terra</w:t>
      </w:r>
      <w:r>
        <w:rPr>
          <w:i/>
          <w:iCs/>
        </w:rPr>
        <w:softHyphen/>
        <w:t xml:space="preserve">fem </w:t>
      </w:r>
      <w:r w:rsidRPr="007349C2">
        <w:t xml:space="preserve">– </w:t>
      </w:r>
      <w:r w:rsidRPr="002D3030">
        <w:rPr>
          <w:i/>
        </w:rPr>
        <w:t>nätverk för kvinnors rätt mot mäns våld</w:t>
      </w:r>
      <w:r w:rsidRPr="000C6A14">
        <w:t>,</w:t>
      </w:r>
      <w:r>
        <w:rPr>
          <w:i/>
          <w:iCs/>
        </w:rPr>
        <w:t xml:space="preserve"> Sveriges advokat</w:t>
      </w:r>
      <w:r>
        <w:rPr>
          <w:i/>
          <w:iCs/>
        </w:rPr>
        <w:softHyphen/>
        <w:t>samfund</w:t>
      </w:r>
      <w:r w:rsidRPr="000C6A14">
        <w:t>,</w:t>
      </w:r>
      <w:r>
        <w:rPr>
          <w:i/>
          <w:iCs/>
        </w:rPr>
        <w:t xml:space="preserve"> Sveriges interreligiösa råd</w:t>
      </w:r>
      <w:r w:rsidRPr="000C6A14">
        <w:t>,</w:t>
      </w:r>
      <w:r>
        <w:rPr>
          <w:i/>
          <w:iCs/>
        </w:rPr>
        <w:t xml:space="preserve"> Svenska kyrkan </w:t>
      </w:r>
      <w:r w:rsidRPr="00486C01">
        <w:t>och</w:t>
      </w:r>
      <w:r>
        <w:rPr>
          <w:i/>
          <w:iCs/>
        </w:rPr>
        <w:t xml:space="preserve"> Åklagarmyndig</w:t>
      </w:r>
      <w:r>
        <w:rPr>
          <w:i/>
          <w:iCs/>
        </w:rPr>
        <w:softHyphen/>
        <w:t xml:space="preserve">heten. </w:t>
      </w:r>
    </w:p>
    <w:bookmarkEnd w:id="72"/>
    <w:p w14:paraId="2BC0E305" w14:textId="77777777" w:rsidR="006973D1" w:rsidRDefault="006973D1" w:rsidP="006973D1">
      <w:pPr>
        <w:pStyle w:val="Brdtextmedindrag"/>
      </w:pPr>
      <w:r>
        <w:rPr>
          <w:i/>
          <w:iCs/>
        </w:rPr>
        <w:t xml:space="preserve">Barnombudsmannen </w:t>
      </w:r>
      <w:r>
        <w:t xml:space="preserve">tillstyrker förslaget om skärpning av straffskalan för äktenskapstvång, men anser att straffskalan för brotten som riktar sig mot barn bör vara högre jämfört med brott som riktar sig mot vuxna. Även </w:t>
      </w:r>
      <w:r>
        <w:rPr>
          <w:i/>
          <w:iCs/>
        </w:rPr>
        <w:t xml:space="preserve">Varken hora eller kuvad </w:t>
      </w:r>
      <w:r>
        <w:t>anser att det av straff</w:t>
      </w:r>
      <w:r>
        <w:softHyphen/>
        <w:t xml:space="preserve">skalorna ska framgå att samhället ser särskilt allvarligt på brott som begås mot barn. </w:t>
      </w:r>
    </w:p>
    <w:p w14:paraId="21D2098A" w14:textId="77777777" w:rsidR="006973D1" w:rsidRDefault="006973D1" w:rsidP="006973D1">
      <w:pPr>
        <w:pStyle w:val="Brdtextmedindrag"/>
      </w:pPr>
      <w:r>
        <w:rPr>
          <w:i/>
          <w:iCs/>
        </w:rPr>
        <w:t xml:space="preserve">Jämställdhetsmyndigheten </w:t>
      </w:r>
      <w:r>
        <w:t>tillstyrker förslaget om att höja straffmaxi</w:t>
      </w:r>
      <w:r>
        <w:softHyphen/>
        <w:t>mum för äktenskapstvång och barnäktenskapsbrott men anser att straff</w:t>
      </w:r>
      <w:r>
        <w:softHyphen/>
        <w:t xml:space="preserve">minimum bör uppgå till minst ett års fängelse eftersom det skulle utöka möjligheterna att tillämpa den sekretessbrytande bestämmelsen i 10 kap. 23 § offentlighets- och sekretesslagen (2009:400, förkortad OSL). </w:t>
      </w:r>
      <w:r w:rsidRPr="00A52234">
        <w:t>Barn</w:t>
      </w:r>
      <w:r>
        <w:softHyphen/>
      </w:r>
      <w:r w:rsidRPr="00A52234">
        <w:t>om</w:t>
      </w:r>
      <w:r>
        <w:softHyphen/>
      </w:r>
      <w:r w:rsidRPr="00A52234">
        <w:t>buds</w:t>
      </w:r>
      <w:r>
        <w:softHyphen/>
      </w:r>
      <w:r w:rsidRPr="00A52234">
        <w:t>mannen</w:t>
      </w:r>
      <w:r>
        <w:t xml:space="preserve"> framför liknande synpunkter avseende straffskalan för barn</w:t>
      </w:r>
      <w:r>
        <w:softHyphen/>
        <w:t>äkten</w:t>
      </w:r>
      <w:r>
        <w:softHyphen/>
        <w:t>skapsbrott och socialtjänstens möjlighet att tillämpa den sekretess</w:t>
      </w:r>
      <w:r>
        <w:softHyphen/>
        <w:t xml:space="preserve">brytande bestämmelsen i 10 kap. 18 c § OSL. </w:t>
      </w:r>
    </w:p>
    <w:p w14:paraId="11C4BAFE" w14:textId="77777777" w:rsidR="006973D1" w:rsidRDefault="006973D1" w:rsidP="006973D1">
      <w:pPr>
        <w:pStyle w:val="Brdtextmedindrag"/>
      </w:pPr>
      <w:r>
        <w:rPr>
          <w:i/>
          <w:iCs/>
        </w:rPr>
        <w:t xml:space="preserve">Riksorganisationen för kvinnojourer och tjejjourer i Sverige </w:t>
      </w:r>
      <w:r>
        <w:t>är kritisk till förslaget om straffskärpning och anser att det saknas stöd för att det verkar avskräckande</w:t>
      </w:r>
      <w:r w:rsidDel="009529AE">
        <w:t>.</w:t>
      </w:r>
      <w:r>
        <w:t xml:space="preserve"> </w:t>
      </w:r>
    </w:p>
    <w:p w14:paraId="43465D2B" w14:textId="77777777" w:rsidR="006973D1" w:rsidRDefault="006973D1" w:rsidP="006973D1">
      <w:pPr>
        <w:pStyle w:val="Rubrik4efterram"/>
      </w:pPr>
      <w:r>
        <w:t>Skälen för regeringens förslag</w:t>
      </w:r>
    </w:p>
    <w:p w14:paraId="7D710B9D" w14:textId="77777777" w:rsidR="006973D1" w:rsidRDefault="006973D1" w:rsidP="006973D1">
      <w:pPr>
        <w:pStyle w:val="Rubrik5utannumrering"/>
        <w:spacing w:before="0"/>
      </w:pPr>
      <w:r>
        <w:t>Brottslighetens allvar motiverar en skärpning av straffskalorna</w:t>
      </w:r>
    </w:p>
    <w:p w14:paraId="74D793CC" w14:textId="77777777" w:rsidR="006973D1" w:rsidRDefault="006973D1" w:rsidP="006973D1">
      <w:pPr>
        <w:pStyle w:val="Brdtext"/>
      </w:pPr>
      <w:r>
        <w:t>Straffskalorna för brotten äktenskapstvång och barnäktenskapsbrott är fängelse i högst fyra år (se 4 kap. 4 c § brottsbalken). När barnäkten</w:t>
      </w:r>
      <w:r>
        <w:softHyphen/>
        <w:t>skaps</w:t>
      </w:r>
      <w:r>
        <w:softHyphen/>
        <w:t xml:space="preserve">brottet infördes 2021 anförde regeringen bl.a. att brottets straffskala bör återspegla att det ofta handlar om gärningsmän som är närstående till barnet och som barnet ska kunna känna tillit till samt att brottet bör ges en </w:t>
      </w:r>
      <w:r>
        <w:lastRenderedPageBreak/>
        <w:t>straffskala som är så vid att den ger möjlighet till en nyanserad straff</w:t>
      </w:r>
      <w:r>
        <w:softHyphen/>
        <w:t>mätning i vilken kan beaktas de vitt skilda omständigheter som kan föreligga (se prop. 2019/20:131 s. 48). Samtidigt övervägdes om straff</w:t>
      </w:r>
      <w:r>
        <w:softHyphen/>
        <w:t>skalan för äktenskapstvång borde höjas. Regeringen konstaterade då att tillämpningsområdet för bestämmelsen om äktenskapstvång är relativt vidsträckt och att straffskalan därför också fortsättningsvis måste vara sådan att den ger utrymme för en adekvat straffmätning såväl i de allvar</w:t>
      </w:r>
      <w:r>
        <w:softHyphen/>
        <w:t>liga fallen som i de mindre allvarliga fallen. I beaktande togs också att de allvarligaste fallen av äktenskapstvång i stället kunde komma att bestraffas som grovt olaga tvång eller människohandel</w:t>
      </w:r>
      <w:r w:rsidDel="00715BDC">
        <w:t xml:space="preserve">. </w:t>
      </w:r>
      <w:r>
        <w:t>(Se prop. 2019/20:131 s. 54.)</w:t>
      </w:r>
    </w:p>
    <w:p w14:paraId="0D4DEC6D" w14:textId="77777777" w:rsidR="006973D1" w:rsidRDefault="006973D1" w:rsidP="006973D1">
      <w:pPr>
        <w:pStyle w:val="Brdtextmedindrag"/>
      </w:pPr>
      <w:r>
        <w:t>Äktenskapstvång och barnäktenskapsbrott innebär allvarliga kränk</w:t>
      </w:r>
      <w:r>
        <w:softHyphen/>
        <w:t xml:space="preserve">ningar av brottsoffrens integritet. Som flera remissinstanser framhåller kan den enskilde drabbas av mycket allvarliga konsekvenser. Att gifta sig och sammanleva med en person mot sin vilja kan medföra stora negativa psykologiska effekter för den drabbade. Förväntningar på att äktenskapet ska leda till sexuellt samliv och barn innebär också en stor risk för sexuella övergrepp. Enligt bl.a. Jämställdhetsmyndighetens rapport Ett liv präglat av våld (2025:2), förekommer barnäktenskap och tvångsäktenskap </w:t>
      </w:r>
      <w:r w:rsidRPr="00F12859">
        <w:t>oftast i sammanhang där våld i olika former är vanligt förekommande</w:t>
      </w:r>
      <w:r>
        <w:t xml:space="preserve"> och våldsut</w:t>
      </w:r>
      <w:r>
        <w:softHyphen/>
        <w:t xml:space="preserve">sattheten fortsätter </w:t>
      </w:r>
      <w:r w:rsidRPr="00417A10">
        <w:t>ofta inom äktenskapet.</w:t>
      </w:r>
      <w:r>
        <w:t xml:space="preserve"> Svårigheter att beviljas skils</w:t>
      </w:r>
      <w:r>
        <w:softHyphen/>
        <w:t xml:space="preserve">mässa och stigmatisering av frånskilda kvinnor inom den egna gruppen kan enligt rapporten försvåra situationen ytterligare. Regeringen anser att det finns anledning att fästa större avseende vid de långtgående följderna som barnäktenskapsbrott och äktenskapstvång kan medföra än vad som har gjorts hittills. En skärpning av straffskalorna för brotten skulle tydligare svara mot brottslighetens allvar. </w:t>
      </w:r>
    </w:p>
    <w:p w14:paraId="0173DA0F" w14:textId="77777777" w:rsidR="006973D1" w:rsidRPr="00E77B81" w:rsidRDefault="006973D1" w:rsidP="006973D1">
      <w:pPr>
        <w:pStyle w:val="Brdtextmedindrag"/>
      </w:pPr>
      <w:r w:rsidRPr="005776E1">
        <w:t xml:space="preserve">Enligt </w:t>
      </w:r>
      <w:r>
        <w:rPr>
          <w:i/>
          <w:iCs/>
        </w:rPr>
        <w:t xml:space="preserve">Riksorganisationen för kvinnojourer och tjejjourer i Sverige </w:t>
      </w:r>
      <w:r>
        <w:t>saknas det stöd för att en skärpning av straffskalan kan verka avskräckande eller leda till att högre straff döms ut. Enligt organisationen finns det samtidigt risk för att kvinnor och flickor kommer att utnyttjas i än större omfattning om straffen skärps. Regeringen bedömer dock att skärpta straffskalor kan bidra till att stärka det straffrättsliga skyddet för de personer som riskerar att utsättas för äktenskapstvång och barnäktenskaps</w:t>
      </w:r>
      <w:r>
        <w:softHyphen/>
        <w:t>brott. I de fall det är motiverat skapar en höjning av maximistraffet utrymme för en mer nyanserad straffmätning. Genom att införa ett minimi</w:t>
      </w:r>
      <w:r>
        <w:softHyphen/>
        <w:t>straff över allmänna fängelseminimum kan det också åstadkommas en generell höjning av straffnivån för gärningar som är att bedöma som äktenskaps</w:t>
      </w:r>
      <w:r>
        <w:softHyphen/>
        <w:t>tvång och barnäktenskapsbrott. En straffskärp</w:t>
      </w:r>
      <w:r>
        <w:softHyphen/>
        <w:t xml:space="preserve">ning markerar också samhällets skärpta syn på brotten, som bl.a. </w:t>
      </w:r>
      <w:r>
        <w:rPr>
          <w:i/>
          <w:iCs/>
        </w:rPr>
        <w:t>Sveriges advokat</w:t>
      </w:r>
      <w:r>
        <w:rPr>
          <w:i/>
          <w:iCs/>
        </w:rPr>
        <w:softHyphen/>
        <w:t xml:space="preserve">samfund </w:t>
      </w:r>
      <w:r>
        <w:t xml:space="preserve">påpekar. </w:t>
      </w:r>
    </w:p>
    <w:p w14:paraId="5481175D" w14:textId="77777777" w:rsidR="006973D1" w:rsidRDefault="006973D1" w:rsidP="006973D1">
      <w:pPr>
        <w:pStyle w:val="Brdtextmedindrag"/>
      </w:pPr>
      <w:r>
        <w:rPr>
          <w:i/>
          <w:iCs/>
        </w:rPr>
        <w:t>Stockholms universitet</w:t>
      </w:r>
      <w:r>
        <w:t xml:space="preserve"> anser att det är nödvändigt med en överordnad och samlad översyn av straffskalorna. En översyn av straffskalorna görs i lagrådsremissen Dubbla straff för brott i kriminella nätverk och skärpta straffskalor som beslutades den 15 januari 2026. I den lagrådsremissen </w:t>
      </w:r>
      <w:r w:rsidRPr="00B222E6">
        <w:t>lämnar</w:t>
      </w:r>
      <w:r>
        <w:t xml:space="preserve"> regeringen flera förslag som syftar till att åstadkomma</w:t>
      </w:r>
      <w:r w:rsidRPr="00D03D47">
        <w:t xml:space="preserve"> </w:t>
      </w:r>
      <w:r>
        <w:t xml:space="preserve">ett </w:t>
      </w:r>
      <w:r w:rsidRPr="00D03D47">
        <w:t xml:space="preserve">mer rättvist </w:t>
      </w:r>
      <w:r>
        <w:t>straff</w:t>
      </w:r>
      <w:r w:rsidRPr="00D03D47">
        <w:t xml:space="preserve">system där </w:t>
      </w:r>
      <w:r>
        <w:t>straffen på ett bättre sätt återspeglar brottslig</w:t>
      </w:r>
      <w:r>
        <w:softHyphen/>
        <w:t xml:space="preserve">hetens allvar, </w:t>
      </w:r>
      <w:r w:rsidRPr="00D03D47">
        <w:t>brottsoffer</w:t>
      </w:r>
      <w:r>
        <w:softHyphen/>
      </w:r>
      <w:r w:rsidRPr="00D03D47">
        <w:t xml:space="preserve">perspektivet ges </w:t>
      </w:r>
      <w:r>
        <w:t xml:space="preserve">ett </w:t>
      </w:r>
      <w:r w:rsidRPr="00D03D47">
        <w:t>ökat infly</w:t>
      </w:r>
      <w:r>
        <w:softHyphen/>
      </w:r>
      <w:r w:rsidRPr="00D03D47">
        <w:t>tande och samhälls</w:t>
      </w:r>
      <w:r>
        <w:softHyphen/>
      </w:r>
      <w:r w:rsidRPr="00D03D47">
        <w:t>skyddet förbättras</w:t>
      </w:r>
      <w:r>
        <w:t xml:space="preserve">. Som närmare redogörs för nedan anser regeringen att de förslag om straffskärpningar som lämnas i det följande, med beaktande av de förslag som också lämnas i nämnda lagrådsremiss, passar väl in i fråga om proportionalitet och ekvivalens.  </w:t>
      </w:r>
    </w:p>
    <w:p w14:paraId="776A212D" w14:textId="77777777" w:rsidR="006973D1" w:rsidRPr="003F0804" w:rsidRDefault="006973D1" w:rsidP="006973D1">
      <w:pPr>
        <w:pStyle w:val="Rubrik5utannumrering"/>
      </w:pPr>
      <w:r>
        <w:lastRenderedPageBreak/>
        <w:t>Straffminimum för äktenskapstvång ska bestämmas till fängelse i sex månader och straffmaximum till fängelse i sex år</w:t>
      </w:r>
    </w:p>
    <w:p w14:paraId="3D87B136" w14:textId="77777777" w:rsidR="006973D1" w:rsidRDefault="006973D1" w:rsidP="006973D1">
      <w:pPr>
        <w:pStyle w:val="Brdtext"/>
        <w:rPr>
          <w:i/>
          <w:iCs/>
        </w:rPr>
      </w:pPr>
      <w:r>
        <w:t>Som redogörs för ovan finns det skäl att se allvarligare på den aktuella typen av brottslighet. Det mest omedelbara sättet att åstadkomma en höjd straffnivå för en brottstyp är i regel att höja minimistraffet. Regeringen anser att det är motiverat med en sådan höjning för äktenskapstvång.</w:t>
      </w:r>
      <w:r w:rsidDel="00605E71">
        <w:rPr>
          <w:i/>
          <w:iCs/>
        </w:rPr>
        <w:t xml:space="preserve"> </w:t>
      </w:r>
    </w:p>
    <w:p w14:paraId="19A633D2" w14:textId="77777777" w:rsidR="006973D1" w:rsidRDefault="006973D1" w:rsidP="006973D1">
      <w:pPr>
        <w:pStyle w:val="Brdtextmedindrag"/>
      </w:pPr>
      <w:r>
        <w:rPr>
          <w:i/>
          <w:iCs/>
        </w:rPr>
        <w:t>Jämställdhetsmyndigheten</w:t>
      </w:r>
      <w:r>
        <w:t xml:space="preserve"> anser att minimistraffet bör bestämmas till ett års fängelse och lyfter att sekretessbrytande bestämmelser i så fall blir tillämpliga i större utsträckning, särskilt i förhållande till brott på förstadiet</w:t>
      </w:r>
      <w:r w:rsidRPr="00F80B8D">
        <w:t>.</w:t>
      </w:r>
      <w:r>
        <w:t xml:space="preserve"> Brottets straffskala bör dock bestämmas utifrån brottets allvar och inte utifrån vilka sekretessbrytande bestämmelser som kan bli tillämpliga. Det finns dock anledning att betona vikten av att myndigheter har tillgång till uppgifter</w:t>
      </w:r>
      <w:r w:rsidRPr="00C96434">
        <w:t xml:space="preserve"> som är korrekta, aktuella och relevanta</w:t>
      </w:r>
      <w:r>
        <w:t>. Uppgifter som finns hos en myndighet kan vara avgörande för att en annan myndighet ska kunna fullgöra sitt uppdrag. Regeringen arbetar därför aktivt med att myndigheterna får förbättrade möjligheter att utbyta information och har nyligen genomfört flera reformer på området. Exempelvis trädde lagen (2025:170) om skyldighet att lämna uppgifter till de brottsbekämpande myndigheterna i kraft den 1 april 2025. Lagen ger ett antal statliga myndigheter samt</w:t>
      </w:r>
      <w:r w:rsidRPr="0071334D" w:rsidDel="009467AF">
        <w:t xml:space="preserve"> </w:t>
      </w:r>
      <w:r w:rsidRPr="0071334D">
        <w:t xml:space="preserve">kommuner, regioner och skolor </w:t>
      </w:r>
      <w:r>
        <w:t xml:space="preserve">en skyldighet att både på begäran och på eget initiativ lämna uppgifter till både Polismyndigheten och övriga brottsbekämpande myndigheter. </w:t>
      </w:r>
      <w:r w:rsidRPr="00DD58BE">
        <w:t>Därut</w:t>
      </w:r>
      <w:r>
        <w:softHyphen/>
      </w:r>
      <w:r w:rsidRPr="00DD58BE">
        <w:t xml:space="preserve">över </w:t>
      </w:r>
      <w:r>
        <w:t xml:space="preserve">trädde </w:t>
      </w:r>
      <w:r w:rsidRPr="00DD58BE">
        <w:t>en ny generell sekretessbrytande bestämmelse i 10</w:t>
      </w:r>
      <w:r>
        <w:t> </w:t>
      </w:r>
      <w:r w:rsidRPr="00DD58BE">
        <w:t>kap. 15</w:t>
      </w:r>
      <w:r>
        <w:t> </w:t>
      </w:r>
      <w:r w:rsidRPr="00DD58BE">
        <w:t>a</w:t>
      </w:r>
      <w:r>
        <w:t> §</w:t>
      </w:r>
      <w:r w:rsidRPr="00DD58BE">
        <w:t xml:space="preserve"> OSL</w:t>
      </w:r>
      <w:r>
        <w:t xml:space="preserve"> i kraft den 1 december 2025</w:t>
      </w:r>
      <w:r w:rsidRPr="00DD58BE">
        <w:t>.</w:t>
      </w:r>
      <w:r>
        <w:t xml:space="preserve"> Bestämmelsen innebär, såvitt nu är aktuellt, att sekretess i många fall inte hindrar att en uppgift lämnas till en annan myndighet, om det behövs för att förebygga, förhindra eller upptäcka brottslig verksamhet eller för att utreda brott. Genom införandet av bestämmelsen har bl.a. socialtjänsten fått utökade möjligheter att dela uppgifter med brottsbekämpande myndigheter (se prop. 2024/25:180). </w:t>
      </w:r>
    </w:p>
    <w:p w14:paraId="181EB28B" w14:textId="2D98F30A" w:rsidR="006973D1" w:rsidRDefault="006973D1" w:rsidP="006973D1">
      <w:pPr>
        <w:pStyle w:val="Brdtextmedindrag"/>
      </w:pPr>
      <w:r>
        <w:t xml:space="preserve">En straffskala ska i princip kunna inrymma </w:t>
      </w:r>
      <w:r w:rsidRPr="00842EB9">
        <w:t xml:space="preserve">alla tänkbara gärningstyper som faller </w:t>
      </w:r>
      <w:r w:rsidRPr="00F65518">
        <w:t>inom</w:t>
      </w:r>
      <w:r w:rsidRPr="00842EB9">
        <w:t xml:space="preserve"> det aktuella tillämpningsområdet </w:t>
      </w:r>
      <w:r>
        <w:t>för straffbestämmelsen</w:t>
      </w:r>
      <w:r w:rsidRPr="00842EB9">
        <w:t xml:space="preserve">. </w:t>
      </w:r>
      <w:r>
        <w:t xml:space="preserve">Bestämmelsen om äktenskapstvång inbegriper en mycket vid krets av gärningar av varierande allvarlighetsgrad. Regeringen föreslår även i avsnitt </w:t>
      </w:r>
      <w:r w:rsidR="00EB5551">
        <w:t xml:space="preserve">5.1 </w:t>
      </w:r>
      <w:r>
        <w:t>att det straffbara området ska utvidgas ytterligare. Detta måste tas i beaktande när nivån på minimistraffet bestäms. Regeringen bedömer, i likhet med utredningen och flertalet remissinstanser, att en höjning av minimistraffet till sex månaders fängelse framstår som väl avvägd, även i relation till övriga brott mot frihet och frid och med hänsyn tagen till de förslag som lämnas i lagrådsremissen Dubbla straff för brott i kriminella nätverk och skärpta straffskalor. Genom höjningen av brottets abstrakta straffvärde markeras allvaret i den aktuella typen av gärningar. En sådan höjning medför också att brottet placeras på samma nivå som minimi</w:t>
      </w:r>
      <w:r>
        <w:softHyphen/>
        <w:t>straffet för människohandel, mindre grovt brott (4 kap. 1 a § tredje stycket brottsbalken) och utnyttjande av barn genom köp av sexuell handling (6 kap. 9 § brottsbalken) samt på en nivå sex månader under minimistraffet för grovt olaga tvång (4 kap. 4 § andra stycket brottsbalken) vilket fram</w:t>
      </w:r>
      <w:r>
        <w:softHyphen/>
        <w:t xml:space="preserve">står som rimligt utifrån proportionalitets- och ekvivalenssynpunkt.  </w:t>
      </w:r>
    </w:p>
    <w:p w14:paraId="6CB43B43" w14:textId="77777777" w:rsidR="006973D1" w:rsidRPr="00F457C8" w:rsidRDefault="006973D1" w:rsidP="006973D1">
      <w:pPr>
        <w:pStyle w:val="Brdtextmedindrag"/>
      </w:pPr>
      <w:r>
        <w:t xml:space="preserve">De allvarligaste gärningarna som innefattar tvång kan i dag bedömas som grovt olaga tvång, som har en straffskala som sträcker sig till fängelse i sex år. Det finns dock olika former av brottsliga påtryckningar som </w:t>
      </w:r>
      <w:r>
        <w:lastRenderedPageBreak/>
        <w:t>används för att förmå någon att ingå ett äktenskap eller en äktenskaps</w:t>
      </w:r>
      <w:r>
        <w:softHyphen/>
        <w:t>liknande förbindelse, utan att det för den delen är fråga om straffbart tvång. Omständigheterna kan trots det vara mycket allvarliga och konse</w:t>
      </w:r>
      <w:r>
        <w:softHyphen/>
        <w:t>kvenserna av att tvingas in i äktenskapet lika stora som när straffbart tvång har använts. Det finns därför anledning att höja även maximistraffet för brottet och</w:t>
      </w:r>
      <w:r w:rsidDel="006A7AC3">
        <w:t xml:space="preserve"> </w:t>
      </w:r>
      <w:r>
        <w:t xml:space="preserve">fängelse i högst sex år framstår som väl avvägt. På så sätt åstadkoms en generell höjning av straffnivån och mer utrymme ges för en nyanserad straffmätning. Som bl.a. </w:t>
      </w:r>
      <w:r>
        <w:rPr>
          <w:i/>
          <w:iCs/>
        </w:rPr>
        <w:t xml:space="preserve">Jämställdhetsmyndigheten </w:t>
      </w:r>
      <w:r>
        <w:t>påpekar tydliggörs då brottslighetens allvar genom att brottet kommer att ha en högre straffskala än olaga tvång. Det innebär också att grovt olaga tvång inte längre tillämpas på de allvarligaste fallen av äktenskapstvång som innefattar tvång. Det framstår enligt regeringens bedömning som ända</w:t>
      </w:r>
      <w:r>
        <w:softHyphen/>
        <w:t>målsenligt att bestraffa samtliga äktenskaptvång enligt samma bestäm</w:t>
      </w:r>
      <w:r>
        <w:softHyphen/>
        <w:t xml:space="preserve">melse, oavsett vilket otillbörligt medel som används.  </w:t>
      </w:r>
    </w:p>
    <w:p w14:paraId="59525F17" w14:textId="77777777" w:rsidR="006973D1" w:rsidRPr="00A90B10" w:rsidRDefault="006973D1" w:rsidP="006973D1">
      <w:pPr>
        <w:pStyle w:val="Rubrik5efterram"/>
      </w:pPr>
      <w:r>
        <w:t>Straffskalan för barnäktenskapsbrott ska vara densamma som för äktenskapstvång</w:t>
      </w:r>
    </w:p>
    <w:p w14:paraId="4816E8F8" w14:textId="77777777" w:rsidR="006973D1" w:rsidRDefault="006973D1" w:rsidP="006973D1">
      <w:pPr>
        <w:pStyle w:val="Brdtext"/>
      </w:pPr>
      <w:r>
        <w:t>Regeringen anser att motsvarande överväganden som i fråga om äkten</w:t>
      </w:r>
      <w:r>
        <w:softHyphen/>
        <w:t xml:space="preserve">skapstvång gör sig gällande i fråga om behovet av straffskärpning för barnäktenskapsbrott. Det är, som flera remissinstanser påpekar, fråga om allvarliga brott med ofta stora konsekvenser för såväl barn som vuxna. Straffskalan måste spegla brottslighetens allvar. Både straffminimum och straffmaximum bör därmed höjas för att tydligare markera brottets allvar och möjliggöra en nyanserad straffmätning. </w:t>
      </w:r>
    </w:p>
    <w:p w14:paraId="31F45659" w14:textId="77777777" w:rsidR="006973D1" w:rsidRDefault="006973D1" w:rsidP="006973D1">
      <w:pPr>
        <w:pStyle w:val="Brdtextmedindrag"/>
      </w:pPr>
      <w:r>
        <w:rPr>
          <w:i/>
          <w:iCs/>
        </w:rPr>
        <w:t>Barnombudsmannen</w:t>
      </w:r>
      <w:r>
        <w:t xml:space="preserve"> anser att straffskalan för barnäktenskapsbrott bör vara högre än för brott som riktar sig mot vuxna. Organisationen </w:t>
      </w:r>
      <w:r>
        <w:rPr>
          <w:i/>
          <w:iCs/>
        </w:rPr>
        <w:t>Varken hora eller kuvad</w:t>
      </w:r>
      <w:r>
        <w:t xml:space="preserve"> framför liknande synpunkter. Barn och unga är särskilt utsatta i frågor som rör äktenskap mot den egna viljan. Myndighetsåldern är dock inte avgörande för att unga vuxna i en hederskontext ska kunna hävda sin vilja och sina rättigheter gentemot familjen. Den som har fyllt 18 år kan vara lika utsatt och drabbas lika illa som den som är yngre. Det särskilda barnäktenskapsbrottet har också ett vidare tillämpningsområde och träffar därmed fler fall än de som träffas av bestämmelsen om äkten</w:t>
      </w:r>
      <w:r>
        <w:softHyphen/>
        <w:t>skapstvång. På motsvarande sätt som i fråga om straffskalan för äkten</w:t>
      </w:r>
      <w:r>
        <w:softHyphen/>
        <w:t>skapstvång bör straffskalan inte utformas utifrån vilka sekretess</w:t>
      </w:r>
      <w:r>
        <w:softHyphen/>
        <w:t>brytande bestämmelser som kan bli tillämpliga. Straffskalan för barn</w:t>
      </w:r>
      <w:r>
        <w:softHyphen/>
        <w:t>äktenskaps</w:t>
      </w:r>
      <w:r>
        <w:softHyphen/>
        <w:t>brott bör därmed fortsatt vara densamma som straffskalan för äkten</w:t>
      </w:r>
      <w:r>
        <w:softHyphen/>
        <w:t>skaps</w:t>
      </w:r>
      <w:r>
        <w:softHyphen/>
        <w:t xml:space="preserve">tvång. </w:t>
      </w:r>
    </w:p>
    <w:p w14:paraId="05A16F86" w14:textId="77777777" w:rsidR="006973D1" w:rsidRDefault="006973D1" w:rsidP="006973D1">
      <w:pPr>
        <w:pStyle w:val="Rubrik5utannumrering"/>
      </w:pPr>
      <w:r>
        <w:t xml:space="preserve">Undantaget </w:t>
      </w:r>
      <w:r w:rsidRPr="00E67DC4">
        <w:t>från</w:t>
      </w:r>
      <w:r>
        <w:t xml:space="preserve"> kravet på dubbel straffbarhet ska tas bort </w:t>
      </w:r>
    </w:p>
    <w:p w14:paraId="1D401D55" w14:textId="77777777" w:rsidR="006973D1" w:rsidRPr="005B73A9" w:rsidRDefault="006973D1" w:rsidP="006973D1">
      <w:pPr>
        <w:pStyle w:val="Brdtext"/>
      </w:pPr>
      <w:r>
        <w:t>Brotten äktenskapstvång och barnäktenskapsbrott omfattas av undantag från kravet på dubbel straffbarhet (se 2 kap. 5 § andra stycket punkt 4 a brottsbalken). Det innebär att svensk domstol är behörig att döma över ett sådant brott som begåtts utanför Sverige även om gärningen inte är straffbar enligt lagen på gärningsorten. I samband med att brottet äkten</w:t>
      </w:r>
      <w:r>
        <w:softHyphen/>
        <w:t xml:space="preserve">skapstvång infördes och samtidigt undantogs från kravet på dubbel straffbarhet gjordes bedömningen att skälen för att undanta brottet från kravet på dubbel straffbarhet gjorde sig gällande även i fråga om sådana fall av grovt olaga tvång som hade varit att bedöma som äktenskapstvång om de hade varit mindre allvarliga (se prop. </w:t>
      </w:r>
      <w:r w:rsidRPr="001F04AD">
        <w:t>2013/14:208</w:t>
      </w:r>
      <w:r>
        <w:t xml:space="preserve"> s. 75). Ett sådant </w:t>
      </w:r>
      <w:r>
        <w:lastRenderedPageBreak/>
        <w:t>undantag infördes därför. I och med den straffskärpning som regeringen nu föreslår i fråga om äkten</w:t>
      </w:r>
      <w:r>
        <w:softHyphen/>
        <w:t xml:space="preserve">skapstvång och barnäktenskapsbrott kommer det inte längre vara aktuellt att som tidigare, på grund av reglerna om konkurrens, döma för grovt olaga tvång när </w:t>
      </w:r>
      <w:r w:rsidRPr="00104A76">
        <w:t>någon förmå</w:t>
      </w:r>
      <w:r>
        <w:t>s</w:t>
      </w:r>
      <w:r w:rsidRPr="00104A76">
        <w:t xml:space="preserve"> att ingå ett sådant äktenskap eller en sådan äktenskapsliknande förbindelse</w:t>
      </w:r>
      <w:r>
        <w:t xml:space="preserve"> som avses i 4 kap. 4 c § brottsbalken. Undantaget bör därför tas bort. </w:t>
      </w:r>
    </w:p>
    <w:p w14:paraId="3FB1FB74" w14:textId="77777777" w:rsidR="006973D1" w:rsidRPr="00EC2374" w:rsidRDefault="006973D1" w:rsidP="006973D1">
      <w:pPr>
        <w:pStyle w:val="Rubrik3"/>
      </w:pPr>
      <w:bookmarkStart w:id="73" w:name="_Ref216432171"/>
      <w:bookmarkStart w:id="74" w:name="_Ref216432287"/>
      <w:bookmarkStart w:id="75" w:name="_Toc221561249"/>
      <w:bookmarkStart w:id="76" w:name="_Toc224807601"/>
      <w:r>
        <w:t>Straffskalan för äktenskapsresebrott skärps</w:t>
      </w:r>
      <w:bookmarkEnd w:id="73"/>
      <w:bookmarkEnd w:id="74"/>
      <w:bookmarkEnd w:id="75"/>
      <w:bookmarkEnd w:id="76"/>
    </w:p>
    <w:p w14:paraId="2A08661C" w14:textId="77777777" w:rsidR="006973D1" w:rsidRDefault="006973D1" w:rsidP="006973D1">
      <w:pPr>
        <w:pStyle w:val="Rubrik4ram"/>
      </w:pPr>
      <w:r>
        <w:t>Regeringens förslag</w:t>
      </w:r>
    </w:p>
    <w:p w14:paraId="1F421944" w14:textId="77777777" w:rsidR="006973D1" w:rsidRPr="00867883" w:rsidRDefault="006973D1" w:rsidP="006973D1">
      <w:pPr>
        <w:pStyle w:val="Brdtextram"/>
      </w:pPr>
      <w:r>
        <w:t xml:space="preserve">Straffskalan för äktenskapsresebrott ska skärpas på så sätt att det för brottet föreskrivs fängelse i upp till fyra år.   </w:t>
      </w:r>
    </w:p>
    <w:p w14:paraId="45CFF80E" w14:textId="77777777" w:rsidR="006973D1" w:rsidRDefault="006973D1" w:rsidP="006973D1">
      <w:pPr>
        <w:pStyle w:val="Rubrik4efterram"/>
      </w:pPr>
      <w:r>
        <w:t xml:space="preserve">Utredningens förslag </w:t>
      </w:r>
    </w:p>
    <w:p w14:paraId="566C0D52" w14:textId="77777777" w:rsidR="006973D1" w:rsidRDefault="006973D1" w:rsidP="006973D1">
      <w:pPr>
        <w:pStyle w:val="Brdtext"/>
        <w:rPr>
          <w:bCs/>
        </w:rPr>
      </w:pPr>
      <w:r>
        <w:t xml:space="preserve">Utredningens förslag </w:t>
      </w:r>
      <w:r>
        <w:rPr>
          <w:bCs/>
        </w:rPr>
        <w:t xml:space="preserve">överensstämmer med regeringens. </w:t>
      </w:r>
    </w:p>
    <w:p w14:paraId="0A47F3A2" w14:textId="77777777" w:rsidR="006973D1" w:rsidRDefault="006973D1" w:rsidP="006973D1">
      <w:pPr>
        <w:pStyle w:val="Rubrik4efterram"/>
      </w:pPr>
      <w:r>
        <w:t>Remissinstanserna</w:t>
      </w:r>
    </w:p>
    <w:p w14:paraId="055A5676" w14:textId="77777777" w:rsidR="006973D1" w:rsidRDefault="006973D1" w:rsidP="006973D1">
      <w:pPr>
        <w:pStyle w:val="Brdtext"/>
        <w:rPr>
          <w:i/>
          <w:iCs/>
        </w:rPr>
      </w:pPr>
      <w:r>
        <w:t xml:space="preserve">De flesta remissinstanser instämmer i eller har ingen invändning mot förslaget. Bland dem finns </w:t>
      </w:r>
      <w:bookmarkStart w:id="77" w:name="_Hlk210765909"/>
      <w:r>
        <w:rPr>
          <w:i/>
          <w:iCs/>
        </w:rPr>
        <w:t>Barnombudsmannen</w:t>
      </w:r>
      <w:r w:rsidRPr="001907D7">
        <w:t>,</w:t>
      </w:r>
      <w:r>
        <w:rPr>
          <w:i/>
          <w:iCs/>
        </w:rPr>
        <w:t xml:space="preserve"> Brottsförebyggande rådet</w:t>
      </w:r>
      <w:r w:rsidRPr="001907D7">
        <w:t>,</w:t>
      </w:r>
      <w:r>
        <w:rPr>
          <w:i/>
          <w:iCs/>
        </w:rPr>
        <w:t xml:space="preserve"> Brottsofferjouren</w:t>
      </w:r>
      <w:r w:rsidRPr="001907D7">
        <w:t>,</w:t>
      </w:r>
      <w:r>
        <w:rPr>
          <w:i/>
          <w:iCs/>
        </w:rPr>
        <w:t xml:space="preserve"> Brottsoffermyndigheten</w:t>
      </w:r>
      <w:r w:rsidRPr="001907D7">
        <w:t>,</w:t>
      </w:r>
      <w:r>
        <w:rPr>
          <w:i/>
          <w:iCs/>
        </w:rPr>
        <w:t xml:space="preserve"> Myndigheten för familjerätt och föräldraskapsstöd</w:t>
      </w:r>
      <w:r w:rsidRPr="001907D7">
        <w:t>,</w:t>
      </w:r>
      <w:r>
        <w:rPr>
          <w:i/>
          <w:iCs/>
        </w:rPr>
        <w:t xml:space="preserve"> Myndigheten för stöd till trossamfund</w:t>
      </w:r>
      <w:r w:rsidRPr="001907D7">
        <w:t>,</w:t>
      </w:r>
      <w:r>
        <w:rPr>
          <w:i/>
          <w:iCs/>
        </w:rPr>
        <w:t xml:space="preserve"> Polismyndigheten</w:t>
      </w:r>
      <w:r w:rsidRPr="001907D7">
        <w:t>,</w:t>
      </w:r>
      <w:r>
        <w:rPr>
          <w:i/>
          <w:iCs/>
        </w:rPr>
        <w:t xml:space="preserve"> Riksorganisationen GAPF </w:t>
      </w:r>
      <w:r w:rsidRPr="00BA083E">
        <w:rPr>
          <w:i/>
          <w:iCs/>
        </w:rPr>
        <w:t xml:space="preserve">– </w:t>
      </w:r>
      <w:r>
        <w:rPr>
          <w:i/>
          <w:iCs/>
        </w:rPr>
        <w:t>Glöm aldrig Pela och Fadime</w:t>
      </w:r>
      <w:r w:rsidRPr="001907D7">
        <w:t>,</w:t>
      </w:r>
      <w:r>
        <w:rPr>
          <w:i/>
          <w:iCs/>
        </w:rPr>
        <w:t xml:space="preserve"> Sveriges advokatsamfund</w:t>
      </w:r>
      <w:r w:rsidRPr="001907D7">
        <w:t>,</w:t>
      </w:r>
      <w:r>
        <w:rPr>
          <w:i/>
          <w:iCs/>
        </w:rPr>
        <w:t xml:space="preserve"> Sveriges interreligiösa råd</w:t>
      </w:r>
      <w:r w:rsidRPr="001907D7">
        <w:t>,</w:t>
      </w:r>
      <w:r>
        <w:rPr>
          <w:i/>
          <w:iCs/>
        </w:rPr>
        <w:t xml:space="preserve"> Svenska kyrkan</w:t>
      </w:r>
      <w:r w:rsidRPr="001907D7">
        <w:t>,</w:t>
      </w:r>
      <w:r>
        <w:rPr>
          <w:i/>
          <w:iCs/>
        </w:rPr>
        <w:t xml:space="preserve"> Terrafem </w:t>
      </w:r>
      <w:r w:rsidRPr="007349C2">
        <w:t xml:space="preserve">– </w:t>
      </w:r>
      <w:r w:rsidRPr="004F5AD7">
        <w:rPr>
          <w:i/>
          <w:iCs/>
        </w:rPr>
        <w:t>nätverk för kvinnors rätt mot mäns våld</w:t>
      </w:r>
      <w:r w:rsidRPr="004F5AD7">
        <w:t>,</w:t>
      </w:r>
      <w:r>
        <w:rPr>
          <w:i/>
          <w:iCs/>
        </w:rPr>
        <w:t xml:space="preserve"> Varken hora eller kuvad </w:t>
      </w:r>
      <w:r w:rsidRPr="00486C01">
        <w:t>och</w:t>
      </w:r>
      <w:r>
        <w:rPr>
          <w:i/>
          <w:iCs/>
        </w:rPr>
        <w:t xml:space="preserve"> Åklagarmyndigheten</w:t>
      </w:r>
      <w:bookmarkEnd w:id="77"/>
      <w:r>
        <w:rPr>
          <w:i/>
          <w:iCs/>
        </w:rPr>
        <w:t>.</w:t>
      </w:r>
    </w:p>
    <w:p w14:paraId="75B3A0B7" w14:textId="77777777" w:rsidR="006973D1" w:rsidRDefault="006973D1" w:rsidP="006973D1">
      <w:pPr>
        <w:pStyle w:val="Brdtextmedindrag"/>
      </w:pPr>
      <w:r>
        <w:rPr>
          <w:i/>
          <w:iCs/>
        </w:rPr>
        <w:t xml:space="preserve">Jämställdhetsmyndigheten </w:t>
      </w:r>
      <w:r>
        <w:t xml:space="preserve">tillstyrker att maximistraffet höjs men anser att det bör införas ett minimistraff om sex månaders fängelse eftersom den sekretessbrytande bestämmelsen i 10 kap. 23 § OSL då blir tillämplig vid fullbordat brott. </w:t>
      </w:r>
    </w:p>
    <w:p w14:paraId="072980FF" w14:textId="77777777" w:rsidR="006973D1" w:rsidRDefault="006973D1" w:rsidP="006973D1">
      <w:pPr>
        <w:pStyle w:val="Brdtextmedindrag"/>
        <w:rPr>
          <w:i/>
          <w:iCs/>
        </w:rPr>
      </w:pPr>
      <w:r>
        <w:rPr>
          <w:i/>
          <w:iCs/>
        </w:rPr>
        <w:t xml:space="preserve">Riksorganisationen för kvinnojourer och tjejjourer i Sverige </w:t>
      </w:r>
      <w:r>
        <w:t xml:space="preserve">är kritisk till förslaget om straffskärpning och anser att det saknas stöd för att det verkar avskräckande. </w:t>
      </w:r>
    </w:p>
    <w:p w14:paraId="5E467B7F" w14:textId="77777777" w:rsidR="006973D1" w:rsidRDefault="006973D1" w:rsidP="006973D1">
      <w:pPr>
        <w:pStyle w:val="Rubrik4efterram"/>
      </w:pPr>
      <w:r>
        <w:t>Skälen för regeringens förslag</w:t>
      </w:r>
    </w:p>
    <w:p w14:paraId="50FC8E34" w14:textId="419C8FAA" w:rsidR="006973D1" w:rsidRPr="00152F57" w:rsidRDefault="006973D1" w:rsidP="006973D1">
      <w:pPr>
        <w:pStyle w:val="Brdtext"/>
      </w:pPr>
      <w:r>
        <w:t xml:space="preserve">Straffskalan för brottet vilseledande till äktenskapsresa (fortsättningsvis benämnt äktenskapsresebrott, se avsnitt </w:t>
      </w:r>
      <w:r w:rsidR="00EB5551">
        <w:t>5.2.1</w:t>
      </w:r>
      <w:r>
        <w:t>) är i dag fängelse i högst två år. En höjning av straffskalan för brottet var föremål för överväganden i samband med att det särskilda barnäktenskapsbrottet infördes 2021. Regeringen ansåg då att den befintliga straffskalan var väl avvägd och konstaterade att b</w:t>
      </w:r>
      <w:r w:rsidRPr="004D4CFF">
        <w:t>estämmelsen kan sägas kriminalisera handlingar av för</w:t>
      </w:r>
      <w:r>
        <w:softHyphen/>
      </w:r>
      <w:r w:rsidRPr="004D4CFF">
        <w:t>beredande karaktär</w:t>
      </w:r>
      <w:r>
        <w:t xml:space="preserve"> och att s</w:t>
      </w:r>
      <w:r w:rsidRPr="004D4CFF">
        <w:t>traffet</w:t>
      </w:r>
      <w:r>
        <w:t xml:space="preserve"> därför</w:t>
      </w:r>
      <w:r w:rsidRPr="004D4CFF">
        <w:t xml:space="preserve"> är utformat mot bakgrund av de straff som kan dömas ut för förberedelse till brott</w:t>
      </w:r>
      <w:r>
        <w:t xml:space="preserve"> (se prop. 2019/20:131 s. 54)</w:t>
      </w:r>
      <w:r w:rsidRPr="004D4CFF">
        <w:t>.</w:t>
      </w:r>
    </w:p>
    <w:p w14:paraId="03E83D48" w14:textId="03C7D94F" w:rsidR="006973D1" w:rsidRDefault="006973D1" w:rsidP="006973D1">
      <w:pPr>
        <w:pStyle w:val="Brdtextmedindrag"/>
      </w:pPr>
      <w:r>
        <w:t>Det finns anledning att se allvarligare på den typen av brott som nu är aktuell än vad som har gjorts tidigare. Äktenskapstvång och barnäkten</w:t>
      </w:r>
      <w:r>
        <w:softHyphen/>
        <w:t xml:space="preserve">skapsbrott innebär allvarliga kränkningar av brottsoffrens integritet och kan leda till mycket allvarliga konsekvenser för den enskilde. I </w:t>
      </w:r>
      <w:r>
        <w:lastRenderedPageBreak/>
        <w:t>avsnitt </w:t>
      </w:r>
      <w:r w:rsidR="00EB5551">
        <w:t>5.3.1</w:t>
      </w:r>
      <w:r>
        <w:t xml:space="preserve"> föreslår regeringen mot den bakgrunden att straffskalorna för brotten äktenskaps</w:t>
      </w:r>
      <w:r>
        <w:softHyphen/>
        <w:t>tvång och barnäktenskapsbrott ska skärpas för att tydligare motsvara brottslighetens allvar. Som flertalet remissinstanser framhåller kan konse</w:t>
      </w:r>
      <w:r>
        <w:softHyphen/>
        <w:t xml:space="preserve">kvenserna för brottsoffret bli stora redan genom resan till det andra landet. Ofta hamnar brottsoffret i en utsatt situation i det landet och kan möta stora svårigheter att ta sig hem igen eller att få kontakt med svenska myndigheter. Regeringen gör därför bedömningen att även straffskalan för äktenskapsresebrott bör skärpas. </w:t>
      </w:r>
    </w:p>
    <w:p w14:paraId="7F83A534" w14:textId="77777777" w:rsidR="006973D1" w:rsidRPr="00E77B81" w:rsidRDefault="006973D1" w:rsidP="006973D1">
      <w:pPr>
        <w:pStyle w:val="Brdtextmedindrag"/>
      </w:pPr>
      <w:r w:rsidRPr="005776E1">
        <w:t xml:space="preserve">Enligt </w:t>
      </w:r>
      <w:r>
        <w:rPr>
          <w:i/>
          <w:iCs/>
        </w:rPr>
        <w:t xml:space="preserve">Riksorganisationen för kvinnojourer och tjejjourer i Sverige </w:t>
      </w:r>
      <w:r>
        <w:t>saknas det stöd för att en skärpning av straffskalan kan verka avskräckande eller leda till att högre straff döms ut, samtidigt som det finns en risk för att kvinnor och flickor kommer att utnyttjas i än högre omfattning om straffen skärps. Regeringen gör dock bedömningen att höjda straffskalor kan bidra till att stärka det straffrättsliga skyddet för de personer som riskerar att utsättas för äktenskaps</w:t>
      </w:r>
      <w:r>
        <w:softHyphen/>
        <w:t>resebrott. En höjning av straffskalan skapar utrymme för en mer nyanserad straffmätning. En straffskärpning markerar också</w:t>
      </w:r>
      <w:r w:rsidRPr="00E97969">
        <w:t xml:space="preserve"> </w:t>
      </w:r>
      <w:r>
        <w:t xml:space="preserve">samhällets skärpta syn på brotten, som bl.a. </w:t>
      </w:r>
      <w:r>
        <w:rPr>
          <w:i/>
          <w:iCs/>
        </w:rPr>
        <w:t xml:space="preserve">Sveriges advokatsamfund </w:t>
      </w:r>
      <w:r>
        <w:t xml:space="preserve">påpekar. </w:t>
      </w:r>
    </w:p>
    <w:p w14:paraId="7865C8FA" w14:textId="5E154CF9" w:rsidR="006973D1" w:rsidRDefault="006973D1" w:rsidP="006973D1">
      <w:pPr>
        <w:pStyle w:val="Brdtextmedindrag"/>
      </w:pPr>
      <w:r>
        <w:t xml:space="preserve">Som påpekats i tidigare sammanhang kan äktenskapsresebrott sägas innefatta handlingar av förberedande karaktär till äktenskaptvång. Straffskalan måste även fortsättningsvis ligga rätt i förhållande till såväl fullbordat äktenskapstvång som förberedelse till det brottet. Regeringen föreslår i avsnitt </w:t>
      </w:r>
      <w:r w:rsidR="00EB5551">
        <w:t>5.3.1</w:t>
      </w:r>
      <w:r>
        <w:t xml:space="preserve"> att maximistraffet för äktenskapstvång höjs till sex års fängelse. Höjningen innebär att straffet för förberedelse till äktenskaps</w:t>
      </w:r>
      <w:r>
        <w:softHyphen/>
        <w:t>tvång får bestämmas till mer än två års fängelse (se 23 kap. 2 § brotts</w:t>
      </w:r>
      <w:r>
        <w:softHyphen/>
        <w:t xml:space="preserve">balken). En höjning av straffmaximum för äktenskapsresebrott till fängelse i högst fyra år framstår därmed som väl avvägd, även i relation till övriga brott mot frihet och frid och med hänsyn tagen till de förslag som lämnas i lagrådsremissen </w:t>
      </w:r>
      <w:r w:rsidRPr="00B33C85">
        <w:t>Dubbla straff för brott i kriminella nätverk och skärpta straffskalor</w:t>
      </w:r>
      <w:r>
        <w:t xml:space="preserve">. </w:t>
      </w:r>
    </w:p>
    <w:p w14:paraId="73DC2038" w14:textId="1B2D249F" w:rsidR="006973D1" w:rsidRPr="004D4CFF" w:rsidRDefault="006973D1" w:rsidP="006973D1">
      <w:pPr>
        <w:pStyle w:val="Brdtextmedindrag"/>
      </w:pPr>
      <w:r w:rsidRPr="00A11FDC">
        <w:rPr>
          <w:i/>
          <w:iCs/>
        </w:rPr>
        <w:t>Jämställdhetsmyndigheten</w:t>
      </w:r>
      <w:r>
        <w:t xml:space="preserve"> anser att minimistraffet bör bestämmas till fängelse i minst sex månader och påpekar att svenska myndigheter har mycket begränsade möjligheter att agera i andra länder om personer har förts utomlands. En viktig funktion är därför enligt Jämställdhetsmyndig</w:t>
      </w:r>
      <w:r>
        <w:softHyphen/>
        <w:t xml:space="preserve">heten att brottsbekämpande myndigheter kan få uppgifter om förestående äktenskapsresebrott och på så sätt hindra att en person förs ut ur landet i syfte att utsättas för äktenskapstvång. Som konstateras i avsnitt </w:t>
      </w:r>
      <w:r w:rsidR="00EB5551">
        <w:t>5.3.1</w:t>
      </w:r>
      <w:r>
        <w:t xml:space="preserve"> kan uppgifter som finns hos en myndighet vara avgörande för att en annan myndighet ska kunna fullgöra sitt uppdrag. Regeringen arbetar därför aktivt med att ge myndigheterna utökade möjligheter att utbyta informa</w:t>
      </w:r>
      <w:r>
        <w:softHyphen/>
        <w:t>tion och har genomfört reformer på det området. Med hänsyn till den bredd av gärningar som kan innefattas i äktenskapsresebrottet är det dock inte är lämpligt att bestämma ett minimistraff över det allmänna fängelse</w:t>
      </w:r>
      <w:r>
        <w:softHyphen/>
        <w:t xml:space="preserve">minimum. </w:t>
      </w:r>
    </w:p>
    <w:p w14:paraId="5ECCF8DB" w14:textId="77777777" w:rsidR="006973D1" w:rsidRPr="00EC2374" w:rsidRDefault="006973D1" w:rsidP="006973D1">
      <w:pPr>
        <w:pStyle w:val="Rubrik3"/>
      </w:pPr>
      <w:bookmarkStart w:id="78" w:name="_Ref216432186"/>
      <w:bookmarkStart w:id="79" w:name="_Toc221561250"/>
      <w:bookmarkStart w:id="80" w:name="_Toc224807602"/>
      <w:r>
        <w:lastRenderedPageBreak/>
        <w:t>Straffskalan för äktenskapsresebrott mot barn ska överensstämma med den för äktenskapsresebrott</w:t>
      </w:r>
      <w:bookmarkEnd w:id="78"/>
      <w:bookmarkEnd w:id="79"/>
      <w:bookmarkEnd w:id="80"/>
      <w:r>
        <w:t xml:space="preserve"> </w:t>
      </w:r>
    </w:p>
    <w:p w14:paraId="7873D4C7" w14:textId="77777777" w:rsidR="006973D1" w:rsidRDefault="006973D1" w:rsidP="006973D1">
      <w:pPr>
        <w:pStyle w:val="Rubrik4ram"/>
      </w:pPr>
      <w:r>
        <w:t>Regeringens förslag</w:t>
      </w:r>
    </w:p>
    <w:p w14:paraId="0EB6D3BA" w14:textId="77777777" w:rsidR="006973D1" w:rsidRPr="00867883" w:rsidRDefault="006973D1" w:rsidP="006973D1">
      <w:pPr>
        <w:pStyle w:val="Brdtextram"/>
      </w:pPr>
      <w:r>
        <w:t xml:space="preserve">Straffskalan för äktenskapsresebrott mot barn ska vara fängelse i högst fyra år.   </w:t>
      </w:r>
    </w:p>
    <w:p w14:paraId="16E53CBF" w14:textId="77777777" w:rsidR="006973D1" w:rsidRDefault="006973D1" w:rsidP="006973D1">
      <w:pPr>
        <w:pStyle w:val="Rubrik4efterram"/>
      </w:pPr>
      <w:r>
        <w:t xml:space="preserve">Utredningens förslag </w:t>
      </w:r>
    </w:p>
    <w:p w14:paraId="73582B5F" w14:textId="77777777" w:rsidR="006973D1" w:rsidRDefault="006973D1" w:rsidP="006973D1">
      <w:pPr>
        <w:pStyle w:val="Brdtext"/>
        <w:rPr>
          <w:b/>
          <w:bCs/>
        </w:rPr>
      </w:pPr>
      <w:r>
        <w:t xml:space="preserve">Utredningens förslag </w:t>
      </w:r>
      <w:r>
        <w:rPr>
          <w:bCs/>
        </w:rPr>
        <w:t xml:space="preserve">överensstämmer med regeringens. </w:t>
      </w:r>
    </w:p>
    <w:p w14:paraId="1884E05D" w14:textId="77777777" w:rsidR="006973D1" w:rsidRDefault="006973D1" w:rsidP="006973D1">
      <w:pPr>
        <w:pStyle w:val="Rubrik4efterram"/>
      </w:pPr>
      <w:r>
        <w:t>Remissinstanserna</w:t>
      </w:r>
    </w:p>
    <w:p w14:paraId="3CA00536" w14:textId="77777777" w:rsidR="006973D1" w:rsidRPr="00535AB4" w:rsidRDefault="006973D1" w:rsidP="006973D1">
      <w:pPr>
        <w:pStyle w:val="Brdtext"/>
        <w:rPr>
          <w:i/>
          <w:iCs/>
        </w:rPr>
      </w:pPr>
      <w:r>
        <w:t>De flesta av remissinstanserna tillstyrker förslaget eller har ingen invänd</w:t>
      </w:r>
      <w:r>
        <w:softHyphen/>
        <w:t xml:space="preserve">ning mot det. Bland dem finns </w:t>
      </w:r>
      <w:bookmarkStart w:id="81" w:name="_Hlk210765993"/>
      <w:r>
        <w:rPr>
          <w:i/>
          <w:iCs/>
        </w:rPr>
        <w:t>Brottsförebyggande rådet</w:t>
      </w:r>
      <w:r w:rsidRPr="001907D7">
        <w:t>,</w:t>
      </w:r>
      <w:r>
        <w:rPr>
          <w:i/>
          <w:iCs/>
        </w:rPr>
        <w:t xml:space="preserve"> Brottsoffer</w:t>
      </w:r>
      <w:r>
        <w:rPr>
          <w:i/>
          <w:iCs/>
        </w:rPr>
        <w:softHyphen/>
        <w:t>jouren</w:t>
      </w:r>
      <w:r w:rsidRPr="00A11FDC">
        <w:t>,</w:t>
      </w:r>
      <w:r>
        <w:rPr>
          <w:i/>
          <w:iCs/>
        </w:rPr>
        <w:t xml:space="preserve"> Brottsoffermyndigheten</w:t>
      </w:r>
      <w:r w:rsidRPr="00A11FDC">
        <w:t>,</w:t>
      </w:r>
      <w:r>
        <w:rPr>
          <w:i/>
          <w:iCs/>
        </w:rPr>
        <w:t xml:space="preserve"> ECPAT</w:t>
      </w:r>
      <w:r w:rsidRPr="001907D7">
        <w:t>,</w:t>
      </w:r>
      <w:r>
        <w:rPr>
          <w:i/>
          <w:iCs/>
        </w:rPr>
        <w:t xml:space="preserve"> Myndigheten för familjerätt och föräldraskapsstöd</w:t>
      </w:r>
      <w:r w:rsidRPr="001907D7">
        <w:t>,</w:t>
      </w:r>
      <w:r>
        <w:rPr>
          <w:i/>
          <w:iCs/>
        </w:rPr>
        <w:t xml:space="preserve"> Myndigheten till stöd för trossamfund</w:t>
      </w:r>
      <w:r w:rsidRPr="001907D7">
        <w:t>,</w:t>
      </w:r>
      <w:r>
        <w:rPr>
          <w:i/>
          <w:iCs/>
        </w:rPr>
        <w:t xml:space="preserve"> Origo</w:t>
      </w:r>
      <w:r w:rsidRPr="001907D7">
        <w:t>,</w:t>
      </w:r>
      <w:r>
        <w:rPr>
          <w:i/>
          <w:iCs/>
        </w:rPr>
        <w:t xml:space="preserve"> Polis</w:t>
      </w:r>
      <w:r>
        <w:rPr>
          <w:i/>
          <w:iCs/>
        </w:rPr>
        <w:softHyphen/>
        <w:t>myndigheten</w:t>
      </w:r>
      <w:r w:rsidRPr="00A11FDC">
        <w:t>,</w:t>
      </w:r>
      <w:r>
        <w:rPr>
          <w:i/>
          <w:iCs/>
        </w:rPr>
        <w:t xml:space="preserve"> Riksföreningen för skolsköterskor</w:t>
      </w:r>
      <w:r w:rsidRPr="00A11FDC">
        <w:t>,</w:t>
      </w:r>
      <w:r>
        <w:rPr>
          <w:i/>
          <w:iCs/>
        </w:rPr>
        <w:t xml:space="preserve"> Riksorganisationen GAPF </w:t>
      </w:r>
      <w:r w:rsidRPr="00BA083E">
        <w:rPr>
          <w:i/>
          <w:iCs/>
        </w:rPr>
        <w:t>–</w:t>
      </w:r>
      <w:r>
        <w:rPr>
          <w:i/>
          <w:iCs/>
        </w:rPr>
        <w:t xml:space="preserve"> Glöm aldrig Pela och Fadime</w:t>
      </w:r>
      <w:r w:rsidRPr="001907D7">
        <w:t>,</w:t>
      </w:r>
      <w:r>
        <w:rPr>
          <w:i/>
          <w:iCs/>
        </w:rPr>
        <w:t xml:space="preserve"> Sveriges interreligiösa råd</w:t>
      </w:r>
      <w:r w:rsidRPr="001907D7">
        <w:t>,</w:t>
      </w:r>
      <w:r>
        <w:rPr>
          <w:i/>
          <w:iCs/>
        </w:rPr>
        <w:t xml:space="preserve"> Svenska kyrkan</w:t>
      </w:r>
      <w:r w:rsidRPr="001907D7">
        <w:t>,</w:t>
      </w:r>
      <w:r>
        <w:rPr>
          <w:i/>
          <w:iCs/>
        </w:rPr>
        <w:t xml:space="preserve"> </w:t>
      </w:r>
      <w:bookmarkEnd w:id="81"/>
      <w:r>
        <w:rPr>
          <w:i/>
          <w:iCs/>
        </w:rPr>
        <w:t xml:space="preserve">Terrafem </w:t>
      </w:r>
      <w:r w:rsidRPr="007349C2">
        <w:t xml:space="preserve">– </w:t>
      </w:r>
      <w:r w:rsidRPr="003824C5">
        <w:rPr>
          <w:i/>
        </w:rPr>
        <w:t>nätverk för kvinnors rätt mot mäns våld</w:t>
      </w:r>
      <w:r w:rsidRPr="001907D7">
        <w:t>,</w:t>
      </w:r>
      <w:r>
        <w:rPr>
          <w:i/>
          <w:iCs/>
        </w:rPr>
        <w:t xml:space="preserve"> Unizon </w:t>
      </w:r>
      <w:r w:rsidRPr="003824C5">
        <w:t>och</w:t>
      </w:r>
      <w:r>
        <w:rPr>
          <w:i/>
          <w:iCs/>
        </w:rPr>
        <w:t xml:space="preserve"> Åklagarmyndigheten.</w:t>
      </w:r>
    </w:p>
    <w:p w14:paraId="61F4AFA6" w14:textId="77777777" w:rsidR="006973D1" w:rsidRPr="00DC4587" w:rsidRDefault="006973D1" w:rsidP="006973D1">
      <w:pPr>
        <w:pStyle w:val="Brdtextmedindrag"/>
      </w:pPr>
      <w:r>
        <w:rPr>
          <w:i/>
          <w:iCs/>
        </w:rPr>
        <w:t xml:space="preserve">Barnombudsmannen </w:t>
      </w:r>
      <w:r>
        <w:t xml:space="preserve">avstyrker utredningens förslag och anser att brott som begås mot barn bör ha en strängare straffskala än brott som begås mot vuxna. </w:t>
      </w:r>
      <w:r>
        <w:rPr>
          <w:i/>
          <w:iCs/>
        </w:rPr>
        <w:t xml:space="preserve">Varken hora eller kuvad </w:t>
      </w:r>
      <w:r>
        <w:t xml:space="preserve">framför liknande synpunkter. </w:t>
      </w:r>
    </w:p>
    <w:p w14:paraId="030354A4" w14:textId="77777777" w:rsidR="006973D1" w:rsidRDefault="006973D1" w:rsidP="006973D1">
      <w:pPr>
        <w:pStyle w:val="Brdtextmedindrag"/>
      </w:pPr>
      <w:r>
        <w:rPr>
          <w:i/>
          <w:iCs/>
        </w:rPr>
        <w:t xml:space="preserve">Jämställdhetsmyndigheten </w:t>
      </w:r>
      <w:r w:rsidRPr="006D7FC3">
        <w:t xml:space="preserve">tillstyrker </w:t>
      </w:r>
      <w:r>
        <w:t xml:space="preserve">förslaget om att maximistraffet ska vara fängelse i fyra år men anser att </w:t>
      </w:r>
      <w:r w:rsidRPr="006D7FC3">
        <w:t>det b</w:t>
      </w:r>
      <w:r>
        <w:t>ör</w:t>
      </w:r>
      <w:r w:rsidRPr="006D7FC3">
        <w:t xml:space="preserve"> införas ett minimistraff om sex månaders fängelse</w:t>
      </w:r>
      <w:r>
        <w:t xml:space="preserve">. </w:t>
      </w:r>
    </w:p>
    <w:p w14:paraId="31D2C92F" w14:textId="77777777" w:rsidR="006973D1" w:rsidRDefault="006973D1" w:rsidP="006973D1">
      <w:pPr>
        <w:pStyle w:val="Rubrik4efterram"/>
      </w:pPr>
      <w:r>
        <w:t>Skälen för regeringens förslag</w:t>
      </w:r>
    </w:p>
    <w:p w14:paraId="7E7CCCFD" w14:textId="77777777" w:rsidR="006973D1" w:rsidRDefault="006973D1" w:rsidP="006973D1">
      <w:pPr>
        <w:pStyle w:val="Brdtext"/>
      </w:pPr>
      <w:r>
        <w:t>Brottets straffskala ska återspegla det allvar med vilket samhället ser på utlandsresor där barn riskerar att utsättas för barnäktenskapsbrott. Straff</w:t>
      </w:r>
      <w:r>
        <w:softHyphen/>
        <w:t>skalan bör också återspegla att det ofta handlar om gärningspersoner som är närstående till barnet och som barnet ska kunna känna tillit till. Straff</w:t>
      </w:r>
      <w:r>
        <w:softHyphen/>
        <w:t xml:space="preserve">skalan måste samtidigt vara så vid att den ger möjlighet till en nyanserad straffmätning inom vilken de olika typer av gärningar som kan falla in under bestämmelsens tillämpningsområde kan beaktas. </w:t>
      </w:r>
    </w:p>
    <w:p w14:paraId="14D1109B" w14:textId="77777777" w:rsidR="006973D1" w:rsidRPr="00644CFB" w:rsidRDefault="006973D1" w:rsidP="006973D1">
      <w:pPr>
        <w:pStyle w:val="Brdtextmedindrag"/>
      </w:pPr>
      <w:r>
        <w:t xml:space="preserve">Regeringen anser, till skillnad från </w:t>
      </w:r>
      <w:r>
        <w:rPr>
          <w:i/>
          <w:iCs/>
        </w:rPr>
        <w:t xml:space="preserve">Barnombudsmannen </w:t>
      </w:r>
      <w:r>
        <w:t xml:space="preserve">och </w:t>
      </w:r>
      <w:r>
        <w:rPr>
          <w:i/>
          <w:iCs/>
        </w:rPr>
        <w:t xml:space="preserve">Varken hora eller kuvad, </w:t>
      </w:r>
      <w:r>
        <w:t>att straffskalan för äktenskapsresebrott mot barn bör vara densamma som för äktenskapsresebrott. Barn och unga är särskilt utsatta i frågor som rör äktenskap mot den egna viljan. Det kan vara förenat med stora svårigheter att ta sig hem igen när resan till den andra staten väl har genomförts. Myndighetsåldern är dock inte avgörande för att unga vuxna, framför allt i en hederskontext, ska kunna hävda sin vilja och sina rättigheter gentemot familjen. Den som har fyllt 18 år kan vara lika utsatt och drabbas lika illa som den som är yngre. Det särskilda äktenskaps</w:t>
      </w:r>
      <w:r>
        <w:softHyphen/>
        <w:t xml:space="preserve">resebrottet mot barn har också ett vidare tillämpningsområde och träffar därmed fler fall än de som kan bestraffas med stöd av bestämmelsen om äktenskapsresebrott. Regeringen anser därför att det inte bör införas ett minimistraff över det allmänna fängelseminimum med hänsyn till den </w:t>
      </w:r>
      <w:r>
        <w:lastRenderedPageBreak/>
        <w:t>bredd av gärningar som kan innefattas i straffbestäm</w:t>
      </w:r>
      <w:r>
        <w:softHyphen/>
        <w:t xml:space="preserve">melsen. Brottets straffskala bör inte heller utformas utifrån de eventuella sekretessbrytande bestämmelser som kan bli tillämpliga.  </w:t>
      </w:r>
    </w:p>
    <w:p w14:paraId="3376C62D" w14:textId="77777777" w:rsidR="006973D1" w:rsidRPr="00EC2374" w:rsidRDefault="006973D1" w:rsidP="006973D1">
      <w:pPr>
        <w:pStyle w:val="Rubrik3"/>
      </w:pPr>
      <w:bookmarkStart w:id="82" w:name="_Toc221561251"/>
      <w:bookmarkStart w:id="83" w:name="_Toc224807603"/>
      <w:r>
        <w:t>Straffskalan för hedersförtryck</w:t>
      </w:r>
      <w:bookmarkEnd w:id="82"/>
      <w:bookmarkEnd w:id="83"/>
      <w:r>
        <w:t xml:space="preserve"> </w:t>
      </w:r>
    </w:p>
    <w:p w14:paraId="6E9D8B34" w14:textId="77777777" w:rsidR="006973D1" w:rsidRDefault="006973D1" w:rsidP="006973D1">
      <w:pPr>
        <w:pStyle w:val="Rubrik4ram"/>
      </w:pPr>
      <w:r>
        <w:t>Regeringens bedömning</w:t>
      </w:r>
    </w:p>
    <w:p w14:paraId="2CF24872" w14:textId="77777777" w:rsidR="006973D1" w:rsidRPr="00867883" w:rsidRDefault="006973D1" w:rsidP="006973D1">
      <w:pPr>
        <w:pStyle w:val="Brdtextram"/>
      </w:pPr>
      <w:r>
        <w:t xml:space="preserve">Straffskalan för hedersförtryck bör inte ändras.   </w:t>
      </w:r>
    </w:p>
    <w:p w14:paraId="65D20F4F" w14:textId="77777777" w:rsidR="006973D1" w:rsidRDefault="006973D1" w:rsidP="006973D1">
      <w:pPr>
        <w:pStyle w:val="Rubrik4efterram"/>
      </w:pPr>
      <w:r>
        <w:t xml:space="preserve">Utredningens bedömning </w:t>
      </w:r>
    </w:p>
    <w:p w14:paraId="46A237FE" w14:textId="77777777" w:rsidR="006973D1" w:rsidRDefault="006973D1" w:rsidP="006973D1">
      <w:pPr>
        <w:pStyle w:val="Brdtext"/>
      </w:pPr>
      <w:r>
        <w:t>Utredningens bedömning överensstämmer med regeringens. Utredningen lämnar dock ett alternativt förslag om att straffskalan ska skärpas på så sätt att maximistraffet höjs till fängelse i tio år.</w:t>
      </w:r>
    </w:p>
    <w:p w14:paraId="584AF37F" w14:textId="77777777" w:rsidR="006973D1" w:rsidRDefault="006973D1" w:rsidP="006973D1">
      <w:pPr>
        <w:pStyle w:val="Rubrik4efterram"/>
      </w:pPr>
      <w:r>
        <w:t>Remissinstanserna</w:t>
      </w:r>
    </w:p>
    <w:p w14:paraId="4E6C4260" w14:textId="77777777" w:rsidR="006973D1" w:rsidRPr="00690067" w:rsidRDefault="006973D1" w:rsidP="006973D1">
      <w:pPr>
        <w:pStyle w:val="Brdtext"/>
        <w:rPr>
          <w:i/>
          <w:iCs/>
        </w:rPr>
      </w:pPr>
      <w:r>
        <w:t xml:space="preserve">De flesta av remissinstanserna instämmer i eller har ingen invändning mot bedömningen. Bland dem finns </w:t>
      </w:r>
      <w:bookmarkStart w:id="84" w:name="_Hlk210766432"/>
      <w:r w:rsidRPr="006807C8">
        <w:rPr>
          <w:i/>
          <w:iCs/>
        </w:rPr>
        <w:t>Brottsoffermyndigheten</w:t>
      </w:r>
      <w:r w:rsidRPr="001907D7">
        <w:t>,</w:t>
      </w:r>
      <w:r>
        <w:rPr>
          <w:i/>
          <w:iCs/>
        </w:rPr>
        <w:t xml:space="preserve"> Brottsförebyg</w:t>
      </w:r>
      <w:r>
        <w:rPr>
          <w:i/>
          <w:iCs/>
        </w:rPr>
        <w:softHyphen/>
        <w:t>gande rådet</w:t>
      </w:r>
      <w:r w:rsidRPr="001907D7">
        <w:t>,</w:t>
      </w:r>
      <w:r>
        <w:rPr>
          <w:i/>
          <w:iCs/>
        </w:rPr>
        <w:t xml:space="preserve"> ECPAT</w:t>
      </w:r>
      <w:r w:rsidRPr="001907D7">
        <w:t>,</w:t>
      </w:r>
      <w:r>
        <w:rPr>
          <w:i/>
          <w:iCs/>
        </w:rPr>
        <w:t xml:space="preserve"> Jämställdhetsmyndigheten</w:t>
      </w:r>
      <w:r w:rsidRPr="001907D7">
        <w:t>,</w:t>
      </w:r>
      <w:r>
        <w:rPr>
          <w:i/>
          <w:iCs/>
        </w:rPr>
        <w:t xml:space="preserve"> Myndigheten för stöd till trossamfund</w:t>
      </w:r>
      <w:r w:rsidRPr="001907D7">
        <w:t>,</w:t>
      </w:r>
      <w:r>
        <w:rPr>
          <w:i/>
          <w:iCs/>
        </w:rPr>
        <w:t xml:space="preserve"> </w:t>
      </w:r>
      <w:r w:rsidRPr="006807C8">
        <w:rPr>
          <w:i/>
          <w:iCs/>
        </w:rPr>
        <w:t>Polismyndigheten</w:t>
      </w:r>
      <w:r w:rsidRPr="001907D7">
        <w:t>,</w:t>
      </w:r>
      <w:r>
        <w:rPr>
          <w:i/>
          <w:iCs/>
        </w:rPr>
        <w:t xml:space="preserve"> Sveriges kristna råd </w:t>
      </w:r>
      <w:r>
        <w:t xml:space="preserve">och </w:t>
      </w:r>
      <w:r>
        <w:rPr>
          <w:i/>
          <w:iCs/>
        </w:rPr>
        <w:t>Åklagar</w:t>
      </w:r>
      <w:r>
        <w:rPr>
          <w:i/>
          <w:iCs/>
        </w:rPr>
        <w:softHyphen/>
        <w:t>myndig</w:t>
      </w:r>
      <w:r>
        <w:rPr>
          <w:i/>
          <w:iCs/>
        </w:rPr>
        <w:softHyphen/>
        <w:t xml:space="preserve">heten. </w:t>
      </w:r>
      <w:bookmarkEnd w:id="84"/>
    </w:p>
    <w:p w14:paraId="2A3B44A7" w14:textId="77777777" w:rsidR="006973D1" w:rsidRPr="0016562C" w:rsidRDefault="006973D1" w:rsidP="006973D1">
      <w:pPr>
        <w:pStyle w:val="Brdtextmedindrag"/>
      </w:pPr>
      <w:r w:rsidRPr="0016562C">
        <w:t>Brottsförebyggande rådet</w:t>
      </w:r>
      <w:r>
        <w:t xml:space="preserve"> framhåller att en höjning av straffskalan skulle kunna motverka syftet med bestämmelsen vilket är att ett antal mindre allvarliga gärningar tillsammans bedöms utgöra ett allvarligare brott. ECPAT bedömer att en höjning av straffskalan kan få oönskade effekter när det gäller allvarligare sexualbrott mot barn. </w:t>
      </w:r>
    </w:p>
    <w:p w14:paraId="3EC58419" w14:textId="77777777" w:rsidR="006973D1" w:rsidRDefault="006973D1" w:rsidP="006973D1">
      <w:pPr>
        <w:pStyle w:val="Brdtextmedindrag"/>
      </w:pPr>
      <w:r>
        <w:rPr>
          <w:i/>
          <w:iCs/>
        </w:rPr>
        <w:t>Barnombudsmannen</w:t>
      </w:r>
      <w:r>
        <w:t xml:space="preserve"> anser att straffskalan bör höjas och pekar på den särskilda straffskärpningsgrund kopplat till heder som ska användas vid annan brottslighet för att särskilt markera att brott med hedersmotiv har ett högre straffvärde än likartad brottslighet som inte har ett sådant motiv. </w:t>
      </w:r>
    </w:p>
    <w:p w14:paraId="3A698D39" w14:textId="77777777" w:rsidR="006973D1" w:rsidRDefault="006973D1" w:rsidP="006973D1">
      <w:pPr>
        <w:pStyle w:val="Rubrik4efterram"/>
      </w:pPr>
      <w:r>
        <w:t>Skälen för regeringens bedömning</w:t>
      </w:r>
    </w:p>
    <w:p w14:paraId="7E5B8AE3" w14:textId="77777777" w:rsidR="006973D1" w:rsidRDefault="006973D1" w:rsidP="006973D1">
      <w:pPr>
        <w:pStyle w:val="Brdtext"/>
      </w:pPr>
      <w:r>
        <w:t>För hedersförtryck döms den som mot en person begår eller på annat sätt medverkar till brottsliga gärningar enligt 3 eller 4 kap., 5 kap. 1 eller 2 §, 6 eller 12 kap. brottsbalken eller enligt 24 § lagen (1988:688) om kontakt</w:t>
      </w:r>
      <w:r>
        <w:softHyphen/>
        <w:t>förbud, eller gärningar som utgör straffbart försök eller straffbar för</w:t>
      </w:r>
      <w:r>
        <w:softHyphen/>
        <w:t>beredelse eller stämpling till sådana brott, om ett motiv har varit att bevara eller återupprätta en persons eller familjs, släkts eller annan liknande grupps heder, var och en av gärningarna utgjort led i en upprepad kränk</w:t>
      </w:r>
      <w:r>
        <w:softHyphen/>
        <w:t>ning av personens integritet och gärningarna varit ägnade att allvarligt skada personens självkänsla. Straffskalan för brottet är fängelse i lägst ett och högst sex år (4 kap. 4 e § brottsbalken). Brottet är utformat med fridskränkningsbrotten som förebild. Brottskonstruktionen är densamma i fråga om de brottsliga gärningarna som kan ingå i brottet och om rekvisiten som avser upprepad integritetskränkning och att gärning</w:t>
      </w:r>
      <w:r>
        <w:softHyphen/>
        <w:t xml:space="preserve">arna varit ägnade att allvarligt skada personens självkänsla. </w:t>
      </w:r>
    </w:p>
    <w:p w14:paraId="18EC15BC" w14:textId="5C39CCEE" w:rsidR="006973D1" w:rsidRDefault="006973D1" w:rsidP="006973D1">
      <w:pPr>
        <w:pStyle w:val="Brdtextmedindrag"/>
      </w:pPr>
      <w:bookmarkStart w:id="85" w:name="_Hlk219295856"/>
      <w:bookmarkStart w:id="86" w:name="_Hlk219295979"/>
      <w:r>
        <w:t>Det finns skäl att se mycket allvarligt på den typ av brottslighet som det nu är fråga om</w:t>
      </w:r>
      <w:bookmarkEnd w:id="85"/>
      <w:r>
        <w:t>.</w:t>
      </w:r>
      <w:bookmarkEnd w:id="86"/>
      <w:r>
        <w:t xml:space="preserve"> Som bl.a. </w:t>
      </w:r>
      <w:r w:rsidRPr="00B73B6B">
        <w:rPr>
          <w:i/>
          <w:iCs/>
        </w:rPr>
        <w:t>Barnombudsmannen</w:t>
      </w:r>
      <w:r>
        <w:t xml:space="preserve"> lyfter är </w:t>
      </w:r>
      <w:r w:rsidRPr="00B73B6B">
        <w:t xml:space="preserve">de </w:t>
      </w:r>
      <w:r>
        <w:t>brotts</w:t>
      </w:r>
      <w:r w:rsidRPr="00B73B6B">
        <w:t xml:space="preserve">offer som </w:t>
      </w:r>
      <w:r w:rsidRPr="00B73B6B">
        <w:lastRenderedPageBreak/>
        <w:t xml:space="preserve">utsätts för hedersrelaterad brottslighet en synnerligen utsatt grupp som drabbas särskilt svårt. </w:t>
      </w:r>
      <w:r>
        <w:t>Brottslighetens</w:t>
      </w:r>
      <w:r w:rsidRPr="00B73B6B">
        <w:t xml:space="preserve"> kollektiva karaktär </w:t>
      </w:r>
      <w:r>
        <w:t xml:space="preserve">kan </w:t>
      </w:r>
      <w:r w:rsidRPr="00B73B6B">
        <w:t>innebära att offren berövas såväl möjligheten att bo kvar med och ha kontakt med sin familj som möjligheten att stanna kvar i sin skola och hålla kontakt med sina vänner. Personer som utsätts för hedersrelaterad brottslighet har ofta en stark koppling till sin familj och kan därmed känna sig uteslutna och ensamma om de väljer att anmäla och berätta om sina upplevelser. De riskerar allvarliga repressalier om de anmäler brott och drar sig därför ofta från att göra det. Offer för hedersrelaterad brottslighet utsätts dessutom ofta för stor press från familj och släkt att ta tillbaka sina uppgifter, särskilt om familjemedlemmar eller släktingar har frihetsberövats</w:t>
      </w:r>
      <w:r>
        <w:t xml:space="preserve"> (se p</w:t>
      </w:r>
      <w:r w:rsidRPr="009F6D23">
        <w:t>rop.</w:t>
      </w:r>
      <w:r>
        <w:t> </w:t>
      </w:r>
      <w:r w:rsidRPr="009F6D23">
        <w:t>2019/20:131 s</w:t>
      </w:r>
      <w:r>
        <w:t>. </w:t>
      </w:r>
      <w:r w:rsidRPr="009F6D23">
        <w:t>32</w:t>
      </w:r>
      <w:r>
        <w:t>)</w:t>
      </w:r>
      <w:r w:rsidRPr="00B73B6B">
        <w:t>.</w:t>
      </w:r>
      <w:r w:rsidRPr="00B73B6B" w:rsidDel="00B73B6B">
        <w:t xml:space="preserve"> </w:t>
      </w:r>
      <w:r>
        <w:t>Hedersförtryck begås alltså ofta under omstän</w:t>
      </w:r>
      <w:r>
        <w:softHyphen/>
        <w:t>dig</w:t>
      </w:r>
      <w:r>
        <w:softHyphen/>
        <w:t xml:space="preserve">heter som är försvårande. Det finns dock, som flera remissinstanser lyfter, ett antal skäl som talar </w:t>
      </w:r>
      <w:r w:rsidR="00D26F18">
        <w:t>e</w:t>
      </w:r>
      <w:r>
        <w:t xml:space="preserve">mot att straffskalan ska höjas. </w:t>
      </w:r>
    </w:p>
    <w:p w14:paraId="340A9D19" w14:textId="77777777" w:rsidR="006973D1" w:rsidRDefault="006973D1" w:rsidP="006973D1">
      <w:pPr>
        <w:pStyle w:val="Brdtextmedindrag"/>
      </w:pPr>
      <w:bookmarkStart w:id="87" w:name="_Hlk219296092"/>
      <w:r>
        <w:t xml:space="preserve">Syftet med brottet hedersförtryck, liksom fridskränkningsbrotten, är att åstadkomma en höjd straffnivå för brottslighet som innefattar upprepade kränkningar av målsägandens integritet också i situationer då vart och ett av brotten är förhållandevis lindrigt. </w:t>
      </w:r>
      <w:bookmarkEnd w:id="87"/>
      <w:r>
        <w:t>Konstruktionen av brottet innebär en slags konkurrensreglering där domstolen, i stället för att döma för var och en av gärningarna, ska döma för brottet hedersförtryck. Om ett av brotten har en strängare straffskala än brottet hedersförtryck, ska domstolen döma särskilt över det allvarligare brottet. När brottet hedersförtryck infördes gjordes bedömningen att det var lämpligt att straffskalorna för hedersför</w:t>
      </w:r>
      <w:r>
        <w:softHyphen/>
        <w:t>trycksbrottet och fridskränkningsbrotten överensstämmer med varandra (se prop. 2021/22:138 s. 26–27).</w:t>
      </w:r>
    </w:p>
    <w:p w14:paraId="16398CB8" w14:textId="77777777" w:rsidR="006973D1" w:rsidRDefault="006973D1" w:rsidP="006973D1">
      <w:pPr>
        <w:pStyle w:val="Brdtextmedindrag"/>
      </w:pPr>
      <w:r>
        <w:t>Frågan om att höja maximistraffen för fridskränkningsbrotten har nyligen varit föremål för regeringens överväganden i propositionen Kontaktförbud – ett utökat skydd för utsatta personer (prop. 2024/25:123). Regeringen gjorde då bedömningen att maximistraffen för fridskränk</w:t>
      </w:r>
      <w:r>
        <w:softHyphen/>
        <w:t>nings</w:t>
      </w:r>
      <w:r>
        <w:softHyphen/>
        <w:t xml:space="preserve">brotten inte bör höjas. Regeringen ansåg för det första att en höjning av straffskalan skulle </w:t>
      </w:r>
      <w:r w:rsidRPr="00AC05EE">
        <w:t>innebära ett avsteg från syftet med straffbestäm</w:t>
      </w:r>
      <w:r>
        <w:softHyphen/>
      </w:r>
      <w:r w:rsidRPr="00AC05EE">
        <w:t>melserna</w:t>
      </w:r>
      <w:r>
        <w:t xml:space="preserve">, dvs. att </w:t>
      </w:r>
      <w:r w:rsidRPr="00AC05EE">
        <w:t xml:space="preserve">åstadkomma </w:t>
      </w:r>
      <w:r>
        <w:t xml:space="preserve">en höjd </w:t>
      </w:r>
      <w:r w:rsidRPr="00AC05EE">
        <w:t xml:space="preserve">straffnivå för brottslighet som innefattar upprepade kränkningar av målsägandens integritet också i situationer då vart och ett av brotten är förhållandevis lindrigt. Vid konkurrens mellan ett fridskränkningsbrott och ett brott med en strängare </w:t>
      </w:r>
      <w:r>
        <w:t xml:space="preserve">straffskala </w:t>
      </w:r>
      <w:r w:rsidRPr="00AC05EE">
        <w:t xml:space="preserve">ska domstolen döma särskilt för det allvarligare brottet. En höjning av maximistraffet </w:t>
      </w:r>
      <w:r>
        <w:t xml:space="preserve">skulle därför </w:t>
      </w:r>
      <w:r w:rsidRPr="00AC05EE">
        <w:t xml:space="preserve">få till följd att vissa grova brott som domstolarna enligt nuvarande reglering dömer särskilt för, skulle ingå som en del i fridskränkningsbrottet. </w:t>
      </w:r>
      <w:r>
        <w:t>Regeringen bedömde f</w:t>
      </w:r>
      <w:r w:rsidRPr="00AC05EE">
        <w:t>ör det andra</w:t>
      </w:r>
      <w:r>
        <w:t xml:space="preserve"> att det vid en höjning fanns</w:t>
      </w:r>
      <w:r w:rsidRPr="00AC05EE">
        <w:t xml:space="preserve"> en risk för oönskade effekter vid straffmätningen. </w:t>
      </w:r>
      <w:r>
        <w:t xml:space="preserve">Regeringen ansåg att det var </w:t>
      </w:r>
      <w:r w:rsidRPr="00AC05EE">
        <w:t>tveksamt om en ordning som innebär att även grövre brott omfattas av fridskränk</w:t>
      </w:r>
      <w:r>
        <w:softHyphen/>
      </w:r>
      <w:r w:rsidRPr="00AC05EE">
        <w:t>nings</w:t>
      </w:r>
      <w:r>
        <w:softHyphen/>
      </w:r>
      <w:r w:rsidRPr="00AC05EE">
        <w:t>brotten skulle leda till att det samlade straffvärdet bedöms som högre än om domstolen dömer särskilt för dessa brott. Om en domstol t.ex. dömer för dels en våldtäkt, dels en grov kvinnofridskränkning, kommer respektive brott typiskt sett att få det genomslag vid straffmätningen som följer av den s.k. asperations</w:t>
      </w:r>
      <w:r>
        <w:softHyphen/>
      </w:r>
      <w:r w:rsidRPr="00AC05EE">
        <w:t>principen. Om våldtäkten i stället ska anses ingå i den grova kvinnofrids</w:t>
      </w:r>
      <w:r>
        <w:softHyphen/>
      </w:r>
      <w:r w:rsidRPr="00AC05EE">
        <w:t xml:space="preserve">kränkningen, finns en större oklarhet i hur straffvärdet ska bedömas. </w:t>
      </w:r>
      <w:r>
        <w:t>Det gick enligt regeringen inte</w:t>
      </w:r>
      <w:r w:rsidRPr="00AC05EE">
        <w:t xml:space="preserve"> att bortse från risken att det samlade straffvärdet i sådana fall k</w:t>
      </w:r>
      <w:r>
        <w:t>unde</w:t>
      </w:r>
      <w:r w:rsidRPr="00AC05EE">
        <w:t xml:space="preserve"> komma att bedömas som lägre än om domstolen hade dömt särskilt för våldtäkten. För det tredje</w:t>
      </w:r>
      <w:r>
        <w:t xml:space="preserve"> bedömde regeringen</w:t>
      </w:r>
      <w:r w:rsidRPr="00AC05EE">
        <w:t xml:space="preserve"> </w:t>
      </w:r>
      <w:r>
        <w:t xml:space="preserve">att </w:t>
      </w:r>
      <w:r w:rsidRPr="00AC05EE">
        <w:t xml:space="preserve">en </w:t>
      </w:r>
      <w:r w:rsidRPr="00AC05EE">
        <w:lastRenderedPageBreak/>
        <w:t>höjning av maximistraffet för fridskränkningsbrotten</w:t>
      </w:r>
      <w:r>
        <w:t xml:space="preserve"> kunde</w:t>
      </w:r>
      <w:r w:rsidRPr="00AC05EE">
        <w:t xml:space="preserve"> medföra oönskade konsekvenser för domens rättskraft. Inte sällan omfattar ett åtal för ett fridskränkningsbrott ett ospecificerat antal gärningar under en viss tidsperiod. I sådana fall torde ett åtal för ett brott som hade kunnat ingå i det tidigare åtalet inte vara möjligt på grund av domens negativa rättskraft. Däremot finns det inte något hinder mot att återkomma med ett åtal för ett brott som domstolen hade dömt särskilt för, om brottet hade tagits upp i samband med åtalet för fridskränkningsbrottet.</w:t>
      </w:r>
      <w:r>
        <w:t xml:space="preserve"> Regeringen lyfte slutligen</w:t>
      </w:r>
      <w:r w:rsidRPr="00AC05EE">
        <w:t xml:space="preserve"> </w:t>
      </w:r>
      <w:r>
        <w:t xml:space="preserve">att </w:t>
      </w:r>
      <w:r w:rsidRPr="00AC05EE">
        <w:t>allvarliga brott i vissa fall inte</w:t>
      </w:r>
      <w:r>
        <w:t xml:space="preserve"> skulle</w:t>
      </w:r>
      <w:r w:rsidRPr="00AC05EE">
        <w:t xml:space="preserve"> framgå av belastningsregistret</w:t>
      </w:r>
      <w:r>
        <w:t xml:space="preserve"> eftersom det där</w:t>
      </w:r>
      <w:r w:rsidRPr="00AC05EE">
        <w:t xml:space="preserve"> inte </w:t>
      </w:r>
      <w:r>
        <w:t xml:space="preserve">anges </w:t>
      </w:r>
      <w:r w:rsidRPr="00AC05EE">
        <w:t>vilka enskilda brott som ingår i en dom om ett fridskränkningsbrott</w:t>
      </w:r>
      <w:r>
        <w:t>. (Se prop. 2024/25:123 s. 100–101)</w:t>
      </w:r>
      <w:r w:rsidRPr="00AC05EE">
        <w:t>.</w:t>
      </w:r>
    </w:p>
    <w:p w14:paraId="38D83102" w14:textId="77777777" w:rsidR="006973D1" w:rsidRDefault="006973D1" w:rsidP="006973D1">
      <w:pPr>
        <w:pStyle w:val="Brdtextmedindrag"/>
      </w:pPr>
      <w:r>
        <w:t>Regeringen anser att de överväganden som fördes fram i fråga om fridskränk</w:t>
      </w:r>
      <w:r>
        <w:softHyphen/>
        <w:t xml:space="preserve">ningsbrotten gör sig gällande även i fråga om straffskalan för brottet hedersförtryck, som är konstruerat med fridskränkningsbrotten som förebild. En höjd straffskala för hedersförtryck skulle alltså innebära att fler allvarliga gärningar inordnas under det aktuella brottet, med risk för samma följder som redogörs för beträffande fridskränkningsbrotten ovan. Det är något som bör undvikas, vilket är en uppfattning som flera remissinstanser, bl.a. </w:t>
      </w:r>
      <w:r>
        <w:rPr>
          <w:i/>
          <w:iCs/>
        </w:rPr>
        <w:t>Brottsförebygg</w:t>
      </w:r>
      <w:r>
        <w:rPr>
          <w:i/>
          <w:iCs/>
        </w:rPr>
        <w:softHyphen/>
        <w:t>ande rådet</w:t>
      </w:r>
      <w:r w:rsidRPr="009A6D23">
        <w:t>,</w:t>
      </w:r>
      <w:r w:rsidDel="00BA083E">
        <w:rPr>
          <w:i/>
          <w:iCs/>
        </w:rPr>
        <w:t xml:space="preserve"> </w:t>
      </w:r>
      <w:r>
        <w:rPr>
          <w:i/>
          <w:iCs/>
        </w:rPr>
        <w:t xml:space="preserve">ECPAT </w:t>
      </w:r>
      <w:r>
        <w:t xml:space="preserve">och </w:t>
      </w:r>
      <w:r>
        <w:rPr>
          <w:i/>
          <w:iCs/>
        </w:rPr>
        <w:t>Åklagar</w:t>
      </w:r>
      <w:r>
        <w:rPr>
          <w:i/>
          <w:iCs/>
        </w:rPr>
        <w:softHyphen/>
        <w:t>myndigheten</w:t>
      </w:r>
      <w:r>
        <w:t>, delar. Det finns alltså</w:t>
      </w:r>
      <w:r w:rsidDel="007051A3">
        <w:t xml:space="preserve"> </w:t>
      </w:r>
      <w:r>
        <w:t>starka skäl som talar för att straff</w:t>
      </w:r>
      <w:r>
        <w:softHyphen/>
        <w:t>skalan även fortsättningsvis bör överensstämma med den för frids</w:t>
      </w:r>
      <w:r>
        <w:softHyphen/>
        <w:t>kränk</w:t>
      </w:r>
      <w:r>
        <w:softHyphen/>
        <w:t xml:space="preserve">ningsbrotten. </w:t>
      </w:r>
    </w:p>
    <w:p w14:paraId="58DCDC1D" w14:textId="77777777" w:rsidR="006973D1" w:rsidRDefault="006973D1" w:rsidP="006973D1">
      <w:pPr>
        <w:pStyle w:val="Brdtextmedindrag"/>
      </w:pPr>
      <w:r>
        <w:t xml:space="preserve">Den omständigheten att brottets </w:t>
      </w:r>
      <w:r w:rsidRPr="00C94074">
        <w:t xml:space="preserve">motiv </w:t>
      </w:r>
      <w:r>
        <w:t>har</w:t>
      </w:r>
      <w:r w:rsidRPr="00C94074">
        <w:t xml:space="preserve"> varit att bevara eller återupp</w:t>
      </w:r>
      <w:r>
        <w:softHyphen/>
      </w:r>
      <w:r w:rsidRPr="00C94074">
        <w:t>rätta en persons eller familjs, släkts eller annan liknande grupps heder</w:t>
      </w:r>
      <w:r>
        <w:t xml:space="preserve"> utgör ett av rekvisiten för att döma till ansvar för hedersförtryck. Att hedersrelaterat våld och förtryck är ett allvarligt och konkret problem för många personer är också en anledning till att hedersmotiv finns med som en särskild straffskärpningsgrund i 29 kap. 2 § brottsbalken. Definitionen av begreppet heder är densamma där som i brottet hedersförtryck. Det innebär, som </w:t>
      </w:r>
      <w:r w:rsidRPr="003D1928">
        <w:rPr>
          <w:i/>
        </w:rPr>
        <w:t>Barnombudsmannen</w:t>
      </w:r>
      <w:r>
        <w:t xml:space="preserve"> påpekar, att om någon döms för hedersförtryck så ska inte den särskilda straffskärpningsgrunden också tillämpas. Den försvårande omständigheten har då redan beaktats genom att personen döms för brottet (se prop. 2021/22:138 s. 27). Regeringen bedömer dock att den befintliga straffskalan ger tillräckligt utrymme för en nyanserad bedömning av de gärningar som kan aktualiseras inom ramen för bestämmelsens tillämpningsområde, särskilt med beaktande av att domstolen ska döma särskilt för det fall gärningspersonen samtidigt begått ett allvarligare brott mot målsäganden. Regeringen anser samman</w:t>
      </w:r>
      <w:r>
        <w:softHyphen/>
        <w:t>fatt</w:t>
      </w:r>
      <w:r>
        <w:softHyphen/>
        <w:t>nings</w:t>
      </w:r>
      <w:r>
        <w:softHyphen/>
        <w:t xml:space="preserve">vis att straffskalan inte bör höjas.      </w:t>
      </w:r>
    </w:p>
    <w:p w14:paraId="2BF51BD4" w14:textId="77777777" w:rsidR="006973D1" w:rsidRDefault="006973D1" w:rsidP="006973D1">
      <w:pPr>
        <w:pStyle w:val="Rubrik1"/>
      </w:pPr>
      <w:bookmarkStart w:id="88" w:name="_Toc221561252"/>
      <w:bookmarkStart w:id="89" w:name="_Toc224807604"/>
      <w:r>
        <w:lastRenderedPageBreak/>
        <w:t>Hemliga tvångsmedel i utredningar om äktenskapstvång och barnäktenskapsbrott</w:t>
      </w:r>
      <w:bookmarkEnd w:id="88"/>
      <w:bookmarkEnd w:id="89"/>
    </w:p>
    <w:p w14:paraId="75395EF1" w14:textId="77777777" w:rsidR="006973D1" w:rsidRDefault="006973D1" w:rsidP="006973D1">
      <w:pPr>
        <w:pStyle w:val="Rubrik2"/>
        <w:spacing w:before="0"/>
      </w:pPr>
      <w:bookmarkStart w:id="90" w:name="_Toc221561253"/>
      <w:bookmarkStart w:id="91" w:name="_Toc224807605"/>
      <w:r w:rsidRPr="00E71C60">
        <w:t>Allmänna utgångspunkter vid användningen av hemliga tvångsmedel</w:t>
      </w:r>
      <w:bookmarkEnd w:id="90"/>
      <w:bookmarkEnd w:id="91"/>
    </w:p>
    <w:p w14:paraId="34FC35F8" w14:textId="3077C0BF" w:rsidR="006973D1" w:rsidRDefault="006973D1" w:rsidP="006973D1">
      <w:pPr>
        <w:pStyle w:val="Brdtext"/>
      </w:pPr>
      <w:r>
        <w:t>De straffprocessuella tvångsmedlen syftar bl.a. till att brotts</w:t>
      </w:r>
      <w:r>
        <w:softHyphen/>
        <w:t>bekämpande myndigheter ska ha adekvata verktyg för att utreda brott och säkerställa lagföring. Bland de straffprocessuella tvångsmedlen intar de hemliga tvångs</w:t>
      </w:r>
      <w:r>
        <w:softHyphen/>
        <w:t>medlen en särställning eftersom den som är föremål för tvångs</w:t>
      </w:r>
      <w:r>
        <w:softHyphen/>
        <w:t>medlet inte är medveten om att det används mot honom eller henne. M</w:t>
      </w:r>
      <w:r w:rsidRPr="00132F87">
        <w:t>ed hemliga tvångsmedel avses de tvångsmedel som kategoriseras som hemliga i 27</w:t>
      </w:r>
      <w:r>
        <w:t> kap.</w:t>
      </w:r>
      <w:r w:rsidRPr="00132F87">
        <w:t xml:space="preserve"> rättegångsbalken, dvs. hemlig avlyssning av elektronisk kommunikation, hemlig övervakning av elektronisk kommunikation, hemlig kameraövervakning, hemlig rumsavlyssning och postkontroll.</w:t>
      </w:r>
      <w:r w:rsidRPr="00BF24CB">
        <w:rPr>
          <w:rFonts w:asciiTheme="minorHAnsi" w:hAnsiTheme="minorHAnsi"/>
          <w:sz w:val="22"/>
        </w:rPr>
        <w:t xml:space="preserve"> </w:t>
      </w:r>
      <w:r w:rsidRPr="00BF24CB">
        <w:t>Till de hemliga tvångsmedlen räknas också hemlig dataavläsning</w:t>
      </w:r>
      <w:r w:rsidR="00D26F18">
        <w:t>,</w:t>
      </w:r>
      <w:r w:rsidRPr="00BF24CB">
        <w:t xml:space="preserve"> som regleras i lagen (2020:62) om hemlig dataavläsning.</w:t>
      </w:r>
      <w:r>
        <w:t xml:space="preserve"> </w:t>
      </w:r>
    </w:p>
    <w:p w14:paraId="4AAF2CA8" w14:textId="77777777" w:rsidR="006973D1" w:rsidRDefault="006973D1" w:rsidP="006973D1">
      <w:pPr>
        <w:pStyle w:val="Brdtextmedindrag"/>
      </w:pPr>
      <w:r>
        <w:t>Hemlig avlyssning av elektronisk kommunikation innebär att meddelan</w:t>
      </w:r>
      <w:r>
        <w:softHyphen/>
        <w:t>den, som i ett elektroniskt kommunikationsnät överförs eller har överförts till eller från ett telefonnummer eller en annan adress, i hemlighet avlyssnas eller tas upp genom ett tekniskt hjälpmedel för återgivning av innehållet i meddelandet (27 kap. 18 § rättegångsbalken). Det handlar alltså om att de brottsbekämpande myndigheterna i hemlighet avlyssnar telefonsamtal eller tar del av innehållet i t.ex. sms eller mejl.</w:t>
      </w:r>
    </w:p>
    <w:p w14:paraId="3D510066" w14:textId="77777777" w:rsidR="006973D1" w:rsidRDefault="006973D1" w:rsidP="006973D1">
      <w:pPr>
        <w:pStyle w:val="Brdtextmedindrag"/>
      </w:pPr>
      <w:r w:rsidRPr="009D714A">
        <w:t>Med hemlig övervakning av elektronisk kommunikation avses</w:t>
      </w:r>
      <w:r w:rsidRPr="009D714A" w:rsidDel="00485481">
        <w:t xml:space="preserve"> </w:t>
      </w:r>
      <w:r w:rsidRPr="009D714A">
        <w:t>att uppgifter i hemlighet hämtas in om meddelanden som i ett elektroniskt kommunikationsnät överförs eller har överförts till eller från ett telefon</w:t>
      </w:r>
      <w:r>
        <w:softHyphen/>
      </w:r>
      <w:r w:rsidRPr="009D714A">
        <w:t>nummer eller en annan adress,</w:t>
      </w:r>
      <w:r>
        <w:t xml:space="preserve"> </w:t>
      </w:r>
      <w:r w:rsidRPr="009D714A">
        <w:t>vilka elektroniska kommunikations</w:t>
      </w:r>
      <w:r>
        <w:softHyphen/>
      </w:r>
      <w:r w:rsidRPr="009D714A">
        <w:t>utrust</w:t>
      </w:r>
      <w:r>
        <w:softHyphen/>
      </w:r>
      <w:r w:rsidRPr="009D714A">
        <w:t>ningar som har funnits inom ett visst geografiskt område eller i vilket geografiskt område en viss elektronisk kommunikationsutrustning finns eller har funnits</w:t>
      </w:r>
      <w:r>
        <w:t xml:space="preserve"> (</w:t>
      </w:r>
      <w:r w:rsidRPr="009D714A">
        <w:t>27</w:t>
      </w:r>
      <w:r>
        <w:t> </w:t>
      </w:r>
      <w:r w:rsidRPr="009D714A">
        <w:t>kap. 19</w:t>
      </w:r>
      <w:r>
        <w:t> §</w:t>
      </w:r>
      <w:r w:rsidRPr="009D714A">
        <w:t xml:space="preserve"> rättegångs</w:t>
      </w:r>
      <w:r>
        <w:softHyphen/>
      </w:r>
      <w:r w:rsidRPr="009D714A">
        <w:t>balken</w:t>
      </w:r>
      <w:r>
        <w:t>)</w:t>
      </w:r>
      <w:r w:rsidRPr="009D714A">
        <w:t xml:space="preserve">. </w:t>
      </w:r>
      <w:r>
        <w:t xml:space="preserve">Det handlar alltså om att de brottsbekämpande myndigheterna i hemlighet tar del av t.ex. uppgifter om vem som har kontaktat vem och vid vilken tidpunkt som kontakterna har skett eller uppgifter om vilka telefoner som kopplat upp mot en viss basstation, dvs. den fasta enhet som en mobil radiosändare ansluter till. </w:t>
      </w:r>
    </w:p>
    <w:p w14:paraId="67891AF3" w14:textId="77777777" w:rsidR="006973D1" w:rsidRDefault="006973D1" w:rsidP="006973D1">
      <w:pPr>
        <w:pStyle w:val="Brdtextmedindrag"/>
      </w:pPr>
      <w:r w:rsidRPr="009D714A">
        <w:t>Hemlig kameraövervakning innebär att de brottsbekämpande myndig</w:t>
      </w:r>
      <w:r>
        <w:softHyphen/>
      </w:r>
      <w:r w:rsidRPr="009D714A">
        <w:t>heterna med t.ex. fjärrstyrda tv-kameror utför optisk personöver</w:t>
      </w:r>
      <w:r>
        <w:softHyphen/>
      </w:r>
      <w:r w:rsidRPr="009D714A">
        <w:t>vakning utan att upplysning om övervakningen lämnas (27</w:t>
      </w:r>
      <w:r>
        <w:t> </w:t>
      </w:r>
      <w:r w:rsidRPr="009D714A">
        <w:t>kap.</w:t>
      </w:r>
      <w:r>
        <w:t> </w:t>
      </w:r>
      <w:r w:rsidRPr="009D714A">
        <w:t>20</w:t>
      </w:r>
      <w:r>
        <w:t> </w:t>
      </w:r>
      <w:r w:rsidRPr="009D714A">
        <w:t>a</w:t>
      </w:r>
      <w:r>
        <w:t> §</w:t>
      </w:r>
      <w:r w:rsidRPr="009D714A">
        <w:t xml:space="preserve"> första stycket rättegångsbalken). Det är inte tillåtet att ta upp ljud vid hemlig kameraövervakning.</w:t>
      </w:r>
    </w:p>
    <w:p w14:paraId="11DBCA93" w14:textId="77777777" w:rsidR="006973D1" w:rsidRDefault="006973D1" w:rsidP="006973D1">
      <w:pPr>
        <w:pStyle w:val="Brdtextmedindrag"/>
      </w:pPr>
      <w:r w:rsidRPr="009D714A">
        <w:t>Hemlig dataavläsning är en metod för de brottsbekämpande myndig</w:t>
      </w:r>
      <w:r>
        <w:softHyphen/>
      </w:r>
      <w:r w:rsidRPr="009D714A">
        <w:t>heterna att med någon form av tekniskt hjälpmedel i hemlighet bereda sig tillgång till en dator eller annan teknisk utrustning som kan användas för kommunikation och därmed få besked om hur utrustningen används eller har använts och vilken information som finns i den. Uppgiftstyperna motsvarar i huvudsak, men inte uteslutande, den information som kan inhämtas med övriga hemliga tvångsmedel.</w:t>
      </w:r>
    </w:p>
    <w:p w14:paraId="37F72B44" w14:textId="71299B42" w:rsidR="006973D1" w:rsidRDefault="006973D1" w:rsidP="006973D1">
      <w:pPr>
        <w:pStyle w:val="Brdtextmedindrag"/>
      </w:pPr>
      <w:r>
        <w:t xml:space="preserve">Sedan den 1 juli 2024 är det även möjligt att, bl.a. med stöd av lagen (2024:326) om hemliga tvångsmedel i syfte att verkställa frihetsberövande </w:t>
      </w:r>
      <w:r>
        <w:lastRenderedPageBreak/>
        <w:t>påföljder, använda vissa hemliga tvångsmedel för att lokalisera personer som håller sig undan eller har avvikit från ett beslut om anhållande eller häktning eller från verkställighet av ett straff.</w:t>
      </w:r>
      <w:r w:rsidRPr="00E6479C">
        <w:t xml:space="preserve"> </w:t>
      </w:r>
      <w:r>
        <w:t xml:space="preserve">Sedan den 1 oktober 2025 får </w:t>
      </w:r>
      <w:r w:rsidRPr="00D4181D">
        <w:t>hemliga och preventiva tvångsmede</w:t>
      </w:r>
      <w:r>
        <w:t>l användas ä</w:t>
      </w:r>
      <w:r w:rsidRPr="00D4181D">
        <w:t>ven mot barn under 15</w:t>
      </w:r>
      <w:r w:rsidR="00086DA8">
        <w:t> </w:t>
      </w:r>
      <w:r w:rsidRPr="00D4181D">
        <w:t>år</w:t>
      </w:r>
      <w:r>
        <w:t xml:space="preserve"> för att utreda vissa allvarligare brott </w:t>
      </w:r>
      <w:r w:rsidRPr="00D4181D">
        <w:t>där den misstänkte är under 15</w:t>
      </w:r>
      <w:r w:rsidR="00086DA8">
        <w:t> </w:t>
      </w:r>
      <w:r w:rsidRPr="00D4181D">
        <w:t>år</w:t>
      </w:r>
      <w:r>
        <w:t>.</w:t>
      </w:r>
    </w:p>
    <w:p w14:paraId="20439C95" w14:textId="77777777" w:rsidR="006973D1" w:rsidRDefault="006973D1" w:rsidP="006973D1">
      <w:pPr>
        <w:pStyle w:val="Brdtextmedindrag"/>
      </w:pPr>
      <w:r>
        <w:t xml:space="preserve">För all användning av </w:t>
      </w:r>
      <w:r w:rsidRPr="004E1C4E">
        <w:t xml:space="preserve">tvångsmedel </w:t>
      </w:r>
      <w:r>
        <w:t>gäller tre allmänna principer: ä</w:t>
      </w:r>
      <w:r w:rsidRPr="004E1C4E">
        <w:t>nda</w:t>
      </w:r>
      <w:r>
        <w:softHyphen/>
      </w:r>
      <w:r w:rsidRPr="004E1C4E">
        <w:t>målsprincipen, behovsprincipen och</w:t>
      </w:r>
      <w:r>
        <w:t xml:space="preserve"> </w:t>
      </w:r>
      <w:r w:rsidRPr="004E1C4E">
        <w:t>proportionalitetsprincipen. Enligt ändamålsprincipen får ett tvångsmedel</w:t>
      </w:r>
      <w:r>
        <w:t xml:space="preserve"> </w:t>
      </w:r>
      <w:r w:rsidRPr="004E1C4E">
        <w:t>användas endast för det ändamål som framgår av lagstiftningen.</w:t>
      </w:r>
      <w:r>
        <w:t xml:space="preserve"> </w:t>
      </w:r>
      <w:r w:rsidRPr="004E1C4E">
        <w:t>Behovsprincipen innebär att en myndighet får använda ett tvångsmedel</w:t>
      </w:r>
      <w:r>
        <w:t xml:space="preserve"> </w:t>
      </w:r>
      <w:r w:rsidRPr="004E1C4E">
        <w:t>bara när det finns ett påtagligt behov av det och en mindre ingripande</w:t>
      </w:r>
      <w:r>
        <w:t xml:space="preserve"> </w:t>
      </w:r>
      <w:r w:rsidRPr="004E1C4E">
        <w:t>åtgärd inte är tillräcklig. Proportionalitets</w:t>
      </w:r>
      <w:r>
        <w:softHyphen/>
      </w:r>
      <w:r w:rsidRPr="004E1C4E">
        <w:t>principen innebär att ett tvångsmedel får tillgripas endast om skälen för åtgärden uppväger det intrång eller men i övrigt som åt</w:t>
      </w:r>
      <w:r w:rsidRPr="00E71C60">
        <w:t>gärden innebär för den misstänkte eller något annat motstående intresse.</w:t>
      </w:r>
      <w:r>
        <w:t xml:space="preserve"> </w:t>
      </w:r>
    </w:p>
    <w:p w14:paraId="5CDAC18A" w14:textId="77777777" w:rsidR="006973D1" w:rsidRDefault="006973D1" w:rsidP="006973D1">
      <w:pPr>
        <w:pStyle w:val="Brdtextmedindrag"/>
      </w:pPr>
      <w:r w:rsidRPr="00184DF7">
        <w:t>För</w:t>
      </w:r>
      <w:r w:rsidRPr="00846FA7">
        <w:t xml:space="preserve"> att hemliga tvångsmedel ska få användas ställs det upp vissa kvali</w:t>
      </w:r>
      <w:r>
        <w:softHyphen/>
      </w:r>
      <w:r w:rsidRPr="00846FA7">
        <w:t>fikationskrav som tar sikte på behovet av åtgärden i det enskilda fallet. I de fall en förundersökning pågår krävs att åtgärden är av synnerlig vikt för utredningen</w:t>
      </w:r>
      <w:r>
        <w:t>. Det i</w:t>
      </w:r>
      <w:r w:rsidRPr="0024678C">
        <w:t>nnebär att det uppställs ett kvalitetskrav på de upplys</w:t>
      </w:r>
      <w:r>
        <w:softHyphen/>
      </w:r>
      <w:r w:rsidRPr="0024678C">
        <w:t>ningar som åtgärden kan ge.</w:t>
      </w:r>
      <w:r w:rsidDel="00142974">
        <w:t xml:space="preserve"> </w:t>
      </w:r>
      <w:r>
        <w:t>Brottskataloger avgränsar använd</w:t>
      </w:r>
      <w:r>
        <w:softHyphen/>
        <w:t xml:space="preserve">ningen av tvångsmedlen till vissa typer av brott. </w:t>
      </w:r>
    </w:p>
    <w:p w14:paraId="4F3FBAED" w14:textId="77777777" w:rsidR="006973D1" w:rsidRDefault="006973D1" w:rsidP="006973D1">
      <w:pPr>
        <w:pStyle w:val="Rubrik2"/>
      </w:pPr>
      <w:bookmarkStart w:id="92" w:name="_Toc221561254"/>
      <w:bookmarkStart w:id="93" w:name="_Toc224807606"/>
      <w:r>
        <w:t>Skyddet för den personliga integriteten</w:t>
      </w:r>
      <w:bookmarkEnd w:id="92"/>
      <w:bookmarkEnd w:id="93"/>
    </w:p>
    <w:p w14:paraId="5AF2F03C" w14:textId="77777777" w:rsidR="006973D1" w:rsidRDefault="006973D1" w:rsidP="006973D1">
      <w:pPr>
        <w:pStyle w:val="Brdtext"/>
      </w:pPr>
      <w:r>
        <w:t>I 2 kap. regeringsformen finns föreskrifter om grundläggande fri- och rättigheter. Föreskrifterna innebär bl.a. att var och en gentemot det allmänna är skyddad mot kroppsvisitation, husrannsakan och liknande intrång, mot undersökning av brev eller annan förtrolig försändelse och mot hemlig avlyssning eller upptagning av telefonsamtal eller annat förtroligt meddelande (6 § första stycket). Var och en är också skyddad gentemot det allmänna mot betydande intrång i den personliga integriteten, om det sker utan samtycke och innebär övervakning eller kartläggning av den enskildes personliga förhållanden (6 § andra stycket). Dessa grund</w:t>
      </w:r>
      <w:r>
        <w:softHyphen/>
        <w:t>läggande rättigheter får begränsas bara genom lag och endast för att tillgodose ändamål som är godtagbara i ett demokratiskt samhälle. Begränsningen får aldrig gå utöver vad som är nödvändigt med hänsyn till det ändamål som har föranlett den och inte heller sträcka sig så långt att den utgör ett hot mot den fria åsiktsbildningen såsom en av folkstyrelsens grundvalar. Begränsningen får inte göras enbart på grund av politisk, religiös, kulturell eller annan sådan åskådning (20 och 21 §§).</w:t>
      </w:r>
    </w:p>
    <w:p w14:paraId="34F71B58" w14:textId="77777777" w:rsidR="006973D1" w:rsidRDefault="006973D1" w:rsidP="006973D1">
      <w:pPr>
        <w:pStyle w:val="Brdtextmedindrag"/>
      </w:pPr>
      <w:r>
        <w:t>Enligt artikel 8 i Europakonven</w:t>
      </w:r>
      <w:r>
        <w:softHyphen/>
        <w:t xml:space="preserve">tionen har var och en rätt till respekt för sitt privat- och familjeliv, sitt hem och sin korrespondens. Rätten till skydd för privat- och familjeliv omfattar bl.a. skydd mot övervakning i olika former. Offentliga myndigheter får inte inskränka dessa rättigheter annat än med stöd av lag och om det i ett demokratiskt samhälle är nödvändigt bl.a. med hänsyn till statens säkerhet och den allmänna säkerheten, till förebyggande av oordning och brott eller till skydd för andra personers fri- och rättigheter. Konventionen gäller som svensk lag (lagen [1994:1219] om den europeiska konventionen angående skydd för de mänskliga </w:t>
      </w:r>
      <w:r>
        <w:lastRenderedPageBreak/>
        <w:t>rättigheterna och de grundläggande friheterna). Lag eller annan föreskrift får inte meddelas i strid med Sveriges åtaganden på grund av Europa</w:t>
      </w:r>
      <w:r>
        <w:softHyphen/>
        <w:t xml:space="preserve">konventionen (2 kap. 19 § regeringsformen). </w:t>
      </w:r>
    </w:p>
    <w:p w14:paraId="06E0C7E1" w14:textId="77777777" w:rsidR="006973D1" w:rsidRPr="00844292" w:rsidRDefault="006973D1" w:rsidP="006973D1">
      <w:pPr>
        <w:pStyle w:val="Brdtextmedindrag"/>
      </w:pPr>
      <w:r>
        <w:t>Artikel 8 i Europakonventionen ger inte bara upphov till negativa förpliktelser för det allmänna att avhålla sig från omotiverade inskränk</w:t>
      </w:r>
      <w:r>
        <w:softHyphen/>
        <w:t>ningar i enskildas rättigheter, utan även positiva skyldigheter att se till att enskilda tillförsäkras skydd för sina rättigheter gentemot andra enskilda. Det innebär t.ex. att staten i vissa fall kan vara skyldig att införa straff</w:t>
      </w:r>
      <w:r>
        <w:softHyphen/>
        <w:t>rättslig reglering för att skydda enskilda mot intrång i deras rättigheter från andra enskilda. Det innebär även att staten i sådana fall behöver säkerställa att brott kan utredas effektivt.</w:t>
      </w:r>
    </w:p>
    <w:p w14:paraId="7860AC18" w14:textId="77777777" w:rsidR="006973D1" w:rsidRDefault="006973D1" w:rsidP="006973D1">
      <w:pPr>
        <w:pStyle w:val="Brdtextmedindrag"/>
      </w:pPr>
      <w:r>
        <w:t>En bestämmelse om rätt till respekt för bl.a. privatliv finns också i artikel 7 i Europeiska unionens stadga om de grundläggande rättigheterna (EU:s rättighetsstadga). Varje begränsning i utövandet av de fri- och rättigheter som erkänns i EU:s rättighetsstadga måste vara föreskriven i lag och förenlig med innehållet i dessa fri- och rättigheter. Begränsningar får, med beaktande av proportionalitetsprincipen, göras endast om de är nödvändiga och faktiskt svarar mot mål av allmänt samhällsintresse som erkänns av unionen eller behovet av skydd för andra människors fri- och rättigheter (artikel 52.1). I den mån stadgan omfattar rättigheter som motsvarar sådana som garanteras av Europakonventionen, ska de ha samma innebörd och räckvidd som enligt konventionen, eller ett mer långtgående skydd (artikel 52.3). Rättighetsstadgan riktar sig till medlems</w:t>
      </w:r>
      <w:r>
        <w:softHyphen/>
        <w:t>staterna när de tillämpar unionsrätten (artikel 51.1). Det innebär att rättig</w:t>
      </w:r>
      <w:r>
        <w:softHyphen/>
        <w:t>heterna i stadgan måste iakttas vid tillämpningen av nationell lagstiftning som genomför EU-rätt och nationell lagstiftning som omfattas av unionens tillämpningsområde (EU-domstolens dom den 26 februari 2013 i målet Åkerberg Fransson, C-617/10, punkt 21).</w:t>
      </w:r>
    </w:p>
    <w:p w14:paraId="2FB71F1D" w14:textId="77777777" w:rsidR="006973D1" w:rsidRDefault="006973D1" w:rsidP="006973D1">
      <w:pPr>
        <w:pStyle w:val="Brdtextmedindrag"/>
      </w:pPr>
      <w:r w:rsidRPr="00E3477E">
        <w:t xml:space="preserve">Vidare innehåller </w:t>
      </w:r>
      <w:r>
        <w:t>ba</w:t>
      </w:r>
      <w:r w:rsidRPr="00E3477E">
        <w:t xml:space="preserve">rnkonventionen bestämmelser om barns rätt till privatliv. </w:t>
      </w:r>
      <w:r>
        <w:t>Av artikel 3</w:t>
      </w:r>
      <w:r w:rsidRPr="00E3477E">
        <w:t xml:space="preserve"> framgår att vid alla åtgärder som rör barn ska i första hand beaktas vad som bedöms vara barnets bästa. Enligt artikel 3.2 är det även statens uppgift att tillförsäkra barn det skydd och den omvårdnad som behövs för deras välfärd samt, för det ändamålet, vidta alla lämpliga lagstiftningsåtgärder och administrativa åtgärder. Av artikel 16 följer att inget barn får utsättas för godtyckliga eller olagliga ingripanden i sitt privat- och familjeliv</w:t>
      </w:r>
      <w:r>
        <w:t>. Av artikel 40, s</w:t>
      </w:r>
      <w:r w:rsidRPr="00E3477E">
        <w:t>om anger hur barn som misstänks för brott ska behandlas,</w:t>
      </w:r>
      <w:r>
        <w:t xml:space="preserve"> framgår</w:t>
      </w:r>
      <w:r w:rsidDel="00142974">
        <w:t xml:space="preserve"> </w:t>
      </w:r>
      <w:r>
        <w:t xml:space="preserve">bl.a. att det ska säkerställas att barn får sitt privatliv till fullo respekterat under alla stadier i förfarandet. </w:t>
      </w:r>
    </w:p>
    <w:p w14:paraId="1F3161E5" w14:textId="77777777" w:rsidR="006973D1" w:rsidRDefault="006973D1" w:rsidP="006973D1">
      <w:pPr>
        <w:pStyle w:val="Brdtextmedindrag"/>
      </w:pPr>
      <w:r w:rsidRPr="00B5343F">
        <w:t>Sverige har även förbundit sig att följa flera andra internationella åtaganden om mänskliga rättigheter, bl.a. Internationella konventionen om medborgerliga och politiska rättigheter.</w:t>
      </w:r>
    </w:p>
    <w:p w14:paraId="4485572C" w14:textId="77777777" w:rsidR="006973D1" w:rsidRDefault="006973D1" w:rsidP="006973D1">
      <w:pPr>
        <w:pStyle w:val="Rubrik2"/>
      </w:pPr>
      <w:bookmarkStart w:id="94" w:name="_Toc221561255"/>
      <w:bookmarkStart w:id="95" w:name="_Toc224807607"/>
      <w:r w:rsidRPr="00E71C60">
        <w:t>En avvägning mellan behov och integritetsintrång</w:t>
      </w:r>
      <w:bookmarkEnd w:id="94"/>
      <w:bookmarkEnd w:id="95"/>
    </w:p>
    <w:p w14:paraId="4A6E09AD" w14:textId="77777777" w:rsidR="006973D1" w:rsidRDefault="006973D1" w:rsidP="006973D1">
      <w:pPr>
        <w:pStyle w:val="Brdtextmedindrag"/>
        <w:ind w:firstLine="0"/>
      </w:pPr>
      <w:r>
        <w:t>Regleringen om hemliga tvångsmedel har utformats efter en avvägning mellan å ena sidan samhällets behov av en effektiv brottsbekämpning till skydd för medborgarna och å andra sidan grundläggande fri- och rättig</w:t>
      </w:r>
      <w:r>
        <w:softHyphen/>
        <w:t xml:space="preserve">heter såsom den enskildes rätt till integritet och rättssäkerhet i förhållande </w:t>
      </w:r>
      <w:r>
        <w:lastRenderedPageBreak/>
        <w:t>till staten. Vid överväganden om att utöka de brottsbekämpande myndig</w:t>
      </w:r>
      <w:r>
        <w:softHyphen/>
        <w:t>heternas möjligheter att använda hemliga tvångsmedel krävs noggranna avvägningar mellan å ena sidan behovet av åtgärden samt åtgärdens förväntade effektivitet och nytta och å andra sidan vilka integritetsintrång som åtgärden kan förväntas medföra. En utökad möjlighet att använda hemliga tvångsmedel måste motsvaras av ett faktiskt behov, vilket ska vägas mot vikten av att värna rättssäkerhet och personlig integritet (</w:t>
      </w:r>
      <w:r w:rsidRPr="00277684">
        <w:t>se t.ex. SOU 2007:22 del 1 s.</w:t>
      </w:r>
      <w:r>
        <w:t> </w:t>
      </w:r>
      <w:r w:rsidRPr="00277684">
        <w:t>176</w:t>
      </w:r>
      <w:r>
        <w:t>–</w:t>
      </w:r>
      <w:r w:rsidRPr="00277684">
        <w:t>177</w:t>
      </w:r>
      <w:r>
        <w:t>).</w:t>
      </w:r>
    </w:p>
    <w:p w14:paraId="7A7611C1" w14:textId="77777777" w:rsidR="006973D1" w:rsidRPr="00132F87" w:rsidRDefault="006973D1" w:rsidP="006973D1">
      <w:pPr>
        <w:pStyle w:val="Rubrik2"/>
      </w:pPr>
      <w:bookmarkStart w:id="96" w:name="_Ref216432009"/>
      <w:bookmarkStart w:id="97" w:name="_Ref216432026"/>
      <w:bookmarkStart w:id="98" w:name="_Toc221561256"/>
      <w:bookmarkStart w:id="99" w:name="_Toc224807608"/>
      <w:r>
        <w:t>Hemliga tvångsmedel ska få användas i utredningar om äktenskapstvång och barnäktenskapsbrott</w:t>
      </w:r>
      <w:bookmarkEnd w:id="96"/>
      <w:bookmarkEnd w:id="97"/>
      <w:bookmarkEnd w:id="98"/>
      <w:bookmarkEnd w:id="99"/>
    </w:p>
    <w:p w14:paraId="1E940623" w14:textId="77777777" w:rsidR="006973D1" w:rsidRDefault="006973D1" w:rsidP="006973D1">
      <w:pPr>
        <w:pStyle w:val="Rubrik4ram"/>
      </w:pPr>
      <w:r>
        <w:t>Regeringens förslag</w:t>
      </w:r>
    </w:p>
    <w:p w14:paraId="2FBC2B48" w14:textId="77777777" w:rsidR="006973D1" w:rsidRPr="00277684" w:rsidRDefault="006973D1" w:rsidP="006973D1">
      <w:pPr>
        <w:pStyle w:val="Brdtextram"/>
      </w:pPr>
      <w:r>
        <w:t>Hemlig avlyssning av elektronisk kommunikation, hemlig övervakning av elektronisk kommunikation, hemlig kameraövervakning och hemlig dataavläsning som inte gäller rumsavlyssningsuppgifter ska få använ</w:t>
      </w:r>
      <w:r>
        <w:softHyphen/>
        <w:t xml:space="preserve">das vid förundersökning om äktenskapstvång och barnäktenskapsbrott, både om någon är skäligen misstänkt för brott och i syfte att utreda vem som skäligen kan misstänkas för brott. </w:t>
      </w:r>
    </w:p>
    <w:p w14:paraId="60D53655" w14:textId="7272E31F" w:rsidR="006973D1" w:rsidRPr="00837CDF" w:rsidRDefault="006973D1" w:rsidP="006973D1">
      <w:pPr>
        <w:pStyle w:val="Brdtextmedindragram"/>
      </w:pPr>
      <w:r>
        <w:t>För att hemlig avlyssning av elektronisk kommunikation och hemlig dataavläsning som gäller kommunikationsavlyssningsuppgifter, kameraövervakningsuppgifter och andra uppgifter som är åtkomliga i ett avläsningsbart informationssystem ska få användas för att utreda vem som skäligen kan misstänkas för äktenskapstvång och barn</w:t>
      </w:r>
      <w:r>
        <w:softHyphen/>
        <w:t xml:space="preserve">äktenskapsbrott ska det krävas att det kan antas att brottets straffvärde överstiger ett års fängelse. </w:t>
      </w:r>
    </w:p>
    <w:p w14:paraId="6E92382A" w14:textId="77777777" w:rsidR="006973D1" w:rsidRDefault="006973D1" w:rsidP="006973D1">
      <w:pPr>
        <w:pStyle w:val="Rubrik4efterram"/>
      </w:pPr>
      <w:r>
        <w:t xml:space="preserve">Utredningens förslag </w:t>
      </w:r>
    </w:p>
    <w:p w14:paraId="7A818290" w14:textId="77777777" w:rsidR="006973D1" w:rsidRDefault="006973D1" w:rsidP="006973D1">
      <w:pPr>
        <w:pStyle w:val="Brdtext"/>
        <w:rPr>
          <w:b/>
          <w:bCs/>
        </w:rPr>
      </w:pPr>
      <w:r>
        <w:t xml:space="preserve">Utredningens förslag </w:t>
      </w:r>
      <w:r>
        <w:rPr>
          <w:bCs/>
        </w:rPr>
        <w:t xml:space="preserve">överensstämmer </w:t>
      </w:r>
      <w:r w:rsidDel="00903AEC">
        <w:rPr>
          <w:bCs/>
        </w:rPr>
        <w:t>i huvudsak</w:t>
      </w:r>
      <w:r>
        <w:rPr>
          <w:bCs/>
        </w:rPr>
        <w:t xml:space="preserve"> med regeringens. Utred</w:t>
      </w:r>
      <w:r>
        <w:rPr>
          <w:bCs/>
        </w:rPr>
        <w:softHyphen/>
        <w:t xml:space="preserve">ningens förslag omfattar inte att hemlig avlyssning av elektronisk kommunikation och hemlig dataavläsning som gäller </w:t>
      </w:r>
      <w:r w:rsidRPr="008D0668">
        <w:t>kommunikations</w:t>
      </w:r>
      <w:r>
        <w:softHyphen/>
      </w:r>
      <w:r w:rsidRPr="008D0668">
        <w:t>avlyssningsuppgifter, kameraövervakningsuppgifter och andra uppgifter som är åtkomliga i ett avläsningsbart informationssystem</w:t>
      </w:r>
      <w:r>
        <w:rPr>
          <w:bCs/>
        </w:rPr>
        <w:t xml:space="preserve"> ska få användas i syfte att utreda vem som skäligen kan misstänkas för brott.  </w:t>
      </w:r>
    </w:p>
    <w:p w14:paraId="557AD050" w14:textId="77777777" w:rsidR="006973D1" w:rsidRDefault="006973D1" w:rsidP="006973D1">
      <w:pPr>
        <w:pStyle w:val="Rubrik4efterram"/>
      </w:pPr>
      <w:r>
        <w:t>Remissinstanserna</w:t>
      </w:r>
    </w:p>
    <w:p w14:paraId="63966C98" w14:textId="77777777" w:rsidR="006973D1" w:rsidRDefault="006973D1" w:rsidP="006973D1">
      <w:pPr>
        <w:pStyle w:val="Brdtext"/>
      </w:pPr>
      <w:r>
        <w:t>De flesta av remissinstanserna tillstyrker förslaget eller har ingen invänd</w:t>
      </w:r>
      <w:r>
        <w:softHyphen/>
        <w:t xml:space="preserve">ning mot det. Bland dem finns </w:t>
      </w:r>
      <w:bookmarkStart w:id="100" w:name="_Hlk210766062"/>
      <w:r w:rsidRPr="00A24F68">
        <w:rPr>
          <w:i/>
          <w:iCs/>
        </w:rPr>
        <w:t>Barnombudsmannen</w:t>
      </w:r>
      <w:r>
        <w:t xml:space="preserve">, </w:t>
      </w:r>
      <w:r>
        <w:rPr>
          <w:i/>
          <w:iCs/>
        </w:rPr>
        <w:t>ECPAT</w:t>
      </w:r>
      <w:r w:rsidRPr="004F5AD7">
        <w:rPr>
          <w:iCs/>
        </w:rPr>
        <w:t>,</w:t>
      </w:r>
      <w:r>
        <w:t xml:space="preserve"> </w:t>
      </w:r>
      <w:r w:rsidRPr="00A24F68">
        <w:rPr>
          <w:i/>
          <w:iCs/>
        </w:rPr>
        <w:t>Jämställd</w:t>
      </w:r>
      <w:r>
        <w:rPr>
          <w:i/>
          <w:iCs/>
        </w:rPr>
        <w:softHyphen/>
      </w:r>
      <w:r w:rsidRPr="00A24F68">
        <w:rPr>
          <w:i/>
          <w:iCs/>
        </w:rPr>
        <w:t>hetsmyndigheten</w:t>
      </w:r>
      <w:r>
        <w:t xml:space="preserve">, </w:t>
      </w:r>
      <w:r w:rsidRPr="00A24F68">
        <w:rPr>
          <w:i/>
          <w:iCs/>
        </w:rPr>
        <w:t>Linköpings universitet (Barnafrid – Nationellt centrum för kunskap om våld mot barn)</w:t>
      </w:r>
      <w:r>
        <w:t xml:space="preserve">, </w:t>
      </w:r>
      <w:r w:rsidRPr="00A24F68">
        <w:rPr>
          <w:i/>
          <w:iCs/>
        </w:rPr>
        <w:t>Länsstyrelsen Östergötland (Nationellt centrum mot hedersrelaterat våld och förtryck)</w:t>
      </w:r>
      <w:r>
        <w:t xml:space="preserve">, </w:t>
      </w:r>
      <w:r w:rsidRPr="00A24F68">
        <w:rPr>
          <w:i/>
          <w:iCs/>
        </w:rPr>
        <w:t>Origo</w:t>
      </w:r>
      <w:r>
        <w:t xml:space="preserve">, </w:t>
      </w:r>
      <w:r w:rsidRPr="00A24F68">
        <w:rPr>
          <w:i/>
          <w:iCs/>
        </w:rPr>
        <w:t>Svenska kyrkan</w:t>
      </w:r>
      <w:r>
        <w:t xml:space="preserve">, </w:t>
      </w:r>
      <w:r w:rsidRPr="00A24F68">
        <w:rPr>
          <w:i/>
          <w:iCs/>
        </w:rPr>
        <w:t>Sveriges advokatsamfund</w:t>
      </w:r>
      <w:r>
        <w:t xml:space="preserve"> och </w:t>
      </w:r>
      <w:r w:rsidRPr="00A24F68">
        <w:rPr>
          <w:i/>
          <w:iCs/>
        </w:rPr>
        <w:t>Riksföreningen för skolsköterskor</w:t>
      </w:r>
      <w:r>
        <w:t xml:space="preserve">. </w:t>
      </w:r>
    </w:p>
    <w:bookmarkEnd w:id="100"/>
    <w:p w14:paraId="1CD0F3C3" w14:textId="77777777" w:rsidR="006973D1" w:rsidRDefault="006973D1" w:rsidP="006973D1">
      <w:pPr>
        <w:pStyle w:val="Brdtextmedindrag"/>
      </w:pPr>
      <w:r w:rsidRPr="00A24F68">
        <w:rPr>
          <w:i/>
          <w:iCs/>
        </w:rPr>
        <w:t>Polismyndigheten</w:t>
      </w:r>
      <w:r w:rsidRPr="00130F73">
        <w:t>,</w:t>
      </w:r>
      <w:r>
        <w:t xml:space="preserve"> </w:t>
      </w:r>
      <w:r w:rsidRPr="00A24F68">
        <w:rPr>
          <w:i/>
          <w:iCs/>
        </w:rPr>
        <w:t>Åklagarmyndigheten</w:t>
      </w:r>
      <w:r>
        <w:t xml:space="preserve"> och </w:t>
      </w:r>
      <w:r w:rsidRPr="00A24F68">
        <w:rPr>
          <w:i/>
          <w:iCs/>
        </w:rPr>
        <w:t>V</w:t>
      </w:r>
      <w:r>
        <w:rPr>
          <w:i/>
          <w:iCs/>
        </w:rPr>
        <w:t>arken hora eller kuvad</w:t>
      </w:r>
      <w:r>
        <w:t>, som samtliga tillstyrker utredningens förslag att utöka använd</w:t>
      </w:r>
      <w:r>
        <w:softHyphen/>
        <w:t>nings</w:t>
      </w:r>
      <w:r>
        <w:softHyphen/>
        <w:t xml:space="preserve">området för hemliga tvångsmedel, anser att även hemlig avlyssning av </w:t>
      </w:r>
      <w:r>
        <w:lastRenderedPageBreak/>
        <w:t>elektronisk kommunikation och hemlig dataavläsning ska få användas i syfte att utreda vem som skäligen kan misstänkas för brott. Varken hora eller kuvad anser vidare att hemliga tvångsmedel behöver kunna användas även för annan hedersrelaterad brottslighet, såsom könsstympning.</w:t>
      </w:r>
    </w:p>
    <w:p w14:paraId="172452F0" w14:textId="77777777" w:rsidR="006973D1" w:rsidRDefault="006973D1" w:rsidP="006973D1">
      <w:pPr>
        <w:pStyle w:val="Brdtextmedindrag"/>
      </w:pPr>
      <w:r w:rsidRPr="00A24F68">
        <w:rPr>
          <w:i/>
          <w:iCs/>
        </w:rPr>
        <w:t>Integritetsskyddsmyndigheten</w:t>
      </w:r>
      <w:r>
        <w:t xml:space="preserve"> konstaterar att förslagen innebär en viss utvidgning av tillämpningsområdet för hemliga tvångsmedel och fram</w:t>
      </w:r>
      <w:r>
        <w:softHyphen/>
        <w:t xml:space="preserve">håller vikten av att det fortsatta lagstiftningsarbetet koordineras med anledning av att det tillsatts en utredning att se över de hemliga och preventiva tvångsmedlen. </w:t>
      </w:r>
      <w:r w:rsidRPr="00A24F68">
        <w:rPr>
          <w:i/>
          <w:iCs/>
        </w:rPr>
        <w:t xml:space="preserve">Justitiekanslern </w:t>
      </w:r>
      <w:r>
        <w:t xml:space="preserve">framför liknande synpunkter och anser att det vore lämpligt att avvakta resultatet av den översyn som pågår innan utredningens förslag genomförs. </w:t>
      </w:r>
    </w:p>
    <w:p w14:paraId="678E8585" w14:textId="77777777" w:rsidR="006973D1" w:rsidRDefault="006973D1" w:rsidP="006973D1">
      <w:pPr>
        <w:pStyle w:val="Brdtextmedindrag"/>
      </w:pPr>
      <w:r w:rsidRPr="00A24F68">
        <w:rPr>
          <w:i/>
          <w:iCs/>
        </w:rPr>
        <w:t>Riksorganisationen för kvinnojourer och tjejjourer i Sverige</w:t>
      </w:r>
      <w:r>
        <w:rPr>
          <w:i/>
          <w:iCs/>
        </w:rPr>
        <w:t xml:space="preserve"> </w:t>
      </w:r>
      <w:r>
        <w:t xml:space="preserve">är kritisk till förslagen och menar att utredningen inte har tagit hänsyn till potentiella risker för brottsoffren vid bedömningen av om hemliga tvångsmedel bör införas. </w:t>
      </w:r>
    </w:p>
    <w:p w14:paraId="61A53254" w14:textId="77777777" w:rsidR="006973D1" w:rsidRDefault="006973D1" w:rsidP="006973D1">
      <w:pPr>
        <w:pStyle w:val="Brdtextmedindrag"/>
      </w:pPr>
      <w:r w:rsidRPr="00A24F68">
        <w:rPr>
          <w:i/>
          <w:iCs/>
        </w:rPr>
        <w:t>Svenska kyrkan</w:t>
      </w:r>
      <w:r>
        <w:t xml:space="preserve">, </w:t>
      </w:r>
      <w:r w:rsidRPr="00A24F68">
        <w:rPr>
          <w:i/>
          <w:iCs/>
        </w:rPr>
        <w:t xml:space="preserve">Sveriges interreligiösa råd </w:t>
      </w:r>
      <w:r>
        <w:t xml:space="preserve">och </w:t>
      </w:r>
      <w:r w:rsidRPr="00A24F68">
        <w:rPr>
          <w:i/>
          <w:iCs/>
        </w:rPr>
        <w:t>Sveriges kristna råd</w:t>
      </w:r>
      <w:r>
        <w:t xml:space="preserve"> betonar vikten av att samtal inom själavård även fortsättningsvis skyddas från avlyssning. </w:t>
      </w:r>
    </w:p>
    <w:p w14:paraId="1988B9C1" w14:textId="77777777" w:rsidR="006973D1" w:rsidRDefault="006973D1" w:rsidP="006973D1">
      <w:pPr>
        <w:pStyle w:val="Brdtextmedindrag"/>
      </w:pPr>
      <w:r w:rsidRPr="00C8704E">
        <w:rPr>
          <w:i/>
          <w:iCs/>
        </w:rPr>
        <w:t>Uppsala universitet</w:t>
      </w:r>
      <w:r>
        <w:rPr>
          <w:i/>
          <w:iCs/>
        </w:rPr>
        <w:t xml:space="preserve"> (Nationellt centrum för kvinnofrid)</w:t>
      </w:r>
      <w:r>
        <w:t xml:space="preserve">, som avstyrker förslaget, lyfter </w:t>
      </w:r>
      <w:r w:rsidRPr="00C8704E">
        <w:t>risk</w:t>
      </w:r>
      <w:r>
        <w:t>en för att hem</w:t>
      </w:r>
      <w:r>
        <w:softHyphen/>
        <w:t>liga tvångsmedel</w:t>
      </w:r>
      <w:r w:rsidRPr="00C8704E">
        <w:t xml:space="preserve"> kan komma att användas mot vissa grupper av männi</w:t>
      </w:r>
      <w:r>
        <w:softHyphen/>
      </w:r>
      <w:r w:rsidRPr="00C8704E">
        <w:t>skor, framför</w:t>
      </w:r>
      <w:r>
        <w:t xml:space="preserve"> </w:t>
      </w:r>
      <w:r w:rsidRPr="00C8704E">
        <w:t>allt minoriteter</w:t>
      </w:r>
      <w:r>
        <w:t xml:space="preserve">, och att risken för integritetsintrång är hög. </w:t>
      </w:r>
    </w:p>
    <w:p w14:paraId="2D4AD08B" w14:textId="77777777" w:rsidR="006973D1" w:rsidRDefault="006973D1" w:rsidP="006973D1">
      <w:pPr>
        <w:pStyle w:val="Rubrik4efterram"/>
      </w:pPr>
      <w:bookmarkStart w:id="101" w:name="_Hlk209621927"/>
      <w:r>
        <w:t>Skälen för regeringens förslag</w:t>
      </w:r>
    </w:p>
    <w:p w14:paraId="2A2F3D83" w14:textId="77777777" w:rsidR="006973D1" w:rsidRDefault="006973D1" w:rsidP="006973D1">
      <w:pPr>
        <w:pStyle w:val="Rubrik5efterram"/>
        <w:spacing w:before="0"/>
      </w:pPr>
      <w:r>
        <w:t>Det bör övervägas om hemliga tvångsmedel ska få användas i utredningar om äktenskapstvång och barnäktenskapsbrott</w:t>
      </w:r>
    </w:p>
    <w:p w14:paraId="71579C55" w14:textId="77777777" w:rsidR="006973D1" w:rsidRDefault="006973D1" w:rsidP="006973D1">
      <w:pPr>
        <w:pStyle w:val="Brdtext"/>
      </w:pPr>
      <w:r>
        <w:t xml:space="preserve">Äktenskapstvång och barnäktenskapsbrott är allvarliga brott som kan leda till allvarliga konsekvenser för den som blir utsatt. Det är samtidigt fråga om svårutredda brott som är förknippade med stora bevissvårigheter. De särskilda bevissvårigheterna består framför allt i den tystnadskultur som förekommer bl.a. i miljöer med hedersrelaterat våld och förtryck. Hela eller delar av brotten begås också ofta utomlands och i slutna miljöer. Det förekommer att brotten är sanktionerade av en större krets av personer. Det är därmed förenat med svårigheter att få fram muntlig bevisning. Som flera remissinstanser, bl.a. </w:t>
      </w:r>
      <w:r w:rsidRPr="00363AC2">
        <w:rPr>
          <w:i/>
          <w:iCs/>
        </w:rPr>
        <w:t>Barnombudsmannen</w:t>
      </w:r>
      <w:r>
        <w:t>, påpekar leder också relativt få fall till en fällande dom.</w:t>
      </w:r>
    </w:p>
    <w:p w14:paraId="49156F9A" w14:textId="7B038E7B" w:rsidR="006973D1" w:rsidRDefault="006973D1" w:rsidP="006973D1">
      <w:pPr>
        <w:pStyle w:val="Brdtextmedindrag"/>
      </w:pPr>
      <w:r>
        <w:t>Samtidigt kan det, enligt vad de brottsutredande myndigheterna fram</w:t>
      </w:r>
      <w:r>
        <w:softHyphen/>
        <w:t xml:space="preserve">fört, finnas goda förutsättningar för att använda hemliga tvångsmedel vid utredningar </w:t>
      </w:r>
      <w:r w:rsidR="00D26F18">
        <w:t xml:space="preserve">om </w:t>
      </w:r>
      <w:r>
        <w:t>äktenskapstvång och barnäktenskapsbrott. Sådana brott föregås ofta av planering och de involverar ofta flera gärningspersoner. Det är inte ovanligt att kommunikationen sker på distans och gärnings</w:t>
      </w:r>
      <w:r>
        <w:softHyphen/>
        <w:t>personerna kan tänkas använda kommunikationsmedel och icke krypte</w:t>
      </w:r>
      <w:r>
        <w:softHyphen/>
        <w:t xml:space="preserve">rade tjänster i större omfattning än gärningspersoner inom kriminella nätverk. </w:t>
      </w:r>
    </w:p>
    <w:p w14:paraId="56673133" w14:textId="21369F62" w:rsidR="006973D1" w:rsidRDefault="006973D1" w:rsidP="006973D1">
      <w:pPr>
        <w:pStyle w:val="Brdtextmedindrag"/>
      </w:pPr>
      <w:r>
        <w:t xml:space="preserve">Hedersrelaterat våld och förtryck </w:t>
      </w:r>
      <w:r w:rsidR="00D26F18">
        <w:t xml:space="preserve">är </w:t>
      </w:r>
      <w:r>
        <w:t xml:space="preserve">ett allvarligt samhällsproblem som måste bekämpas. En svårighet i arbetet med att bekämpa hedersrelaterat våld och förtryck är att hedersrelaterade brott ofta är svårutredda. Det finns därför skäl att överväga om de brottsutredande myndigheterna bör få tillgång till effektivare verktyg i form av hemliga tvångsmedel för att utreda äktenskapstvång och barnäktenskapsbrott. Det finns dock inte </w:t>
      </w:r>
      <w:r>
        <w:lastRenderedPageBreak/>
        <w:t xml:space="preserve">möjlighet att inom ramen för detta lagstiftningsärende överväga att utvidga möjligheterna att använda hemliga tvångsmedel till utredningar om könsstympning, såsom </w:t>
      </w:r>
      <w:r>
        <w:rPr>
          <w:i/>
          <w:iCs/>
        </w:rPr>
        <w:t xml:space="preserve">Varken hora eller kuvad </w:t>
      </w:r>
      <w:r>
        <w:t>förordar.</w:t>
      </w:r>
    </w:p>
    <w:p w14:paraId="4FD74B97" w14:textId="77777777" w:rsidR="006973D1" w:rsidRPr="00A2171D" w:rsidRDefault="006973D1" w:rsidP="006973D1">
      <w:pPr>
        <w:pStyle w:val="Brdtextmedindrag"/>
      </w:pPr>
      <w:r>
        <w:t xml:space="preserve">I sammanhanget finns det anledning att lyfta att regeringen har gett en utredare i uppdrag att göra en översyn av reglerna om hemliga och preventiva tvångsmedel </w:t>
      </w:r>
      <w:r w:rsidRPr="002C547B">
        <w:t>i syfte att åstadkomma en mer effektiv och tydlig reglering och att förbättra möjligheterna att använda tvångsmedlen i brottsbekämpningens olika faser</w:t>
      </w:r>
      <w:r>
        <w:t xml:space="preserve"> (d</w:t>
      </w:r>
      <w:r w:rsidRPr="00C47D75">
        <w:t>ir. 2025:12</w:t>
      </w:r>
      <w:r>
        <w:t xml:space="preserve">). </w:t>
      </w:r>
      <w:r w:rsidRPr="00634EAE">
        <w:rPr>
          <w:i/>
        </w:rPr>
        <w:t>Justitiekanslern</w:t>
      </w:r>
      <w:r>
        <w:t xml:space="preserve"> anser att det finns skäl att avvakta den översynen innan området för hemliga tvångsmedel utökas. </w:t>
      </w:r>
      <w:r w:rsidRPr="00634EAE">
        <w:rPr>
          <w:i/>
        </w:rPr>
        <w:t>Integritetsskydds</w:t>
      </w:r>
      <w:r>
        <w:rPr>
          <w:i/>
        </w:rPr>
        <w:t>myndigheten</w:t>
      </w:r>
      <w:r>
        <w:t xml:space="preserve"> framför liknande syn</w:t>
      </w:r>
      <w:r>
        <w:softHyphen/>
        <w:t xml:space="preserve">punkter. Även regeringen anser att det är viktigt att det sker en samlad översyn av de hemliga tvångsmedlen. </w:t>
      </w:r>
      <w:r w:rsidRPr="00391BAC">
        <w:t>Det kan dock inte anses lämpligt att i avvaktan på att den genomförs ha ett moratorium för att låta användning av hemliga tvångsmedel omfatta ytterligare brott, om det finns ett konkret behov av det.</w:t>
      </w:r>
      <w:r>
        <w:t xml:space="preserve"> Det är inte heller fråga om några systematiska eller mer omfattande ändringar av reglerna om tvångsmedel. Med hänsyn till intresset av att motverka hedersrelaterat våld och förtryck bör alltså en utvidgning av användningsområdet för hemliga tvångsmedel, såvitt nu är aktuellt, inte avvakta den större översynen. </w:t>
      </w:r>
    </w:p>
    <w:p w14:paraId="117BC66F" w14:textId="77777777" w:rsidR="006973D1" w:rsidRDefault="006973D1" w:rsidP="006973D1">
      <w:pPr>
        <w:pStyle w:val="Rubrik5efterram"/>
      </w:pPr>
      <w:r>
        <w:t xml:space="preserve">Vilka hemliga tvångsmedel ska få användas vid utredningar om äktenskapstvång och barnäktenskapsbrott? </w:t>
      </w:r>
    </w:p>
    <w:p w14:paraId="54785D59" w14:textId="77777777" w:rsidR="006973D1" w:rsidRDefault="006973D1" w:rsidP="006973D1">
      <w:pPr>
        <w:pStyle w:val="Brdtextmedindrag"/>
        <w:ind w:firstLine="0"/>
      </w:pPr>
      <w:r>
        <w:t>Regeringens förslag om att minimistraffet för barnäktenskapsbrott och äktenskaptvång ska höjas till sex månaders fängelse innebär att hemlig övervakning av elektronisk kommunikation kan användas vid utredning av sådana brott (27 kap 19 a § andra stycket 1 rättegångsbalken). Detsam</w:t>
      </w:r>
      <w:r>
        <w:softHyphen/>
        <w:t>ma gäller hemlig övervakning av elektronisk kommunikation</w:t>
      </w:r>
      <w:r w:rsidRPr="00611353">
        <w:t xml:space="preserve"> </w:t>
      </w:r>
      <w:r>
        <w:t xml:space="preserve">för att lokalisera personer i syfte att möjliggöra verkställighet av </w:t>
      </w:r>
      <w:r w:rsidRPr="00B179CB">
        <w:t>beslut om anhållande och häktning eller av frihetsberövande påföljd</w:t>
      </w:r>
      <w:r>
        <w:t xml:space="preserve"> (</w:t>
      </w:r>
      <w:r w:rsidRPr="0082212E">
        <w:t>19</w:t>
      </w:r>
      <w:r>
        <w:t> </w:t>
      </w:r>
      <w:r w:rsidRPr="0082212E">
        <w:t>c</w:t>
      </w:r>
      <w:r>
        <w:t> §</w:t>
      </w:r>
      <w:r w:rsidRPr="0082212E">
        <w:t xml:space="preserve"> </w:t>
      </w:r>
      <w:r>
        <w:t xml:space="preserve">första stycket </w:t>
      </w:r>
      <w:r w:rsidRPr="0082212E">
        <w:t xml:space="preserve">rättegångsbalken </w:t>
      </w:r>
      <w:r>
        <w:t>och 3 § lagen [2024:326] om hemliga tvångs</w:t>
      </w:r>
      <w:r>
        <w:softHyphen/>
        <w:t>medel i syfte att verkställa frihetsberövande påföljder). För övriga hemliga tvångs</w:t>
      </w:r>
      <w:r>
        <w:softHyphen/>
        <w:t>medel, med undantag för postkontroll, krävs att brotten har ett straffvärde som överstiger en viss gräns eller att brotten anges särskilt i brottskata</w:t>
      </w:r>
      <w:r>
        <w:softHyphen/>
        <w:t xml:space="preserve">logerna för att tvångsmedlet ska få användas. </w:t>
      </w:r>
    </w:p>
    <w:p w14:paraId="28A2150C" w14:textId="77777777" w:rsidR="006973D1" w:rsidRDefault="006973D1" w:rsidP="006973D1">
      <w:pPr>
        <w:pStyle w:val="Brdtextmedindrag"/>
      </w:pPr>
      <w:r>
        <w:t xml:space="preserve">Vid överväganden om att utvidga tillämpningsområdet för de hemliga tvångsmedlen, t.ex. genom att lägga till brott till brottskatalogerna, måste det göras en närmare bedömning av å ena sidan behovet av tvångsmedlen och deras förväntade effektivitet och nytta i det syftet som tvångsmedlen ska användas, och å andra sidan vilka integritetsintrång som en sådan utvidgning kan medföra. </w:t>
      </w:r>
      <w:r w:rsidRPr="007268B2">
        <w:t>Det är endast åtgärder som bedöms vara proportionerliga som kan tillåtas</w:t>
      </w:r>
      <w:r>
        <w:t xml:space="preserve">. </w:t>
      </w:r>
    </w:p>
    <w:p w14:paraId="6D0E2E8B" w14:textId="5EE6274A" w:rsidR="006973D1" w:rsidRDefault="006973D1" w:rsidP="006973D1">
      <w:pPr>
        <w:pStyle w:val="Brdtextmedindrag"/>
      </w:pPr>
      <w:r>
        <w:t xml:space="preserve">Polismyndighetens och Åklagarmyndighetens redogörelser under utredningen visar dels att det finns ett tydligt behov av att använda hemliga tvångsmedel vid utredningar </w:t>
      </w:r>
      <w:r w:rsidR="00D26F18">
        <w:t xml:space="preserve">om </w:t>
      </w:r>
      <w:r>
        <w:t>äktenskapstvång och barnäktenskaps</w:t>
      </w:r>
      <w:r w:rsidR="0095585D">
        <w:softHyphen/>
      </w:r>
      <w:r>
        <w:t xml:space="preserve">brott, dels att hemliga tvångsmedel kan antas vara en effektiv åtgärd för att utreda sådana brott, enligt vad som närmare utvecklas nedan. </w:t>
      </w:r>
    </w:p>
    <w:p w14:paraId="541C8BBF" w14:textId="19171726" w:rsidR="006973D1" w:rsidRDefault="006973D1" w:rsidP="006973D1">
      <w:pPr>
        <w:pStyle w:val="Brdtextmedindrag"/>
      </w:pPr>
      <w:r>
        <w:t>Äktenskapstvång och barnäktenskaps</w:t>
      </w:r>
      <w:r>
        <w:softHyphen/>
        <w:t>brott är enligt regeringen brott som är särskilt angelägna att bekämpa. Det är även fråga om brott där det finns betydande utredningssvårigheter. En omständighet som försvårar utred</w:t>
      </w:r>
      <w:r>
        <w:softHyphen/>
        <w:t>ningar av äktenskapstvång och barnäktenskaps</w:t>
      </w:r>
      <w:r>
        <w:softHyphen/>
        <w:t xml:space="preserve">brott är att brottsligheten </w:t>
      </w:r>
      <w:r>
        <w:lastRenderedPageBreak/>
        <w:t>ofta begås av flera personer. Brottsligheten förutsätter därtill i regel planering och förberedelser, vilket kräver att de involverade personerna kommunicerar med varandra. Sådan kommunikation kan ske via t.ex. telefon, mejl eller appar men även vid fysiska möten. Det kan handla om exempelvis planeringsmöten inför en vigsel och olika kontakter i samband med att ett äktenskap arrangeras. Till det kommer att det vid denna brottslighet ofta finns starka lojalitetsband mellan de inblandade som gör det svårt för de brottsbekämpande myndigheterna att genom t.ex. förhör med vittnen och målsäganden få fram information. Bl</w:t>
      </w:r>
      <w:r w:rsidR="0095585D">
        <w:t>and annat</w:t>
      </w:r>
      <w:r>
        <w:t xml:space="preserve"> av dessa skäl är det svårt att med konventionella utredningsmetoder utreda brotten och kartlägga t.ex. vem som har gjort vad i ett visst händelseförlopp. </w:t>
      </w:r>
    </w:p>
    <w:p w14:paraId="662A04F6" w14:textId="5BC94CC9" w:rsidR="006973D1" w:rsidRDefault="006973D1" w:rsidP="006973D1">
      <w:pPr>
        <w:pStyle w:val="Brdtextmedindrag"/>
      </w:pPr>
      <w:r>
        <w:t xml:space="preserve">Hemlig avlyssning och hemlig övervakning av elektronisk </w:t>
      </w:r>
      <w:r w:rsidR="0095585D">
        <w:t>kommu</w:t>
      </w:r>
      <w:r w:rsidR="0095585D">
        <w:softHyphen/>
        <w:t>nika</w:t>
      </w:r>
      <w:r w:rsidR="0095585D">
        <w:softHyphen/>
        <w:t xml:space="preserve">tion </w:t>
      </w:r>
      <w:r>
        <w:t>kan ge information om t.ex. telefontrafik mellan misstänkta personer både inom Sverige och från Sverige till utlandet, samt trafik till och från målsägandens telefon. Sådana uppgifter kan vara användbara för att klargöra rollfördelningen mellan</w:t>
      </w:r>
      <w:r w:rsidDel="005857DE">
        <w:t xml:space="preserve"> </w:t>
      </w:r>
      <w:r>
        <w:t xml:space="preserve">de inblandade och knyta personer till varandra. Hemlig avlyssning av elektronisk kommunikation kan även visa om målsäganden utsätts för påtryckningar. Uppgifter från hemlig avlyssning och övervakning av elektronisk kommunikation kan hämtas in i realtid vilket är särskilt värdefullt om brottet är på förberedelsestadiet. Hemlig avlyssning av elektronisk kommunikation kan även användas för att få information om exempelvis var en vigsel ska äga rum och andra närliggande frågor kring arrangerandet av ceremonin. Vidare kan det komma fram uppgifter om andra personer som kan vara intressanta att höra i ärendet, exempelvis uthyrare av lokal som använts för en vigsel, och </w:t>
      </w:r>
      <w:r w:rsidDel="0006488A">
        <w:t xml:space="preserve">information </w:t>
      </w:r>
      <w:r>
        <w:t>om</w:t>
      </w:r>
      <w:r w:rsidDel="00FE2634">
        <w:t xml:space="preserve"> </w:t>
      </w:r>
      <w:r>
        <w:t>platser där det kan finnas skäl att göra en husrannsakan som är nödvändig för att kunna genomföra en spaning.</w:t>
      </w:r>
      <w:r w:rsidRPr="00E0783C">
        <w:t xml:space="preserve"> </w:t>
      </w:r>
      <w:r>
        <w:t>Hemlig kamera</w:t>
      </w:r>
      <w:r>
        <w:softHyphen/>
        <w:t>övervakning utgör ett viktigt komplement till andra tvångsmedel eftersom det genom kameraöver</w:t>
      </w:r>
      <w:r>
        <w:softHyphen/>
        <w:t>vak</w:t>
      </w:r>
      <w:r>
        <w:softHyphen/>
        <w:t>ningen kan gå att knyta en person till användning av viss kommunika</w:t>
      </w:r>
      <w:r>
        <w:softHyphen/>
        <w:t>tions</w:t>
      </w:r>
      <w:r>
        <w:softHyphen/>
        <w:t>utrustning.</w:t>
      </w:r>
    </w:p>
    <w:p w14:paraId="750D44C1" w14:textId="77777777" w:rsidR="006973D1" w:rsidRDefault="006973D1" w:rsidP="006973D1">
      <w:pPr>
        <w:pStyle w:val="Brdtextmedindrag"/>
      </w:pPr>
      <w:r>
        <w:t>Genom hemlig övervakning av elektronisk kommunikation kan lokali</w:t>
      </w:r>
      <w:r>
        <w:softHyphen/>
        <w:t>seringsuppgifter hämtas in för att följa hur en misstänkt person rör sig eller har rört sig. Sådana uppgifter kan vara värdefulla för att knyta en person till en telefon eller ett telefonnummer</w:t>
      </w:r>
      <w:r w:rsidRPr="005D6286">
        <w:rPr>
          <w:rFonts w:ascii="Segoe UI" w:hAnsi="Segoe UI" w:cs="Segoe UI"/>
          <w:sz w:val="18"/>
          <w:szCs w:val="18"/>
        </w:rPr>
        <w:t xml:space="preserve"> </w:t>
      </w:r>
      <w:r w:rsidRPr="005D6286">
        <w:t>som använts exempelvis vid planering inför att ett äktenskap ska ingås</w:t>
      </w:r>
      <w:r>
        <w:t>. Hemlig övervakning av elektronisk kommunikation, och även hemlig kameraöver</w:t>
      </w:r>
      <w:r>
        <w:softHyphen/>
        <w:t>vakning,</w:t>
      </w:r>
      <w:r w:rsidDel="0006488A">
        <w:t xml:space="preserve"> </w:t>
      </w:r>
      <w:r>
        <w:t>kan dessutom användas för att</w:t>
      </w:r>
      <w:r w:rsidDel="0006488A">
        <w:t xml:space="preserve"> </w:t>
      </w:r>
      <w:r>
        <w:t>bevisa att en person har befunnit sig på en viss plats, exempelvis på ett planeringsmöte inför en vigsel eller där en vigsel har ägt rum.</w:t>
      </w:r>
      <w:r w:rsidRPr="003652D7">
        <w:t xml:space="preserve"> </w:t>
      </w:r>
      <w:r>
        <w:t xml:space="preserve">En övervakningsfilm av bröllopsförberedelser skulle också kunna användas för att identifiera inblandade i ett planerat äktenskap och därigenom knyta fler personer till brottet. </w:t>
      </w:r>
      <w:r w:rsidDel="005750B3">
        <w:t xml:space="preserve">Sådan information kan antas vara av stor betydelse för att visa på inblandning i det aktuella brottet. </w:t>
      </w:r>
      <w:r>
        <w:t xml:space="preserve">Hemlig övervakning av elektronisk kommunikation kan också ge information om andra telefoner eller andra telefonnummer som den misstänkte använder.  </w:t>
      </w:r>
    </w:p>
    <w:p w14:paraId="191395D4" w14:textId="77777777" w:rsidR="006973D1" w:rsidRDefault="006973D1" w:rsidP="006973D1">
      <w:pPr>
        <w:pStyle w:val="Brdtextmedindrag"/>
      </w:pPr>
      <w:r>
        <w:t>Behovet ovan gör sig gällande även i förhållande till hemlig dataavläs</w:t>
      </w:r>
      <w:r>
        <w:softHyphen/>
        <w:t>ning. Exempelvis kan hemlig dataavläsning användas för att få del av uppgifter</w:t>
      </w:r>
      <w:r w:rsidDel="00ED0C24">
        <w:t xml:space="preserve"> </w:t>
      </w:r>
      <w:r>
        <w:t xml:space="preserve">när de misstänkta kommunicerar via krypterade appar. Det är i dag vanligt att kommunikation sker via krypterade tjänster, särskilt när kontakt tas med någon i ett annat land. Hemlig avlyssning av elektronisk kommunikation riskerar också enligt Åklagarmyndigheten att bli mer eller </w:t>
      </w:r>
      <w:r>
        <w:lastRenderedPageBreak/>
        <w:t>mindre verkningslös om inte motsvarande möjlighet finns att använda hemlig dataavläsning. Hemlig dataavläsning ger vidare mer exakta platsuppgifter än andra tvångsmedel. Även annan information som kan inhämtas via hemlig dataavläsning kan vara av betydelse för att exempel</w:t>
      </w:r>
      <w:r>
        <w:softHyphen/>
        <w:t xml:space="preserve">vis upptäcka eller kartlägga bokningar av resor, festlokaler och hyrbilar eller för att visa på att vissa typer av sökningar har gjorts. Sådana uppgifter kan komma att vara av relevans som bevisning och som underlag vid förhör, samt ge uppslag för andra utredningsåtgärder.  </w:t>
      </w:r>
    </w:p>
    <w:p w14:paraId="1F67A748" w14:textId="77777777" w:rsidR="006973D1" w:rsidRDefault="006973D1" w:rsidP="006973D1">
      <w:pPr>
        <w:pStyle w:val="Brdtextmedindrag"/>
      </w:pPr>
      <w:r>
        <w:t xml:space="preserve">Viss information om t.ex. meddelanden som skickats till målsägandens telefon eller bokningsbekräftelser och annat som rör vigseln kan redan i dag inhämtas genom att elektronisk utrustning tas i beslag. Ett beslag är dock känt av den person som beslaget har gjorts hos, vilket innebär att förhörspersonen kan förbereda sig och anpassa sina svar inför ett förhör. </w:t>
      </w:r>
      <w:r>
        <w:rPr>
          <w:i/>
          <w:iCs/>
        </w:rPr>
        <w:t xml:space="preserve">Åklagarmyndigheten </w:t>
      </w:r>
      <w:r>
        <w:t>lyfter även</w:t>
      </w:r>
      <w:r w:rsidDel="000226E5">
        <w:t xml:space="preserve"> </w:t>
      </w:r>
      <w:r>
        <w:t>att det förekommer att en målsägande som lever i en hederskontext inte alltid vågar spara meddelanden och annan bevisning i sin telefon på grund av risken för att familjemedlemmar kontrollerar den. Genomsökning på distans kan visserligen användas för att söka</w:t>
      </w:r>
      <w:r w:rsidRPr="00AF517B">
        <w:t xml:space="preserve"> efter handlingar som finns lagrade i ett avläsningsbart informa</w:t>
      </w:r>
      <w:r>
        <w:softHyphen/>
      </w:r>
      <w:r w:rsidRPr="00AF517B">
        <w:t>tionssystem utanför den elektroniska kommunikationsutrustning som används för att utföra genomsökningen</w:t>
      </w:r>
      <w:r>
        <w:t xml:space="preserve"> (28 kap. 10 a § rättegångsbalken). Det kan exempelvis vara fråga om uppgifter som finns lagrade i en moln</w:t>
      </w:r>
      <w:r>
        <w:softHyphen/>
        <w:t>tjänst</w:t>
      </w:r>
      <w:r w:rsidRPr="00AF517B">
        <w:t>.</w:t>
      </w:r>
      <w:r>
        <w:t xml:space="preserve"> Sådan genomsökning </w:t>
      </w:r>
      <w:r w:rsidRPr="00AF517B">
        <w:t>får</w:t>
      </w:r>
      <w:r>
        <w:t xml:space="preserve"> dock</w:t>
      </w:r>
      <w:r w:rsidRPr="00AF517B">
        <w:t xml:space="preserve"> endast utföras genom autentisering i det avläsningsbara informationssystem som åtgärden avser</w:t>
      </w:r>
      <w:r>
        <w:t xml:space="preserve"> (28 kap. 10 b § tredje stycket rättegångsbalken). Det kan ske exempelvis genom att ett lösenord används, vilket dock vanligtvis är information som kommer från den person som berörs</w:t>
      </w:r>
      <w:r w:rsidRPr="0012110E" w:rsidDel="0012110E">
        <w:t>.</w:t>
      </w:r>
      <w:r>
        <w:t xml:space="preserve"> </w:t>
      </w:r>
    </w:p>
    <w:p w14:paraId="668930A6" w14:textId="77777777" w:rsidR="006973D1" w:rsidRDefault="006973D1" w:rsidP="006973D1">
      <w:pPr>
        <w:pStyle w:val="Brdtextmedindrag"/>
      </w:pPr>
      <w:r>
        <w:t>Det finns alltså ett påtagligt behov av att kunna använda hemlig avlyss</w:t>
      </w:r>
      <w:r>
        <w:softHyphen/>
        <w:t>ning av elektronisk kommunikation, hemlig övervakning av elektronisk kommunikation, hemlig kameraövervakning och hemlig dataavläsning som inte gäller rumsavlyssningsuppgifter i utredningar om äktenskaps</w:t>
      </w:r>
      <w:r>
        <w:softHyphen/>
        <w:t>tvång och barnäktenskapsbrott. Sådana h</w:t>
      </w:r>
      <w:r w:rsidRPr="00BA7353">
        <w:t xml:space="preserve">emliga tvångsmedel kan </w:t>
      </w:r>
      <w:r>
        <w:t>vidare antas bidra</w:t>
      </w:r>
      <w:r w:rsidRPr="00BA7353">
        <w:t xml:space="preserve"> med uppgifter som inte skulle kunna hämtas in genom konventionella utredningsmetoder såsom spaning, beslag och förhör, och kan på så sätt antas föra utredningarna framåt</w:t>
      </w:r>
      <w:r>
        <w:t xml:space="preserve">. </w:t>
      </w:r>
    </w:p>
    <w:p w14:paraId="381C32B0" w14:textId="49AE7BBC" w:rsidR="006973D1" w:rsidRDefault="006973D1" w:rsidP="006973D1">
      <w:pPr>
        <w:pStyle w:val="Brdtextmedindrag"/>
      </w:pPr>
      <w:r>
        <w:t>Utredningens förslag omfattar inte hemlig avlyssning av elektronisk kommunikation och hemlig dataavläsning som inte gäller rumsavlys</w:t>
      </w:r>
      <w:r>
        <w:softHyphen/>
        <w:t xml:space="preserve">sningsuppgifter i syfte att utreda vem som skäligen kan misstänkas för brott. Enligt </w:t>
      </w:r>
      <w:r w:rsidRPr="00A33A1D">
        <w:rPr>
          <w:i/>
          <w:iCs/>
        </w:rPr>
        <w:t>Polismyndigheten</w:t>
      </w:r>
      <w:r>
        <w:t xml:space="preserve"> och </w:t>
      </w:r>
      <w:r w:rsidRPr="00A33A1D">
        <w:rPr>
          <w:i/>
          <w:iCs/>
        </w:rPr>
        <w:t>Åklagarmyndigheten</w:t>
      </w:r>
      <w:r>
        <w:t xml:space="preserve"> finns det ett behov av att kunna använda</w:t>
      </w:r>
      <w:r w:rsidRPr="00A33A1D">
        <w:t xml:space="preserve"> </w:t>
      </w:r>
      <w:r>
        <w:t xml:space="preserve">de aktuella tvångsmedlen även för det syftet. Regeringen instämmer i synpunkterna och bedömer att det finns ett tydligt behov, och nytta, av att kunna använda hemlig avlyssning av elektronisk kommunikation och hemlig dataavläsning som inte </w:t>
      </w:r>
      <w:r w:rsidR="00BC47D5">
        <w:t xml:space="preserve">gäller </w:t>
      </w:r>
      <w:r>
        <w:t>rumsavlyss</w:t>
      </w:r>
      <w:r>
        <w:softHyphen/>
        <w:t xml:space="preserve">ningsuppgifter även i syfte att utreda vem som skäligen kan misstänkas för äktenskapstvång eller barnäktenskapsbrott.  </w:t>
      </w:r>
    </w:p>
    <w:bookmarkEnd w:id="101"/>
    <w:p w14:paraId="2CD1505F" w14:textId="77777777" w:rsidR="006973D1" w:rsidRDefault="006973D1" w:rsidP="006973D1">
      <w:pPr>
        <w:pStyle w:val="Brdtextmedindrag"/>
      </w:pPr>
      <w:r>
        <w:t>Regeringen anser sammanfattningsvis att det finns ett klart och påtagligt behov av att använda hemlig avlyssning av elektronisk kommunikation, hemlig övervakning av elektronisk kommunikation, hemlig kameraöver</w:t>
      </w:r>
      <w:r>
        <w:softHyphen/>
        <w:t>vakning och hemlig dataavläsning som inte gäller rumsavlyssnings</w:t>
      </w:r>
      <w:r>
        <w:softHyphen/>
        <w:t xml:space="preserve">uppgifter i utredningar om äktenskapstvång och barnäktenskapsbrott, både mot den som är skäligen misstänkt för brott och i syfte att utreda vem som </w:t>
      </w:r>
      <w:r>
        <w:lastRenderedPageBreak/>
        <w:t xml:space="preserve">skäligen kan misstänkas för brott. Sådana hemliga tvångsmedel kan vidare antas vara effektiva för att utreda och lagföra sådana brott.  </w:t>
      </w:r>
    </w:p>
    <w:p w14:paraId="75051C75" w14:textId="3EB39495" w:rsidR="006973D1" w:rsidRDefault="006973D1" w:rsidP="006973D1">
      <w:pPr>
        <w:pStyle w:val="Brdtextmedindrag"/>
      </w:pPr>
      <w:r>
        <w:t xml:space="preserve">I sammanhanget finns det anledning att nämna det som bl.a. </w:t>
      </w:r>
      <w:r>
        <w:rPr>
          <w:i/>
          <w:iCs/>
        </w:rPr>
        <w:t xml:space="preserve">Svenska kyrkan </w:t>
      </w:r>
      <w:r>
        <w:t xml:space="preserve">och </w:t>
      </w:r>
      <w:r>
        <w:rPr>
          <w:i/>
          <w:iCs/>
        </w:rPr>
        <w:t xml:space="preserve">Sveriges kristna råd </w:t>
      </w:r>
      <w:r>
        <w:t>lyfter om vikten av att samtal inom själavård skyddas från avlyssning. Hemlig avlyssning av elektronisk kommunikation och hemlig dataavläsning som gäller kommunikations</w:t>
      </w:r>
      <w:r>
        <w:softHyphen/>
        <w:t>avlyssningsuppgifter får</w:t>
      </w:r>
      <w:r w:rsidDel="002000F2">
        <w:t xml:space="preserve"> </w:t>
      </w:r>
      <w:r>
        <w:t xml:space="preserve">inte avse </w:t>
      </w:r>
      <w:r w:rsidRPr="007A20CD">
        <w:t>samtal som avser bikt eller enskild själavård om en präst inom ett trossamfund eller den som i ett sådant samfund har motsvarande ställning</w:t>
      </w:r>
      <w:r>
        <w:t xml:space="preserve"> </w:t>
      </w:r>
      <w:r w:rsidRPr="007A20CD">
        <w:t>deltar i samtalet</w:t>
      </w:r>
      <w:r>
        <w:t xml:space="preserve"> (27 kap. 22 § och 36 kap. 5 § rättegångsbalken</w:t>
      </w:r>
      <w:r w:rsidRPr="0009719A">
        <w:t xml:space="preserve"> samt 11 och 27</w:t>
      </w:r>
      <w:r>
        <w:t> §</w:t>
      </w:r>
      <w:r w:rsidRPr="0009719A">
        <w:t xml:space="preserve"> lag</w:t>
      </w:r>
      <w:r w:rsidR="00FC1834">
        <w:t>en</w:t>
      </w:r>
      <w:r w:rsidRPr="0009719A">
        <w:t xml:space="preserve"> </w:t>
      </w:r>
      <w:r w:rsidR="00FC1834">
        <w:t>[</w:t>
      </w:r>
      <w:r w:rsidRPr="0009719A">
        <w:t>2020:62</w:t>
      </w:r>
      <w:r w:rsidR="00FC1834">
        <w:t>]</w:t>
      </w:r>
      <w:r w:rsidRPr="0009719A">
        <w:t xml:space="preserve"> om hemlig dataavläsning</w:t>
      </w:r>
      <w:r>
        <w:t>)</w:t>
      </w:r>
      <w:r w:rsidRPr="007A20CD">
        <w:t>.</w:t>
      </w:r>
      <w:r>
        <w:t xml:space="preserve"> Vidare är en plats som stadigvarande används eller är särskilt avsedd att användas av präster inom trossamfund eller av dem som har motsvarande ställning inom sådana samfund</w:t>
      </w:r>
      <w:r w:rsidRPr="007A20CD">
        <w:t xml:space="preserve"> </w:t>
      </w:r>
      <w:r>
        <w:t xml:space="preserve">för bikt eller enskild själavård skyddade från bl.a. hemlig kameraövervakning (27 kap. 22 a § rättegångsbalken). </w:t>
      </w:r>
      <w:r w:rsidRPr="00B643BD">
        <w:t>Naturligtvis</w:t>
      </w:r>
      <w:r>
        <w:t xml:space="preserve"> gäller dessa begränsningar för använd</w:t>
      </w:r>
      <w:r>
        <w:softHyphen/>
        <w:t xml:space="preserve">ningen av hemliga tvångsmedel även i utredningar om äktenskapstvång och barnäktenskapsbrott. </w:t>
      </w:r>
    </w:p>
    <w:p w14:paraId="6021AD70" w14:textId="77777777" w:rsidR="006973D1" w:rsidRPr="00F87185" w:rsidRDefault="006973D1" w:rsidP="006973D1">
      <w:pPr>
        <w:pStyle w:val="Rubrik5utannumrering"/>
      </w:pPr>
      <w:r>
        <w:t xml:space="preserve">Det är proportionerligt att utvidga tillämpningsområdet för hemliga tvångsmedel till att omfatta utredningar om äktenskapstvång och barnäktenskapsbrott </w:t>
      </w:r>
    </w:p>
    <w:p w14:paraId="07078220" w14:textId="61EFD801" w:rsidR="006973D1" w:rsidRDefault="006973D1" w:rsidP="006973D1">
      <w:pPr>
        <w:pStyle w:val="Brdtext"/>
      </w:pPr>
      <w:r>
        <w:t>Vid bedömningen av om ett nytt brott bör läggas till i brottskatalogerna för de hemliga tvångsmedlen måste de grundläggande fri- och rättigheter som framgår av regeringsformen, Europakonventionen och EU:s rättig</w:t>
      </w:r>
      <w:r>
        <w:softHyphen/>
        <w:t>hets</w:t>
      </w:r>
      <w:r>
        <w:softHyphen/>
        <w:t>stadga samt de krav som följer av barnkonventionen beaktas. Utvidgade brottskataloger medför begräns</w:t>
      </w:r>
      <w:r>
        <w:softHyphen/>
        <w:t xml:space="preserve">ningar av rätten till skydd för förtrolig kommunikation, rätten till privatliv och rätten till skydd mot betydande intrång i den personliga integriteten. En sådan begränsning får göras endast under vissa förutsättningar, se avsnitt </w:t>
      </w:r>
      <w:r w:rsidR="00EB5551">
        <w:t>6.2</w:t>
      </w:r>
      <w:r>
        <w:t xml:space="preserve">. </w:t>
      </w:r>
      <w:r w:rsidRPr="000554E4">
        <w:rPr>
          <w:highlight w:val="yellow"/>
        </w:rPr>
        <w:t xml:space="preserve"> </w:t>
      </w:r>
    </w:p>
    <w:p w14:paraId="4617B056" w14:textId="1B13C6D0" w:rsidR="006973D1" w:rsidRDefault="006973D1" w:rsidP="006973D1">
      <w:pPr>
        <w:pStyle w:val="Brdtextmedindrag"/>
      </w:pPr>
      <w:r>
        <w:t xml:space="preserve">Den som utsätts för äktenskapstvång och barnäktenskapsbrott får sin frihet allvarligt inskränkt. Ofta är brottsoffret ett barn eller en ung vuxen. Inte sällan står brottsoffret i någon form av beroendeställning till den som begår brottet. Konsekvenserna för den enskilde kan vara livslånga. Det är alltså fråga om allvarliga brott med potentiellt allvarliga och långtgående konsekvenser för den som drabbas. Regeringen föreslår också av bl.a. den anledningen i avsnitt </w:t>
      </w:r>
      <w:r w:rsidR="00EB5551">
        <w:t>5.3.1</w:t>
      </w:r>
      <w:r>
        <w:t xml:space="preserve"> att straffskalorna för brotten ska skärpas. Intresset av att kunna utreda och lagföra dessa brott, som är mycket svårutredda, väger därmed tungt. Genom att upptäcka och lagföra brotten på ett tidigt stadium kan dessutom fler skyddas mot att föras ut ur landet och få sina liv allvarligt begränsade. </w:t>
      </w:r>
    </w:p>
    <w:p w14:paraId="15D49B40" w14:textId="77777777" w:rsidR="006973D1" w:rsidRDefault="006973D1" w:rsidP="006973D1">
      <w:pPr>
        <w:pStyle w:val="Brdtextmedindrag"/>
      </w:pPr>
      <w:r>
        <w:t xml:space="preserve">Som </w:t>
      </w:r>
      <w:r>
        <w:rPr>
          <w:i/>
          <w:iCs/>
        </w:rPr>
        <w:t>Riksorganisationen för kvinnojourer och tjejjourer i Sverige</w:t>
      </w:r>
      <w:r>
        <w:rPr>
          <w:i/>
        </w:rPr>
        <w:t xml:space="preserve"> </w:t>
      </w:r>
      <w:r>
        <w:t>lyfter är det viktigt att risken för brottsoffret vägs mot effekten vid användningen av hemliga tvångsmedel. Målsägandens säkerhet är av stor vikt vid bedömningen av hur utredningen av brottet ska drivas framåt. Åklagar</w:t>
      </w:r>
      <w:r>
        <w:softHyphen/>
        <w:t>myndigheten och Polismyndigheten har också under utredningen redogjort för särskilda säkerhetsaspekter när det kommer till utredningar om äktenskapstvång och barnäktenskapsbrott. De har då särskilt påpekat att personerna som utsätts för brotten kan befinna sig i situationer där de inte kan skyddas av svenska myndigheter, exempelvis för att de hålls utom</w:t>
      </w:r>
      <w:r>
        <w:softHyphen/>
        <w:t xml:space="preserve">lands, och att det då kan vara för riskfyllt att exempelvis genomföra förhör. </w:t>
      </w:r>
      <w:r>
        <w:lastRenderedPageBreak/>
        <w:t xml:space="preserve">Hemliga tvångsmedel kan då vara ett möjligt sätt att bedriva utredningen framåt. En viktig del i att bekämpa hedersrelaterat våld och förtryck är att brotten kan utredas effektivt och att fler kan lagföras. </w:t>
      </w:r>
    </w:p>
    <w:p w14:paraId="1854AF15" w14:textId="77777777" w:rsidR="006973D1" w:rsidRDefault="006973D1" w:rsidP="006973D1">
      <w:pPr>
        <w:pStyle w:val="Brdtextmedindrag"/>
      </w:pPr>
      <w:r>
        <w:t>Geno</w:t>
      </w:r>
      <w:r w:rsidRPr="00C97BE2">
        <w:t xml:space="preserve">m att lägga till </w:t>
      </w:r>
      <w:r>
        <w:t xml:space="preserve">äktenskapstvång och barnäktenskapsbrott </w:t>
      </w:r>
      <w:r w:rsidRPr="00C97BE2">
        <w:t>i brotts</w:t>
      </w:r>
      <w:r>
        <w:softHyphen/>
      </w:r>
      <w:r w:rsidRPr="00C97BE2">
        <w:t>katalogerna för de hemliga tvångsmedlen utökas tillämpnings</w:t>
      </w:r>
      <w:r>
        <w:softHyphen/>
      </w:r>
      <w:r w:rsidRPr="00C97BE2">
        <w:t>området för tvångsmedlen</w:t>
      </w:r>
      <w:r>
        <w:t xml:space="preserve">. </w:t>
      </w:r>
      <w:r w:rsidRPr="00C97BE2">
        <w:t>En användning av tvångsmedel för att utreda vem som skäligen kan misstänkas för ett visst brott innebär också en ökad risk för att hemliga tvångsmedel används mot personer som visar sig inte vara delaktiga i brott. Därtill kommer risken för att tredje man</w:t>
      </w:r>
      <w:r>
        <w:t>, t.ex. familje</w:t>
      </w:r>
      <w:r>
        <w:softHyphen/>
        <w:t>medlemmar,</w:t>
      </w:r>
      <w:r w:rsidRPr="00C97BE2">
        <w:t xml:space="preserve"> kan drabbas av tvångsmedelsanvändningen. </w:t>
      </w:r>
      <w:r>
        <w:t>S</w:t>
      </w:r>
      <w:r w:rsidRPr="00EE5035">
        <w:t>om</w:t>
      </w:r>
      <w:r w:rsidRPr="00EE5035" w:rsidDel="00BA083E">
        <w:t xml:space="preserve"> </w:t>
      </w:r>
      <w:r>
        <w:rPr>
          <w:i/>
          <w:iCs/>
        </w:rPr>
        <w:t>ECPAT</w:t>
      </w:r>
      <w:r w:rsidRPr="00EE5035">
        <w:t xml:space="preserve"> framhåller träffar </w:t>
      </w:r>
      <w:r>
        <w:t xml:space="preserve">en utvidgning av </w:t>
      </w:r>
      <w:r w:rsidRPr="00EE5035">
        <w:t>möjligheter</w:t>
      </w:r>
      <w:r>
        <w:t>na</w:t>
      </w:r>
      <w:r w:rsidRPr="00EE5035">
        <w:t xml:space="preserve"> att använda hemliga tvångsmedel även straffmyndiga barn i åldern 15–17 år.</w:t>
      </w:r>
      <w:r>
        <w:t xml:space="preserve"> </w:t>
      </w:r>
      <w:r w:rsidRPr="002007D0">
        <w:t xml:space="preserve">Det ska dock framhållas att det vid användning av hemliga tvångsmedel mot barn kan finnas skäl </w:t>
      </w:r>
      <w:r w:rsidRPr="00EE5035">
        <w:rPr>
          <w:bCs/>
        </w:rPr>
        <w:t xml:space="preserve">att </w:t>
      </w:r>
      <w:r w:rsidRPr="002007D0">
        <w:t>vara återhållsam</w:t>
      </w:r>
      <w:r>
        <w:t xml:space="preserve">. </w:t>
      </w:r>
      <w:r w:rsidRPr="009A34EF">
        <w:t>Vid varje beslut om hemliga tvångsmedel som rör ett barn ska också barnets bästa beaktas. Det följer av artikel 3 i barnkonventionen. Inom ramen för den proportionalitets</w:t>
      </w:r>
      <w:r>
        <w:softHyphen/>
      </w:r>
      <w:r w:rsidRPr="009A34EF">
        <w:t>bedömning som ska göras vid varje enskilt beslut om hemliga tvångsmedel bör dessutom t.ex. barnets ålder, mognad och utveckling beaktas</w:t>
      </w:r>
      <w:r>
        <w:t xml:space="preserve"> (se prop. 2022/23:126 s. 196–197)</w:t>
      </w:r>
      <w:r w:rsidRPr="002007D0">
        <w:t>.</w:t>
      </w:r>
      <w:r>
        <w:t xml:space="preserve"> </w:t>
      </w:r>
      <w:r w:rsidRPr="00C97BE2">
        <w:t xml:space="preserve">Förslagen innebär sammantaget en ökad risk för intrång i den personliga integriteten. </w:t>
      </w:r>
    </w:p>
    <w:p w14:paraId="03CD8163" w14:textId="77777777" w:rsidR="006973D1" w:rsidRDefault="006973D1" w:rsidP="006973D1">
      <w:pPr>
        <w:pStyle w:val="Brdtextmedindrag"/>
      </w:pPr>
      <w:r>
        <w:t>När det gäller äktenskapstvång och barnäktenskapsbrott är det brottslig</w:t>
      </w:r>
      <w:r>
        <w:softHyphen/>
        <w:t xml:space="preserve">het </w:t>
      </w:r>
      <w:r w:rsidRPr="00C97BE2">
        <w:t>av kvalificerat slag som är särskilt svårutredd</w:t>
      </w:r>
      <w:r>
        <w:t>.</w:t>
      </w:r>
      <w:r w:rsidRPr="00C97BE2">
        <w:t xml:space="preserve"> </w:t>
      </w:r>
      <w:r>
        <w:t>Det finns vidare stora likheter med de brott som finns upptagna i brottskatalogerna i dag. De nu aktuella brotten begås ofta mot barn och unga, som riskerar att utsättas för sexuella övergrepp samt psykiskt och fysiskt våld i äkten</w:t>
      </w:r>
      <w:r>
        <w:softHyphen/>
        <w:t xml:space="preserve">skapen. Det är brottslighet som är särskilt angelägen att bekämpa. </w:t>
      </w:r>
      <w:r w:rsidRPr="00C97BE2">
        <w:t xml:space="preserve">Regleringen om hemliga tvångsmedel omges </w:t>
      </w:r>
      <w:r>
        <w:t xml:space="preserve">vidare </w:t>
      </w:r>
      <w:r w:rsidRPr="00C97BE2">
        <w:t>av ett väl utbyggt system med rättssäkerhetsgarantier som syftar till att begränsa integritetsintrånget för enskilda och att möjliggöra en effektiv tillsyn.</w:t>
      </w:r>
      <w:r w:rsidRPr="008C7806">
        <w:t xml:space="preserve"> </w:t>
      </w:r>
      <w:r w:rsidRPr="00586833">
        <w:t xml:space="preserve">Det handlar </w:t>
      </w:r>
      <w:r>
        <w:t>bl.a.</w:t>
      </w:r>
      <w:r w:rsidRPr="00586833">
        <w:t xml:space="preserve"> om bestämmelser om domstolsprövning, offentliga ombud, dokumentation samt bevarande och förstöring av material. </w:t>
      </w:r>
      <w:r w:rsidRPr="00E17F60">
        <w:t>Exempelvis ska upptagningar och uppteckningar från hemliga tvångsmedel granskas snarast möjligt och bevaras till dess de utredningar där de använts lagts ned eller avslutats eller målen har avgjorts slutligt (jfr 27 kap. 24 § rättegångsbalken</w:t>
      </w:r>
      <w:r>
        <w:t>)</w:t>
      </w:r>
      <w:r w:rsidRPr="008C7806">
        <w:t>.</w:t>
      </w:r>
    </w:p>
    <w:p w14:paraId="7DE974C0" w14:textId="77777777" w:rsidR="006973D1" w:rsidRDefault="006973D1" w:rsidP="006973D1">
      <w:pPr>
        <w:pStyle w:val="Brdtextmedindrag"/>
      </w:pPr>
      <w:r w:rsidRPr="00C97BE2">
        <w:t xml:space="preserve"> </w:t>
      </w:r>
      <w:r>
        <w:t>Det starka intresset av att kunna utreda den aktuella typen av brotts</w:t>
      </w:r>
      <w:r>
        <w:softHyphen/>
        <w:t>lig</w:t>
      </w:r>
      <w:r>
        <w:softHyphen/>
        <w:t xml:space="preserve">het väger mycket tungt. </w:t>
      </w:r>
      <w:r w:rsidRPr="00C97BE2">
        <w:t xml:space="preserve">Sammantaget gör regeringen bedömningen att </w:t>
      </w:r>
      <w:r>
        <w:t>det är proportionerligt att utvidga användningsområdet för hemliga tvångs</w:t>
      </w:r>
      <w:r>
        <w:softHyphen/>
        <w:t>medel till att omfatta utredningar om äktenskapstvång och barn</w:t>
      </w:r>
      <w:r>
        <w:softHyphen/>
        <w:t>äkten</w:t>
      </w:r>
      <w:r>
        <w:softHyphen/>
        <w:t>skapsbrott. En sådan utvidgning bedöms vara för</w:t>
      </w:r>
      <w:r>
        <w:softHyphen/>
        <w:t>enlig med regerings</w:t>
      </w:r>
      <w:r>
        <w:softHyphen/>
        <w:t>formen, EU:s rättighetsstadga, Europakonventionen och barnkonven</w:t>
      </w:r>
      <w:r>
        <w:softHyphen/>
        <w:t>tionen. Tillämpningsområdet för hemliga tvångsmedel bör därför utvidgas på så sätt att hemlig avlyssning av elektronisk kommunikation, hemlig övervakning av elektronisk kommunikation, hemlig kameraöver</w:t>
      </w:r>
      <w:r>
        <w:softHyphen/>
        <w:t>vakning och hemlig dataavläsning som inte gäller rumsavlyssnings</w:t>
      </w:r>
      <w:r>
        <w:softHyphen/>
        <w:t xml:space="preserve">uppgifter ska få användas vid utredningar om äktenskapstvång och barnäktenskapsbrott, både </w:t>
      </w:r>
      <w:r w:rsidRPr="00C05428">
        <w:t>mot den som är skäligen misstänkt för brott och i syfte att utreda vem som skäligen kan misstänkas för brott</w:t>
      </w:r>
      <w:r>
        <w:t>. I likhet med vad som gäller för andra brott som anges särskilt i brottskatalogen i 27 kap. 18 b § rätte</w:t>
      </w:r>
      <w:r>
        <w:softHyphen/>
        <w:t xml:space="preserve">gångsbalken bör det som utgångspunkt krävas att straffvärdet överstiger ett års fängelse för att hemlig avlyssning av elektronisk kommunikation och hemlig dataavläsning </w:t>
      </w:r>
      <w:r w:rsidRPr="00C05428">
        <w:t>som gäller kommunikations</w:t>
      </w:r>
      <w:r>
        <w:softHyphen/>
      </w:r>
      <w:r w:rsidRPr="00C05428">
        <w:t>avlyssningsupp</w:t>
      </w:r>
      <w:r>
        <w:softHyphen/>
      </w:r>
      <w:r w:rsidRPr="00C05428">
        <w:lastRenderedPageBreak/>
        <w:t>gifter, kameraövervakningsuppgifter och andra uppgifter som är åtkom</w:t>
      </w:r>
      <w:r>
        <w:softHyphen/>
      </w:r>
      <w:r w:rsidRPr="00C05428">
        <w:t>liga i ett avläsningsbart informationssystem</w:t>
      </w:r>
      <w:r>
        <w:t xml:space="preserve"> ska få användas för att utreda vem som skäligen kan misstänkas för brott i utredningar om äkten</w:t>
      </w:r>
      <w:r>
        <w:softHyphen/>
        <w:t>skapstvång</w:t>
      </w:r>
      <w:r w:rsidRPr="00EB2996">
        <w:t xml:space="preserve"> </w:t>
      </w:r>
      <w:r>
        <w:t xml:space="preserve">och barnäktenskapsbrott. För hemlig dataavläsning som gäller </w:t>
      </w:r>
      <w:r w:rsidRPr="00042B97">
        <w:t>kommu</w:t>
      </w:r>
      <w:r>
        <w:softHyphen/>
      </w:r>
      <w:r w:rsidRPr="00042B97">
        <w:t>nikations</w:t>
      </w:r>
      <w:r>
        <w:softHyphen/>
      </w:r>
      <w:r w:rsidRPr="00042B97">
        <w:t>övervaknings- eller platsuppgifter</w:t>
      </w:r>
      <w:r>
        <w:t xml:space="preserve"> kommer det inte att uppställas något sådant krav (se </w:t>
      </w:r>
      <w:r w:rsidRPr="00042B97">
        <w:t>5</w:t>
      </w:r>
      <w:r>
        <w:t> </w:t>
      </w:r>
      <w:r w:rsidRPr="00042B97">
        <w:t>a</w:t>
      </w:r>
      <w:r>
        <w:t xml:space="preserve"> § lagen om hemlig dataavläsning som hänvisar till 27 kap. 19 b § andra stycket rättegångsbalken). </w:t>
      </w:r>
      <w:bookmarkStart w:id="102" w:name="_Hlk219448035"/>
      <w:r>
        <w:t>Brotts</w:t>
      </w:r>
      <w:r>
        <w:softHyphen/>
        <w:t>katalogerna omfattar inte bara fullbordade brott utan även försök, förberedelse och stämpling till brotten, om en sådan gärning är belagd med straff (27 kap. 18 a § andra stycket 19 och 18 b § andra stycket 17 rätte</w:t>
      </w:r>
      <w:r>
        <w:softHyphen/>
        <w:t>gångsbalken). Det bör gälla även för äktenskapstvång och barnäkten</w:t>
      </w:r>
      <w:r>
        <w:softHyphen/>
        <w:t>skapsbrott, som är kriminaliserade på försöks-, förberedelse och stämp</w:t>
      </w:r>
      <w:r>
        <w:softHyphen/>
        <w:t>lingsstadiet.</w:t>
      </w:r>
      <w:bookmarkEnd w:id="102"/>
      <w:r>
        <w:t xml:space="preserve"> </w:t>
      </w:r>
    </w:p>
    <w:p w14:paraId="0030D607" w14:textId="77777777" w:rsidR="006973D1" w:rsidRDefault="006973D1" w:rsidP="006973D1">
      <w:pPr>
        <w:pStyle w:val="Brdtextmedindrag"/>
      </w:pPr>
      <w:r>
        <w:t xml:space="preserve">I sammanhanget finns det också anledning att beröra det som bl.a. </w:t>
      </w:r>
      <w:r>
        <w:rPr>
          <w:i/>
          <w:iCs/>
        </w:rPr>
        <w:t xml:space="preserve">Uppsala universitet (Nationellt centrum för kvinnofrid) </w:t>
      </w:r>
      <w:r>
        <w:t>lyfter om diskriminering av vissa grupper. Det är naturligtvis viktigt att reglerna tillämpas korrekt och att de inte används mot någon enbart på grund av personens e</w:t>
      </w:r>
      <w:r w:rsidRPr="008B08E0">
        <w:t>tnisk</w:t>
      </w:r>
      <w:r>
        <w:t>a</w:t>
      </w:r>
      <w:r w:rsidRPr="008B08E0">
        <w:t xml:space="preserve"> tillhörighet, religion eller annan trosuppfattning</w:t>
      </w:r>
      <w:r>
        <w:t>.</w:t>
      </w:r>
      <w:r w:rsidRPr="00196C31">
        <w:t> </w:t>
      </w:r>
    </w:p>
    <w:p w14:paraId="6C8F69C9" w14:textId="77777777" w:rsidR="006973D1" w:rsidRDefault="006973D1" w:rsidP="006973D1">
      <w:pPr>
        <w:pStyle w:val="Rubrik1"/>
      </w:pPr>
      <w:bookmarkStart w:id="103" w:name="_Toc221561257"/>
      <w:bookmarkStart w:id="104" w:name="_Toc224807609"/>
      <w:r>
        <w:t>Otillåtna utländska äktenskap</w:t>
      </w:r>
      <w:bookmarkEnd w:id="103"/>
      <w:bookmarkEnd w:id="104"/>
    </w:p>
    <w:p w14:paraId="54DA3A68" w14:textId="77777777" w:rsidR="006973D1" w:rsidRDefault="006973D1" w:rsidP="006973D1">
      <w:pPr>
        <w:pStyle w:val="Rubrik2"/>
        <w:spacing w:before="0"/>
      </w:pPr>
      <w:bookmarkStart w:id="105" w:name="_Toc221561258"/>
      <w:bookmarkStart w:id="106" w:name="_Toc224807610"/>
      <w:r>
        <w:t>Erkännande av utländska äktenskap</w:t>
      </w:r>
      <w:bookmarkEnd w:id="105"/>
      <w:bookmarkEnd w:id="106"/>
    </w:p>
    <w:p w14:paraId="52FF8FB5" w14:textId="77777777" w:rsidR="006973D1" w:rsidRDefault="006973D1" w:rsidP="006973D1">
      <w:pPr>
        <w:pStyle w:val="Brdtext"/>
      </w:pPr>
      <w:bookmarkStart w:id="107" w:name="_Hlk209710930"/>
      <w:r w:rsidRPr="005C4EF4">
        <w:t>Regler om erkännande av äktenskap som har ingåtts enligt utländsk lag finns i lagen (1904:26</w:t>
      </w:r>
      <w:r>
        <w:t> </w:t>
      </w:r>
      <w:r w:rsidRPr="005C4EF4">
        <w:t>s.</w:t>
      </w:r>
      <w:r>
        <w:t> </w:t>
      </w:r>
      <w:r w:rsidRPr="005C4EF4">
        <w:t>1) om vissa internationella rättsförhållanden rörande äktenskap och förmynderskap (</w:t>
      </w:r>
      <w:r>
        <w:t>1904 års lag</w:t>
      </w:r>
      <w:r w:rsidRPr="005C4EF4">
        <w:t xml:space="preserve">). </w:t>
      </w:r>
      <w:r>
        <w:t>Utgångspunkten är att ett sådant utländskt äktenskap anses giltigt till formen om det är giltigt i den stat där det ingicks (1 kap. 7 § 1904 års lag). Utländska barn</w:t>
      </w:r>
      <w:r>
        <w:softHyphen/>
        <w:t>äktenskap, månggiften, tvångsäktenskap, äktenskap mellan nära släktingar och vissa fullmaktsäktenskap erkänns däremot inte (1 kap. 8 a § 1904 års lag). Sådana äktenskap är inte heller tillåtna att ingå i Sverige (2 kap. 1, 3 och 4 §§ samt 4 kap. 2 § äktenskapsbalken). Undantagsvis kan trots allt sådana utländska äktenskap erkännas här, om det finns synnerliga skäl och båda parterna är över 18 år (1 kap. 8 a § 1904 års lag).</w:t>
      </w:r>
    </w:p>
    <w:bookmarkEnd w:id="107"/>
    <w:p w14:paraId="3138EA1F" w14:textId="77777777" w:rsidR="006973D1" w:rsidRDefault="006973D1" w:rsidP="006973D1">
      <w:pPr>
        <w:pStyle w:val="Brdtextmedindrag"/>
      </w:pPr>
      <w:r w:rsidRPr="004E2062">
        <w:t xml:space="preserve">Om ett utländskt äktenskap erkänns i Sverige innebär det att äktenskapet är giltigt i Sverige och </w:t>
      </w:r>
      <w:r>
        <w:t xml:space="preserve">att </w:t>
      </w:r>
      <w:r w:rsidRPr="004E2062">
        <w:t>rättsverkningar som följer av ett äktenskap</w:t>
      </w:r>
      <w:r>
        <w:t xml:space="preserve"> kan göras gällande här</w:t>
      </w:r>
      <w:r w:rsidRPr="004E2062">
        <w:t xml:space="preserve">. Om äktenskapet inte erkänns betraktas parterna som ogifta, även om de fortfarande kan anses </w:t>
      </w:r>
      <w:r>
        <w:t xml:space="preserve">vara </w:t>
      </w:r>
      <w:r w:rsidRPr="004E2062">
        <w:t>gifta i ett annat land (så kallat haltande äktenskap). Ett äktenskap som inte erkänns i Sverige har inte heller några rättsverkningar här.</w:t>
      </w:r>
    </w:p>
    <w:p w14:paraId="6F7A7928" w14:textId="77777777" w:rsidR="006973D1" w:rsidRDefault="006973D1" w:rsidP="006973D1">
      <w:pPr>
        <w:pStyle w:val="Brdtextmedindrag"/>
      </w:pPr>
      <w:r>
        <w:t>Ett barnäktenskap föreligger om någon av parterna var under 18 år när äkten</w:t>
      </w:r>
      <w:r>
        <w:softHyphen/>
        <w:t xml:space="preserve">skapet ingicks. Förbudet mot att erkänna sådana äktenskap tar sikte på förhållandena vid äktenskapets ingående och gäller alltså även efter att parterna blivit vuxna. Skälet för det är att den som är under 18 år inte kan anses ha nått den mognad som krävs för att självständigt ta ställning till om ett äktenskap ska ingås. </w:t>
      </w:r>
    </w:p>
    <w:p w14:paraId="4886E1D3" w14:textId="77777777" w:rsidR="006973D1" w:rsidRDefault="006973D1" w:rsidP="006973D1">
      <w:pPr>
        <w:pStyle w:val="Brdtextmedindrag"/>
      </w:pPr>
      <w:r>
        <w:t xml:space="preserve">Ett månggifte föreligger när en person är gift med flera andra. Det äktenskap som först ingicks kan erkännas i Sverige, men däremot erkänns </w:t>
      </w:r>
      <w:r>
        <w:lastRenderedPageBreak/>
        <w:t xml:space="preserve">inte det andra eller ytterligare efterföljande äktenskap. </w:t>
      </w:r>
      <w:r w:rsidDel="00C20C81">
        <w:t>Förbudet mot att erkänna månggifte</w:t>
      </w:r>
      <w:r>
        <w:t>n</w:t>
      </w:r>
      <w:r w:rsidDel="00C20C81">
        <w:t xml:space="preserve"> tar sikte på förhållandena vid äkten</w:t>
      </w:r>
      <w:r w:rsidDel="00C20C81">
        <w:softHyphen/>
        <w:t xml:space="preserve">skapets ingående. </w:t>
      </w:r>
      <w:r>
        <w:t>Ett äktenskap som ingåtts när en av makarna redan var gift med någon annan kan därför inte erkännas även om det tidigare äktenskapet har upplösts när frågan om erkännande prövas.</w:t>
      </w:r>
    </w:p>
    <w:p w14:paraId="799243E0" w14:textId="77777777" w:rsidR="006973D1" w:rsidRDefault="006973D1" w:rsidP="006973D1">
      <w:pPr>
        <w:pStyle w:val="Brdtextmedindrag"/>
      </w:pPr>
      <w:r>
        <w:t>Ett äktenskap erkänns inte heller om det görs sannolikt att äktenskapet har ingåtts under tvång. Riktlinjen är att tvånget ska ha varit av sådan karaktär att det skulle ha utgjort en straffbar handling, men det kan inte uteslutas att det även finns andra situationer där tvånget framstår som så allvarligt att äkten</w:t>
      </w:r>
      <w:r>
        <w:softHyphen/>
        <w:t>skapet inte bör erkännas.</w:t>
      </w:r>
    </w:p>
    <w:p w14:paraId="7B42DB9D" w14:textId="01C12A1B" w:rsidR="006973D1" w:rsidRDefault="006973D1" w:rsidP="006973D1">
      <w:pPr>
        <w:pStyle w:val="Brdtextmedindrag"/>
      </w:pPr>
      <w:r>
        <w:t>Utländska ä</w:t>
      </w:r>
      <w:r w:rsidRPr="00017109">
        <w:t>ktenskap mellan dem som är släkt med varandra i rätt upp- och nedstigande led eller är syskon</w:t>
      </w:r>
      <w:r>
        <w:t xml:space="preserve"> erkänns inte heller.</w:t>
      </w:r>
      <w:r w:rsidRPr="005B2C6C">
        <w:t xml:space="preserve"> Regeringen har </w:t>
      </w:r>
      <w:r w:rsidR="00551502">
        <w:t xml:space="preserve">dessutom </w:t>
      </w:r>
      <w:r w:rsidRPr="005B2C6C">
        <w:t xml:space="preserve">nyligen </w:t>
      </w:r>
      <w:r w:rsidR="009C52E3">
        <w:t>lämnat</w:t>
      </w:r>
      <w:r w:rsidRPr="005B2C6C">
        <w:t xml:space="preserve"> förslag om at</w:t>
      </w:r>
      <w:r>
        <w:t xml:space="preserve">t även förbjuda erkännande av utländska äktenskap mellan kusiner och </w:t>
      </w:r>
      <w:r w:rsidRPr="00794515">
        <w:t xml:space="preserve">mellan </w:t>
      </w:r>
      <w:r>
        <w:t>vissa andra nära släktingar (</w:t>
      </w:r>
      <w:r w:rsidR="009C52E3">
        <w:t>prop. 2025/26:</w:t>
      </w:r>
      <w:r w:rsidR="009D0A16">
        <w:t>154</w:t>
      </w:r>
      <w:r>
        <w:t>).</w:t>
      </w:r>
    </w:p>
    <w:p w14:paraId="4EEFFDF6" w14:textId="77777777" w:rsidR="006973D1" w:rsidRDefault="006973D1" w:rsidP="006973D1">
      <w:pPr>
        <w:pStyle w:val="Brdtextmedindrag"/>
      </w:pPr>
      <w:r>
        <w:t>Ett fullmaktsäktenskap innebär att äktenskapet ingås utan att båda parterna är samtidigt närvarande. Fullmaktsäktenskap som ingåtts utom</w:t>
      </w:r>
      <w:r>
        <w:softHyphen/>
        <w:t>lands erkänns inte om minst en av parterna då var svensk medborgare eller hade hemvist i Sverige (det så kallade anknytnings</w:t>
      </w:r>
      <w:r>
        <w:softHyphen/>
        <w:t>kravet). Regeringen gör i avsnitt 8 bedömningen att det inte är motiverat att ta bort anknytnings</w:t>
      </w:r>
      <w:r>
        <w:softHyphen/>
        <w:t>kravet.</w:t>
      </w:r>
    </w:p>
    <w:p w14:paraId="67EE9DCE" w14:textId="4AEE066C" w:rsidR="006973D1" w:rsidRDefault="006973D1" w:rsidP="006973D1">
      <w:pPr>
        <w:pStyle w:val="Brdtextmedindrag"/>
      </w:pPr>
      <w:r>
        <w:t>Även andra utländska äktenskap kan nekas erkännande i ett enskilt fall om äktenskapet anses uppenbart oförenligt med grunderna för den svenska rättsordningen, s.k. ordre public (se 7 kap. 4 § i 1904 års lag). I kravet på uppenbarhet ligger att förbehållet ska tillämpas restriktiv</w:t>
      </w:r>
      <w:r w:rsidR="0095585D">
        <w:t>t</w:t>
      </w:r>
      <w:r>
        <w:t xml:space="preserve">. </w:t>
      </w:r>
    </w:p>
    <w:p w14:paraId="4828E710" w14:textId="77777777" w:rsidR="006973D1" w:rsidRDefault="006973D1" w:rsidP="006973D1">
      <w:pPr>
        <w:pStyle w:val="Rubrik2"/>
      </w:pPr>
      <w:bookmarkStart w:id="108" w:name="_Toc221561259"/>
      <w:bookmarkStart w:id="109" w:name="_Toc224807611"/>
      <w:r>
        <w:t>Tidigare reformer</w:t>
      </w:r>
      <w:bookmarkEnd w:id="108"/>
      <w:bookmarkEnd w:id="109"/>
    </w:p>
    <w:p w14:paraId="64353AFC" w14:textId="77777777" w:rsidR="006973D1" w:rsidRDefault="006973D1" w:rsidP="006973D1">
      <w:pPr>
        <w:pStyle w:val="Brdtext"/>
      </w:pPr>
      <w:r>
        <w:t xml:space="preserve">Reglerna om erkännande av utländska äktenskap har succesivt skärpts. Före 2004 var utgångspunkten att ett äktenskap som ingåtts enligt utländsk lag erkändes i Sverige om det var giltigt i den stat där det ingicks. Den utgångspunkten byggde på den grundläggande principen i internationell privaträtt om att respektera andra staters rättsordningar. Att ett äktenskap som ingåtts i ett land erkänns i ett annat land underlättar för enskilda individer i gränsöverskridande situationer. </w:t>
      </w:r>
    </w:p>
    <w:p w14:paraId="6924BE25" w14:textId="77777777" w:rsidR="006973D1" w:rsidRDefault="006973D1" w:rsidP="006973D1">
      <w:pPr>
        <w:pStyle w:val="Brdtextmedindrag"/>
      </w:pPr>
      <w:r>
        <w:t>För att motverka möjligheten att kringgå de svenska äktenskapshindren genom att ingå äktenskap utomlands infördes 2004 regler om att inte erkänna utländska äktenskap som ingåtts i strid med äktenskapshindren. Erkännande</w:t>
      </w:r>
      <w:r>
        <w:softHyphen/>
        <w:t>förbudet gällde under förutsättning att någon av parterna hade anknytning till Sverige vid äktenskapets ingående, antingen såsom svensk medborgare eller med hemvist här. Samtidigt infördes ett förbud mot att erkänna ett utländskt äktenskap om det var sannolikt att det hade ingåtts under tvång. När det gäller tvångsäktenskap ansågs det inte rimligt att begränsa förbudet till parter med anknytning till Sverige. Ett nekat erkännande ansågs i en del fall kunna leda till ett resultat som inte var rimligt. Därför infördes den så kallande ventilen, som innebar en möjlighet att göra undantag från erkännandeförbudet om det fanns särskilda skäl (prop. 2003/04:48 s. 24–33).</w:t>
      </w:r>
    </w:p>
    <w:p w14:paraId="419F8129" w14:textId="77777777" w:rsidR="006973D1" w:rsidRDefault="006973D1" w:rsidP="006973D1">
      <w:pPr>
        <w:pStyle w:val="Brdtextmedindrag"/>
      </w:pPr>
      <w:r>
        <w:lastRenderedPageBreak/>
        <w:t xml:space="preserve">Möjligheten till undantag begränsades 2014 och det krävs sedan dess synnerliga skäl för att ett äktenskap som träffas av förbudet ändå ska erkännas. Samtidigt infördes också ett förbud mot att erkänna ett utländskt fullmaktsäktenskap, om minst en av parterna hade anknytning till Sverige när äktenskapet ingicks. Ventilen skulle gälla även för sådana äktenskap (prop. 2013/14:208 s. 25–37). </w:t>
      </w:r>
    </w:p>
    <w:p w14:paraId="1F2AD511" w14:textId="77777777" w:rsidR="006973D1" w:rsidRDefault="006973D1" w:rsidP="006973D1">
      <w:pPr>
        <w:pStyle w:val="Brdtextmedindrag"/>
      </w:pPr>
      <w:r>
        <w:t>År 2019 skärptes erkännandeförbudet avseende barnäktenskap genom att anknytningskravet togs bort. Sedan dess gäller alltså förbudet oavsett parternas anknytning till Sverige när äktenskapet ingicks. Samtidigt begränsades ventilen ytterligare till att gälla endast om båda parterna var över 18 år. Erkännandeförbudet gäller således utan undantag för dem som fort</w:t>
      </w:r>
      <w:r>
        <w:softHyphen/>
        <w:t xml:space="preserve">farande är barn när frågan prövas (prop. 2017/18:288 s. 11–29). </w:t>
      </w:r>
    </w:p>
    <w:p w14:paraId="493CB87A" w14:textId="77777777" w:rsidR="006973D1" w:rsidRDefault="006973D1" w:rsidP="006973D1">
      <w:pPr>
        <w:pStyle w:val="Brdtextmedindrag"/>
      </w:pPr>
      <w:r>
        <w:t>År 2021 togs anknytningskravet bort även för månggiften och släkt</w:t>
      </w:r>
      <w:r>
        <w:softHyphen/>
        <w:t>skapsfall. För fullmaktsäktenskap gjordes däremot bedömningen att det skulle vara omotiverat och en alltför ingripande åtgärd att ta bort anknytnings</w:t>
      </w:r>
      <w:r>
        <w:softHyphen/>
        <w:t xml:space="preserve">kravet (prop. 2020/21:149 s. 13–19, 25–26 och 28–30). </w:t>
      </w:r>
    </w:p>
    <w:p w14:paraId="397E0F37" w14:textId="77777777" w:rsidR="006973D1" w:rsidRDefault="006973D1" w:rsidP="006973D1">
      <w:pPr>
        <w:pStyle w:val="Rubrik2"/>
      </w:pPr>
      <w:bookmarkStart w:id="110" w:name="_Toc221561260"/>
      <w:bookmarkStart w:id="111" w:name="_Toc224807612"/>
      <w:r>
        <w:t>Otillåtna utländska äktenskap ska aldrig erkännas</w:t>
      </w:r>
      <w:bookmarkEnd w:id="110"/>
      <w:bookmarkEnd w:id="111"/>
    </w:p>
    <w:p w14:paraId="341A843A" w14:textId="77777777" w:rsidR="006973D1" w:rsidRDefault="006973D1" w:rsidP="006973D1">
      <w:pPr>
        <w:pStyle w:val="Rubrik4ram"/>
      </w:pPr>
      <w:r>
        <w:t>Regeringens förslag</w:t>
      </w:r>
    </w:p>
    <w:p w14:paraId="784F7757" w14:textId="791ED262" w:rsidR="006973D1" w:rsidRPr="003A6021" w:rsidRDefault="006973D1" w:rsidP="006973D1">
      <w:pPr>
        <w:pStyle w:val="Brdtextram"/>
      </w:pPr>
      <w:bookmarkStart w:id="112" w:name="_Hlk219320147"/>
      <w:r>
        <w:t>Förbudet mot att erkänna utländska månggiften, barnäktenskap, tvångs</w:t>
      </w:r>
      <w:r>
        <w:softHyphen/>
        <w:t xml:space="preserve">äktenskap, äktenskap mellan nära släktingar och fullmaktsäktenskap ska gälla utan undantag. Trots </w:t>
      </w:r>
      <w:r w:rsidR="002558C8">
        <w:t xml:space="preserve">att ett äktenskap inte erkänns </w:t>
      </w:r>
      <w:r>
        <w:t xml:space="preserve">ska </w:t>
      </w:r>
      <w:r w:rsidR="002558C8">
        <w:t xml:space="preserve">det </w:t>
      </w:r>
      <w:r>
        <w:t xml:space="preserve">ha </w:t>
      </w:r>
      <w:r w:rsidR="002558C8">
        <w:t xml:space="preserve">viss </w:t>
      </w:r>
      <w:r>
        <w:t>rättsverkan,</w:t>
      </w:r>
      <w:r w:rsidDel="007B5BDC">
        <w:t xml:space="preserve"> </w:t>
      </w:r>
      <w:r w:rsidRPr="007118FF">
        <w:t xml:space="preserve">om det </w:t>
      </w:r>
      <w:r>
        <w:t>finns</w:t>
      </w:r>
      <w:r w:rsidRPr="007118FF">
        <w:t xml:space="preserve"> synnerliga skäl för det och båda parterna är över 18 år.</w:t>
      </w:r>
      <w:r>
        <w:t xml:space="preserve"> </w:t>
      </w:r>
      <w:bookmarkEnd w:id="112"/>
    </w:p>
    <w:p w14:paraId="1BA22F61" w14:textId="77777777" w:rsidR="006973D1" w:rsidRPr="009C12D0" w:rsidRDefault="006973D1" w:rsidP="006973D1">
      <w:pPr>
        <w:pStyle w:val="Brdtextmedindragram"/>
      </w:pPr>
      <w:r>
        <w:t>Hänvisningen i äktenskapsbalken till erkännandebestäm</w:t>
      </w:r>
      <w:r>
        <w:softHyphen/>
        <w:t>melserna i 1904 års lag ska tas bort.</w:t>
      </w:r>
    </w:p>
    <w:p w14:paraId="38006FEF" w14:textId="77777777" w:rsidR="006973D1" w:rsidRDefault="006973D1" w:rsidP="006973D1">
      <w:pPr>
        <w:pStyle w:val="Rubrik4efterram"/>
      </w:pPr>
      <w:r>
        <w:t>Utredningens förslag</w:t>
      </w:r>
    </w:p>
    <w:p w14:paraId="03D2F98C" w14:textId="77777777" w:rsidR="006973D1" w:rsidRDefault="006973D1" w:rsidP="006973D1">
      <w:pPr>
        <w:pStyle w:val="Brdtext"/>
      </w:pPr>
      <w:r>
        <w:t>Utredningens förslag överensstämmer i sak med regeringens. Utred</w:t>
      </w:r>
      <w:r>
        <w:softHyphen/>
        <w:t>ningen föreslår en annan lagteknisk utformning.</w:t>
      </w:r>
      <w:r w:rsidRPr="009C12D0">
        <w:t xml:space="preserve"> </w:t>
      </w:r>
      <w:r>
        <w:t>Utredningen lämnar inte något förslag om att hänvisningen i äktenskapsbalken till 1904 års lag ska tas bort.</w:t>
      </w:r>
    </w:p>
    <w:p w14:paraId="4FBC1B8B" w14:textId="77777777" w:rsidR="006973D1" w:rsidRDefault="006973D1" w:rsidP="006973D1">
      <w:pPr>
        <w:pStyle w:val="Rubrik4utannumrering"/>
      </w:pPr>
      <w:r>
        <w:t>Remissinstanserna</w:t>
      </w:r>
    </w:p>
    <w:p w14:paraId="7E79795C" w14:textId="77777777" w:rsidR="006973D1" w:rsidRDefault="006973D1" w:rsidP="006973D1">
      <w:pPr>
        <w:pStyle w:val="Brdtext"/>
      </w:pPr>
      <w:r>
        <w:t xml:space="preserve">De flesta av remissinstanserna tillstyrker förslaget eller invänder inte mot det. Bland dem finns </w:t>
      </w:r>
      <w:r w:rsidRPr="00CD6849">
        <w:rPr>
          <w:i/>
          <w:iCs/>
        </w:rPr>
        <w:t>Migrationsverket</w:t>
      </w:r>
      <w:r>
        <w:t xml:space="preserve">, </w:t>
      </w:r>
      <w:r w:rsidRPr="00CD6849">
        <w:rPr>
          <w:i/>
          <w:iCs/>
        </w:rPr>
        <w:t>Barnombudsmannen</w:t>
      </w:r>
      <w:r>
        <w:t xml:space="preserve">, </w:t>
      </w:r>
      <w:r w:rsidRPr="00CD6849">
        <w:rPr>
          <w:i/>
          <w:iCs/>
        </w:rPr>
        <w:t>Diskrimi</w:t>
      </w:r>
      <w:r>
        <w:rPr>
          <w:i/>
          <w:iCs/>
        </w:rPr>
        <w:softHyphen/>
      </w:r>
      <w:r w:rsidRPr="00CD6849">
        <w:rPr>
          <w:i/>
          <w:iCs/>
        </w:rPr>
        <w:t>neringsombudsmannen</w:t>
      </w:r>
      <w:r>
        <w:t xml:space="preserve">, </w:t>
      </w:r>
      <w:r w:rsidRPr="008F02D1">
        <w:rPr>
          <w:i/>
          <w:iCs/>
        </w:rPr>
        <w:t>Jämställdhetsmyndigheten</w:t>
      </w:r>
      <w:r w:rsidRPr="0058028C">
        <w:t>,</w:t>
      </w:r>
      <w:r>
        <w:t xml:space="preserve"> </w:t>
      </w:r>
      <w:r w:rsidRPr="00CD6849">
        <w:rPr>
          <w:i/>
          <w:iCs/>
        </w:rPr>
        <w:t>Länsstyrelsen Öster</w:t>
      </w:r>
      <w:r>
        <w:rPr>
          <w:i/>
          <w:iCs/>
        </w:rPr>
        <w:softHyphen/>
      </w:r>
      <w:r w:rsidRPr="00CD6849">
        <w:rPr>
          <w:i/>
          <w:iCs/>
        </w:rPr>
        <w:t>götland (Nationellt centrum mot hedersrelaterat våld och förtryck)</w:t>
      </w:r>
      <w:r>
        <w:t xml:space="preserve">, </w:t>
      </w:r>
      <w:r w:rsidRPr="00CD6849">
        <w:rPr>
          <w:i/>
          <w:iCs/>
        </w:rPr>
        <w:t>Myndigheten för familjerätt och föräldraskapsstöd</w:t>
      </w:r>
      <w:r>
        <w:t xml:space="preserve">, </w:t>
      </w:r>
      <w:r w:rsidRPr="00CD6849">
        <w:rPr>
          <w:i/>
          <w:iCs/>
        </w:rPr>
        <w:t>Brottsoffer</w:t>
      </w:r>
      <w:r>
        <w:rPr>
          <w:i/>
          <w:iCs/>
        </w:rPr>
        <w:softHyphen/>
      </w:r>
      <w:r w:rsidRPr="00CD6849">
        <w:rPr>
          <w:i/>
          <w:iCs/>
        </w:rPr>
        <w:t>myndig</w:t>
      </w:r>
      <w:r>
        <w:rPr>
          <w:i/>
          <w:iCs/>
        </w:rPr>
        <w:softHyphen/>
      </w:r>
      <w:r w:rsidRPr="00CD6849">
        <w:rPr>
          <w:i/>
          <w:iCs/>
        </w:rPr>
        <w:t>heten</w:t>
      </w:r>
      <w:r>
        <w:t xml:space="preserve">, </w:t>
      </w:r>
      <w:r w:rsidRPr="00C37693">
        <w:rPr>
          <w:i/>
          <w:iCs/>
        </w:rPr>
        <w:t>Sveriges advokat</w:t>
      </w:r>
      <w:r w:rsidRPr="00C37693">
        <w:rPr>
          <w:i/>
          <w:iCs/>
        </w:rPr>
        <w:softHyphen/>
        <w:t>samfund</w:t>
      </w:r>
      <w:r>
        <w:t xml:space="preserve">, </w:t>
      </w:r>
      <w:r w:rsidRPr="006813A6">
        <w:rPr>
          <w:i/>
          <w:iCs/>
        </w:rPr>
        <w:t>Stock</w:t>
      </w:r>
      <w:r>
        <w:rPr>
          <w:i/>
          <w:iCs/>
        </w:rPr>
        <w:softHyphen/>
      </w:r>
      <w:r w:rsidRPr="006813A6">
        <w:rPr>
          <w:i/>
          <w:iCs/>
        </w:rPr>
        <w:t>holms universitet</w:t>
      </w:r>
      <w:r>
        <w:t xml:space="preserve">, </w:t>
      </w:r>
      <w:r w:rsidRPr="00CD6849">
        <w:rPr>
          <w:i/>
          <w:iCs/>
        </w:rPr>
        <w:t>Göteborgs universitet</w:t>
      </w:r>
      <w:r>
        <w:t xml:space="preserve"> och </w:t>
      </w:r>
      <w:r w:rsidRPr="00CD6849">
        <w:rPr>
          <w:i/>
          <w:iCs/>
        </w:rPr>
        <w:t>ECPAT</w:t>
      </w:r>
      <w:r>
        <w:t>.</w:t>
      </w:r>
    </w:p>
    <w:p w14:paraId="1531C4C5" w14:textId="77777777" w:rsidR="006973D1" w:rsidRPr="00594760" w:rsidRDefault="006973D1" w:rsidP="006973D1">
      <w:pPr>
        <w:pStyle w:val="Brdtextmedindrag"/>
      </w:pPr>
      <w:r w:rsidRPr="00594760">
        <w:rPr>
          <w:i/>
          <w:iCs/>
        </w:rPr>
        <w:t>Justitiekanslern</w:t>
      </w:r>
      <w:r>
        <w:t xml:space="preserve"> instämmer i utredningens slutsatser i fråga om hur förslaget förhåller sig till grundläggande fri- och rättigheter enligt Sveriges unions- och folkrättsliga åtaganden.</w:t>
      </w:r>
    </w:p>
    <w:p w14:paraId="31568745" w14:textId="77777777" w:rsidR="006973D1" w:rsidRDefault="006973D1" w:rsidP="006973D1">
      <w:pPr>
        <w:pStyle w:val="Brdtextmedindrag"/>
      </w:pPr>
      <w:r w:rsidRPr="00262431">
        <w:rPr>
          <w:i/>
        </w:rPr>
        <w:lastRenderedPageBreak/>
        <w:t>Skatteverket</w:t>
      </w:r>
      <w:r>
        <w:t xml:space="preserve"> lämnar synpunkter på förslaget om att ett äktenskap som inte erkänns ska kunna tillerkännas rättsverkningar och menar att rätten till bodelning, underhåll och arv inte avser rättsverkningar av ett äktenskap, utan rättsverkningar av äktenskapets upplösning. </w:t>
      </w:r>
    </w:p>
    <w:p w14:paraId="5F902367" w14:textId="77777777" w:rsidR="006973D1" w:rsidRDefault="006973D1" w:rsidP="006973D1">
      <w:pPr>
        <w:pStyle w:val="Brdtextmedindrag"/>
      </w:pPr>
      <w:r w:rsidRPr="00262431">
        <w:rPr>
          <w:i/>
          <w:iCs/>
        </w:rPr>
        <w:t>Försäkringskassan</w:t>
      </w:r>
      <w:r w:rsidRPr="006813A6">
        <w:t xml:space="preserve"> </w:t>
      </w:r>
      <w:r>
        <w:t xml:space="preserve">och </w:t>
      </w:r>
      <w:r w:rsidRPr="006813A6">
        <w:t>Stockholms universitet</w:t>
      </w:r>
      <w:r>
        <w:t xml:space="preserve"> menar att kravet för att tillerkänna ett äktenskap rättsverkningar bör vara lägre än vad som krävs för att erkänna ett äktenskap, medan </w:t>
      </w:r>
      <w:r w:rsidRPr="00CD6849">
        <w:t>Migrationsverket</w:t>
      </w:r>
      <w:r>
        <w:t xml:space="preserve"> förordar att synner</w:t>
      </w:r>
      <w:r>
        <w:softHyphen/>
        <w:t xml:space="preserve">liga skäl ges samma betydelse som enligt gällande rätt. </w:t>
      </w:r>
    </w:p>
    <w:p w14:paraId="37AB0F3E" w14:textId="77777777" w:rsidR="006973D1" w:rsidRDefault="006973D1" w:rsidP="006973D1">
      <w:pPr>
        <w:pStyle w:val="Brdtextmedindrag"/>
      </w:pPr>
      <w:r w:rsidRPr="005115E5">
        <w:t>Stockholms universitet</w:t>
      </w:r>
      <w:r>
        <w:t xml:space="preserve"> anser att e</w:t>
      </w:r>
      <w:r w:rsidRPr="00C87845">
        <w:t>n likabehandling mellan utländska äktenskap i strid med svenska äktenskapshinder och inhemska sådana äktenskap</w:t>
      </w:r>
      <w:r>
        <w:t xml:space="preserve"> bör övervägas</w:t>
      </w:r>
      <w:r w:rsidRPr="00C87845">
        <w:t>,</w:t>
      </w:r>
      <w:r>
        <w:t xml:space="preserve"> och menar att förenligheten med Europa</w:t>
      </w:r>
      <w:r>
        <w:softHyphen/>
        <w:t>kon</w:t>
      </w:r>
      <w:r>
        <w:softHyphen/>
        <w:t>ven</w:t>
      </w:r>
      <w:r>
        <w:softHyphen/>
        <w:t>tionen och unionsrätten skulle öka om så var fallet.</w:t>
      </w:r>
    </w:p>
    <w:p w14:paraId="38749BC9" w14:textId="77777777" w:rsidR="006973D1" w:rsidRDefault="006973D1" w:rsidP="006973D1">
      <w:pPr>
        <w:pStyle w:val="Brdtextmedindrag"/>
      </w:pPr>
      <w:bookmarkStart w:id="113" w:name="_Hlk219806658"/>
      <w:r>
        <w:t xml:space="preserve">Jämställdhetsmyndigheten och </w:t>
      </w:r>
      <w:r w:rsidRPr="005115E5">
        <w:rPr>
          <w:i/>
        </w:rPr>
        <w:t>Terrafem</w:t>
      </w:r>
      <w:r>
        <w:t xml:space="preserve"> </w:t>
      </w:r>
      <w:r>
        <w:rPr>
          <w:i/>
        </w:rPr>
        <w:t>–</w:t>
      </w:r>
      <w:r w:rsidRPr="007349C2">
        <w:t xml:space="preserve"> </w:t>
      </w:r>
      <w:r w:rsidRPr="002D3030">
        <w:rPr>
          <w:i/>
        </w:rPr>
        <w:t>nätverk för kvinnors rätt mot mäns våld</w:t>
      </w:r>
      <w:r>
        <w:t xml:space="preserve"> lyfter behovet av att skydda kvinnors rättigheter och efterfrågar ett förtydligande när det gäller innebörden av möjligheten att tillerkänna ett äktenskap rättsverk</w:t>
      </w:r>
      <w:r>
        <w:softHyphen/>
        <w:t>ningar. Jämställdhetsmyndigheten anser dessutom</w:t>
      </w:r>
      <w:r w:rsidDel="00CB3540">
        <w:t xml:space="preserve"> </w:t>
      </w:r>
      <w:r>
        <w:t>att resonemangen</w:t>
      </w:r>
      <w:r w:rsidDel="00CB3540">
        <w:t xml:space="preserve"> </w:t>
      </w:r>
      <w:r>
        <w:t xml:space="preserve">om de sociala och kulturella konsekvenserna som ett nekat erkännande kan få för framför allt kvinnor bör utvecklas. </w:t>
      </w:r>
      <w:bookmarkEnd w:id="113"/>
    </w:p>
    <w:p w14:paraId="6C8934D3" w14:textId="77777777" w:rsidR="006973D1" w:rsidRDefault="006973D1" w:rsidP="006973D1">
      <w:pPr>
        <w:pStyle w:val="Rubrik4utannumrering"/>
      </w:pPr>
      <w:r w:rsidRPr="00CE1A0E">
        <w:t>Skälen för regeringens förslag</w:t>
      </w:r>
    </w:p>
    <w:p w14:paraId="66BC7571" w14:textId="77777777" w:rsidR="006973D1" w:rsidRDefault="006973D1" w:rsidP="006973D1">
      <w:pPr>
        <w:pStyle w:val="Rubrik5utannumrering"/>
        <w:spacing w:before="0"/>
      </w:pPr>
      <w:r>
        <w:t>Behovet av en ny reglering</w:t>
      </w:r>
    </w:p>
    <w:p w14:paraId="66F25461" w14:textId="41AE0D73" w:rsidR="006973D1" w:rsidRDefault="006973D1" w:rsidP="006973D1">
      <w:pPr>
        <w:pStyle w:val="Brdtext"/>
      </w:pPr>
      <w:r>
        <w:t>En central del i arbetet med att bekämpa hedersrelaterat våld och förtryck är att motverka förekomsten av äktenskap som strider mot individens fria vilja. Det handlar om äktenskap som är förknippade med förtryck mot kvinnor och flickor, såsom bl.a. tvångsäktenskap, barnäktenskap och månggiften (se avsnitt 4.3 ovan). Månggifte</w:t>
      </w:r>
      <w:r w:rsidDel="000A43C9">
        <w:t xml:space="preserve"> </w:t>
      </w:r>
      <w:r>
        <w:t>utgör ett hinder mot jäm</w:t>
      </w:r>
      <w:r w:rsidR="00217CAA">
        <w:softHyphen/>
      </w:r>
      <w:r>
        <w:t>ställd</w:t>
      </w:r>
      <w:r w:rsidR="00217CAA">
        <w:softHyphen/>
      </w:r>
      <w:r>
        <w:t>het mellan kvinnor och män. När det gäller barnäktenskap upphör de negativa konsekvenser</w:t>
      </w:r>
      <w:r w:rsidR="001E37F0">
        <w:t>na</w:t>
      </w:r>
      <w:r>
        <w:t xml:space="preserve"> inte bara för att parterna blir vuxna. Äkten</w:t>
      </w:r>
      <w:r>
        <w:softHyphen/>
        <w:t xml:space="preserve">skapen är ofta förknippade med våld mot kvinnor och flickor och de riskerar att få förödande inverkan på deras möjligheter att förverkliga och åtnjuta sina rättigheter generellt. </w:t>
      </w:r>
      <w:r w:rsidRPr="00EE2F67">
        <w:t>Krav eller förväntningar från familj eller omgivning på att upprätthålla sociala eller kulturella traditioner kan vara svåra att frigöra sig från</w:t>
      </w:r>
      <w:r>
        <w:t xml:space="preserve">. I det sammanhanget finns det anledning att nämna </w:t>
      </w:r>
      <w:r w:rsidR="00551502">
        <w:t xml:space="preserve">det </w:t>
      </w:r>
      <w:r w:rsidR="0065493F">
        <w:t>förslag om f</w:t>
      </w:r>
      <w:r w:rsidRPr="00E34056">
        <w:t>örbud mot kusin</w:t>
      </w:r>
      <w:r>
        <w:softHyphen/>
      </w:r>
      <w:r w:rsidRPr="00E34056">
        <w:t>äkten</w:t>
      </w:r>
      <w:r>
        <w:softHyphen/>
      </w:r>
      <w:r w:rsidRPr="00E34056">
        <w:t>skap och äktenskap mellan andra nära släktingar</w:t>
      </w:r>
      <w:r w:rsidR="00593A35">
        <w:t xml:space="preserve"> </w:t>
      </w:r>
      <w:r w:rsidR="00551502">
        <w:t xml:space="preserve">som regeringen nyligen lämnat och </w:t>
      </w:r>
      <w:r w:rsidR="00593A35">
        <w:t>som</w:t>
      </w:r>
      <w:r w:rsidR="0065493F">
        <w:t xml:space="preserve"> </w:t>
      </w:r>
      <w:r w:rsidRPr="00E34056">
        <w:t>syft</w:t>
      </w:r>
      <w:r>
        <w:t>ar till</w:t>
      </w:r>
      <w:r w:rsidRPr="00E34056">
        <w:t xml:space="preserve"> att motverka hedersrelaterat förtryck och andra påtryckningar i samband med äktenskap och i förlängningen motverka hedersstrukturer</w:t>
      </w:r>
      <w:r w:rsidR="009C52E3">
        <w:t xml:space="preserve"> (prop. 2025/26:</w:t>
      </w:r>
      <w:r w:rsidR="009D0A16">
        <w:t>154</w:t>
      </w:r>
      <w:r w:rsidR="009C52E3">
        <w:t>)</w:t>
      </w:r>
      <w:r>
        <w:t>.</w:t>
      </w:r>
    </w:p>
    <w:p w14:paraId="799BEF64" w14:textId="77777777" w:rsidR="006973D1" w:rsidRDefault="006973D1" w:rsidP="006973D1">
      <w:pPr>
        <w:pStyle w:val="Brdtextmedindrag"/>
      </w:pPr>
      <w:r w:rsidRPr="004775B9">
        <w:t xml:space="preserve">Sedan 2004 har Sverige en ordning med </w:t>
      </w:r>
      <w:r w:rsidRPr="00F14E95">
        <w:t>erkännandeförbud</w:t>
      </w:r>
      <w:r w:rsidRPr="004775B9">
        <w:t xml:space="preserve"> för att hantera vissa utländska äktenskap som inte skulle vara tillåtna att ingå i Sverige. Reglerna har succes</w:t>
      </w:r>
      <w:r>
        <w:t>s</w:t>
      </w:r>
      <w:r w:rsidRPr="004775B9">
        <w:t xml:space="preserve">ivt ändrats så att allt fler utländska äktenskap ska vägras erkännande jämfört med vad som tidigare varit fallet. Skyddet av de intressen som de svenska äktenskapshindren tillgodoser har därmed blivit starkare. </w:t>
      </w:r>
      <w:r w:rsidRPr="00170804">
        <w:t>De vidtagna åtgärderna ligger i linje med Sveriges åtaganden under bl.a. CEDAW och Agenda 2030 (</w:t>
      </w:r>
      <w:r>
        <w:t xml:space="preserve">för en mer detaljerad genomgång, </w:t>
      </w:r>
      <w:r w:rsidRPr="00170804">
        <w:t>se exempelvis prop.</w:t>
      </w:r>
      <w:r>
        <w:t> </w:t>
      </w:r>
      <w:r w:rsidRPr="00170804">
        <w:t>2020/21:149 s.</w:t>
      </w:r>
      <w:r>
        <w:t> </w:t>
      </w:r>
      <w:r w:rsidRPr="00170804">
        <w:t>11</w:t>
      </w:r>
      <w:r>
        <w:t xml:space="preserve"> och</w:t>
      </w:r>
      <w:r w:rsidRPr="00170804">
        <w:t xml:space="preserve"> prop.</w:t>
      </w:r>
      <w:r>
        <w:t xml:space="preserve"> </w:t>
      </w:r>
      <w:r w:rsidRPr="00170804">
        <w:t>2017/18:288 s.</w:t>
      </w:r>
      <w:r>
        <w:t> </w:t>
      </w:r>
      <w:r w:rsidRPr="00170804">
        <w:t>9–10). När det gäller skydd mot otillåtna utländska äktenskapsformer ligger Sverige i framkant.</w:t>
      </w:r>
      <w:r>
        <w:t xml:space="preserve"> </w:t>
      </w:r>
    </w:p>
    <w:p w14:paraId="6E3BCD94" w14:textId="1480C87C" w:rsidR="006973D1" w:rsidRDefault="006973D1" w:rsidP="006973D1">
      <w:pPr>
        <w:pStyle w:val="Brdtextmedindrag"/>
      </w:pPr>
      <w:r w:rsidRPr="0010168A">
        <w:t>Alltsedan</w:t>
      </w:r>
      <w:r>
        <w:t xml:space="preserve"> förbudet infördes har det funnits en möjlighet att i undantags</w:t>
      </w:r>
      <w:r>
        <w:softHyphen/>
        <w:t>fall ändå erkänna ett sådant äkten</w:t>
      </w:r>
      <w:r>
        <w:softHyphen/>
        <w:t>skap. Undantaget, den så kallade venti</w:t>
      </w:r>
      <w:r>
        <w:softHyphen/>
        <w:t xml:space="preserve">len, motiveras av att det undantagsvis kan uppstå situationer där det anses </w:t>
      </w:r>
      <w:r>
        <w:lastRenderedPageBreak/>
        <w:t>orimligt att upprätthålla ett ovillkorligt erkännandeförbud.</w:t>
      </w:r>
      <w:r w:rsidRPr="00170804">
        <w:t xml:space="preserve"> </w:t>
      </w:r>
      <w:r>
        <w:t>Även om undantaget i dag är ytterst begränsat och inte syftar till att godkänna äktenskapet i sig kan det uppfattas som att de utländska äktenskap det är fråga om i vissa fall trots allt skulle anses vara acceptabla i Sverige.</w:t>
      </w:r>
      <w:r w:rsidRPr="00170804">
        <w:t xml:space="preserve"> </w:t>
      </w:r>
      <w:r>
        <w:t>I debatten framskymtar även att undantaget</w:t>
      </w:r>
      <w:r w:rsidRPr="00170804">
        <w:t xml:space="preserve"> </w:t>
      </w:r>
      <w:r>
        <w:t xml:space="preserve">upplevs </w:t>
      </w:r>
      <w:r w:rsidRPr="00170804">
        <w:t xml:space="preserve">som mer tillåtande än vad som </w:t>
      </w:r>
      <w:r>
        <w:t>varit</w:t>
      </w:r>
      <w:r w:rsidRPr="00170804">
        <w:t xml:space="preserve"> avsett</w:t>
      </w:r>
      <w:r>
        <w:t xml:space="preserve">. Det kan leda till att </w:t>
      </w:r>
      <w:r w:rsidRPr="00170804">
        <w:t>erkännande</w:t>
      </w:r>
      <w:r>
        <w:softHyphen/>
      </w:r>
      <w:r w:rsidRPr="00170804">
        <w:t>förbudet urholkas.</w:t>
      </w:r>
      <w:r w:rsidRPr="0054538B">
        <w:t xml:space="preserve"> </w:t>
      </w:r>
      <w:r>
        <w:t>Dagens ordning</w:t>
      </w:r>
      <w:r w:rsidRPr="00B573B6">
        <w:t xml:space="preserve"> </w:t>
      </w:r>
      <w:r>
        <w:t xml:space="preserve">innebär dessutom </w:t>
      </w:r>
      <w:r w:rsidRPr="00B573B6">
        <w:t>att någon</w:t>
      </w:r>
      <w:r>
        <w:t xml:space="preserve"> som lever i ett t.ex. barnäkten</w:t>
      </w:r>
      <w:r w:rsidR="00217CAA">
        <w:softHyphen/>
      </w:r>
      <w:r>
        <w:t>skap, tvångsäktenskap eller månggifte</w:t>
      </w:r>
      <w:r w:rsidRPr="00B573B6">
        <w:t>, för att få rätt till arv eller bodel</w:t>
      </w:r>
      <w:r w:rsidR="00217CAA">
        <w:softHyphen/>
      </w:r>
      <w:r w:rsidRPr="00B573B6">
        <w:t xml:space="preserve">ning, måste begära att </w:t>
      </w:r>
      <w:r>
        <w:t xml:space="preserve">äktenskapet </w:t>
      </w:r>
      <w:r w:rsidRPr="00B573B6">
        <w:t>ska erkännas, och därigenom tvingas bekräfta det förtryck som äktenskapet står för.</w:t>
      </w:r>
      <w:r>
        <w:t xml:space="preserve"> Det kan ifrågasättas om det är rimligt.</w:t>
      </w:r>
      <w:r w:rsidRPr="0054538B">
        <w:t xml:space="preserve"> </w:t>
      </w:r>
    </w:p>
    <w:p w14:paraId="074AA985" w14:textId="77777777" w:rsidR="006973D1" w:rsidRDefault="006973D1" w:rsidP="006973D1">
      <w:pPr>
        <w:pStyle w:val="Rubrik5utannumrering"/>
      </w:pPr>
      <w:r>
        <w:t>Det finns skäl att utmönstra ventilen</w:t>
      </w:r>
    </w:p>
    <w:p w14:paraId="56560571" w14:textId="77777777" w:rsidR="006973D1" w:rsidRDefault="006973D1" w:rsidP="006973D1">
      <w:pPr>
        <w:pStyle w:val="Brdtextmedindrag"/>
        <w:ind w:firstLine="0"/>
      </w:pPr>
      <w:r w:rsidRPr="00B573B6">
        <w:t>Enligt regeringens uppfattning bör skyddet mot de otillåtna äktenskapen vara konsekvent</w:t>
      </w:r>
      <w:r>
        <w:t>,</w:t>
      </w:r>
      <w:r w:rsidRPr="00B573B6">
        <w:t xml:space="preserve"> heltäckande</w:t>
      </w:r>
      <w:r>
        <w:t xml:space="preserve"> och tydligt markera ett avståndstagande från de utländska otillåtna äktenskapen. Som regeringen redogör för ovan finns det skäl att ifrågasätta det nuvarande undantaget från erkännandeförbudet. </w:t>
      </w:r>
      <w:r w:rsidRPr="006C0017" w:rsidDel="0054538B">
        <w:t xml:space="preserve">Det bör därför övervägas om </w:t>
      </w:r>
      <w:r>
        <w:t xml:space="preserve">det </w:t>
      </w:r>
      <w:r w:rsidRPr="006C0017" w:rsidDel="0054538B">
        <w:t>ska utmönstras.</w:t>
      </w:r>
    </w:p>
    <w:p w14:paraId="3D1BADBF" w14:textId="77777777" w:rsidR="006973D1" w:rsidRDefault="006973D1" w:rsidP="006973D1">
      <w:pPr>
        <w:pStyle w:val="Brdtextmedindrag"/>
      </w:pPr>
      <w:r w:rsidRPr="006C0017">
        <w:t xml:space="preserve">Utredningens förslag att förbudet ska gälla utan undantag får starkt stöd av remissinstanserna. Ett flertal av dem, bl.a. </w:t>
      </w:r>
      <w:r w:rsidRPr="005C1518">
        <w:rPr>
          <w:i/>
          <w:iCs/>
        </w:rPr>
        <w:t>Barnombudsmannen</w:t>
      </w:r>
      <w:r w:rsidRPr="006C0017">
        <w:t xml:space="preserve"> och </w:t>
      </w:r>
      <w:r w:rsidRPr="005C1518">
        <w:rPr>
          <w:i/>
          <w:iCs/>
        </w:rPr>
        <w:t>Migrationsverket</w:t>
      </w:r>
      <w:r w:rsidRPr="006C0017">
        <w:t xml:space="preserve">, tillstyrker uttryckligen förslaget. Som </w:t>
      </w:r>
      <w:r w:rsidRPr="005C1518">
        <w:rPr>
          <w:i/>
          <w:iCs/>
        </w:rPr>
        <w:t>Diskriminerings</w:t>
      </w:r>
      <w:r>
        <w:rPr>
          <w:i/>
          <w:iCs/>
        </w:rPr>
        <w:softHyphen/>
      </w:r>
      <w:r w:rsidRPr="005C1518">
        <w:rPr>
          <w:i/>
          <w:iCs/>
        </w:rPr>
        <w:t>ombudsmannen</w:t>
      </w:r>
      <w:r w:rsidRPr="006C0017">
        <w:t xml:space="preserve"> konstaterar skulle ett sådant förbud innebära att Sverige i högre utsträckning skulle leva upp till </w:t>
      </w:r>
      <w:r>
        <w:t>CEDAW.</w:t>
      </w:r>
    </w:p>
    <w:p w14:paraId="69E54F3A" w14:textId="607C2BB7" w:rsidR="006973D1" w:rsidRPr="007E33C9" w:rsidRDefault="006973D1" w:rsidP="006973D1">
      <w:pPr>
        <w:pStyle w:val="Brdtextmedindrag"/>
      </w:pPr>
      <w:r w:rsidRPr="007C5B4A">
        <w:rPr>
          <w:i/>
        </w:rPr>
        <w:t>Svenska kyrkan</w:t>
      </w:r>
      <w:r w:rsidRPr="005C1518">
        <w:t>,</w:t>
      </w:r>
      <w:r w:rsidRPr="007C5B4A">
        <w:rPr>
          <w:i/>
        </w:rPr>
        <w:t xml:space="preserve"> Sveriges interreligiösa råd </w:t>
      </w:r>
      <w:r w:rsidRPr="00A53790">
        <w:t>och</w:t>
      </w:r>
      <w:r w:rsidRPr="007C5B4A">
        <w:rPr>
          <w:i/>
        </w:rPr>
        <w:t xml:space="preserve"> Sveriges kristna råd</w:t>
      </w:r>
      <w:r w:rsidRPr="00DE6DB7">
        <w:t xml:space="preserve"> motsätter sig </w:t>
      </w:r>
      <w:r>
        <w:t xml:space="preserve">inte utredningens </w:t>
      </w:r>
      <w:r w:rsidRPr="00DE6DB7">
        <w:t xml:space="preserve">förslag i stort, men anser att det inte bör genomföras när det gäller kusinäktenskap, bl.a. eftersom ett sådant äktenskap </w:t>
      </w:r>
      <w:r>
        <w:t xml:space="preserve">inte </w:t>
      </w:r>
      <w:r w:rsidRPr="00DE6DB7">
        <w:t xml:space="preserve">är jämförligt med ett tvångsäktenskap. </w:t>
      </w:r>
      <w:r>
        <w:t>I den delen kan det konstateras att det förbud mot kusinäktenskap som regeringen gått fram med syftar till att motverka hedersrelaterat förtryck och andra påtryck</w:t>
      </w:r>
      <w:r>
        <w:softHyphen/>
        <w:t>ningar vid ingående av äktenskap, samt att motverka heders</w:t>
      </w:r>
      <w:r>
        <w:softHyphen/>
        <w:t xml:space="preserve">strukturer (se </w:t>
      </w:r>
      <w:r w:rsidR="004947DF">
        <w:t>prop. 2025/26:</w:t>
      </w:r>
      <w:r w:rsidR="009D0A16">
        <w:t>154</w:t>
      </w:r>
      <w:r>
        <w:t xml:space="preserve">). Som konstateras i </w:t>
      </w:r>
      <w:r w:rsidR="004763D9">
        <w:t xml:space="preserve">den </w:t>
      </w:r>
      <w:r w:rsidR="004947DF">
        <w:t xml:space="preserve">propositionen </w:t>
      </w:r>
      <w:r>
        <w:t>finns dessa problem inte bara vid äktenskap som ingås i Sverige. E</w:t>
      </w:r>
      <w:r w:rsidRPr="00872C08">
        <w:t>tt erkän</w:t>
      </w:r>
      <w:r>
        <w:softHyphen/>
      </w:r>
      <w:r w:rsidRPr="00872C08">
        <w:t xml:space="preserve">nandeförbud mot utländska kusinäktenskap </w:t>
      </w:r>
      <w:r>
        <w:t xml:space="preserve">bedöms </w:t>
      </w:r>
      <w:r w:rsidR="004947DF">
        <w:t>där</w:t>
      </w:r>
      <w:r>
        <w:t xml:space="preserve"> vara </w:t>
      </w:r>
      <w:r w:rsidRPr="00872C08">
        <w:t>nöd</w:t>
      </w:r>
      <w:r>
        <w:softHyphen/>
      </w:r>
      <w:r w:rsidRPr="00872C08">
        <w:t>vändigt för att uppnå syftet att motverka tvång och ofrihet som kan kopplas till kusinäktenskap</w:t>
      </w:r>
      <w:r>
        <w:t xml:space="preserve"> samtidigt som f</w:t>
      </w:r>
      <w:r w:rsidRPr="00872C08">
        <w:t>rånvaron av ett erkännandeförbud skulle riskera att äventyra det föreslagna äktenskapshindrets effektivitet.</w:t>
      </w:r>
      <w:r>
        <w:t xml:space="preserve"> Dessa överväganden gör sig gällande även i frågan om förbudet bör gälla utan undantag. Även för utländska äktenskap mellan kusiner finns det alltså skäl för ett erkännandeförbud utan undantag. Systematiska skäl talar dessutom för att hantera alla otillåtna äktenskap i samma ordning. Över</w:t>
      </w:r>
      <w:r w:rsidR="00517460">
        <w:softHyphen/>
      </w:r>
      <w:r>
        <w:t>väganden om undantaget bör utmönstras bör därför göras även avseende sådana äktenskap.</w:t>
      </w:r>
    </w:p>
    <w:p w14:paraId="1D1D51EB" w14:textId="77777777" w:rsidR="006973D1" w:rsidRPr="007E33C9" w:rsidRDefault="006973D1" w:rsidP="006973D1">
      <w:pPr>
        <w:pStyle w:val="Brdtextmedindrag"/>
      </w:pPr>
      <w:r w:rsidRPr="004C607A">
        <w:rPr>
          <w:i/>
          <w:iCs/>
        </w:rPr>
        <w:t>Stockholms universitet</w:t>
      </w:r>
      <w:r w:rsidRPr="00D0181F">
        <w:t xml:space="preserve"> anser att det bör övervägas en likabehandling mellan utländska och inhemska äktenskap</w:t>
      </w:r>
      <w:r>
        <w:t xml:space="preserve"> som ingåtts</w:t>
      </w:r>
      <w:r w:rsidRPr="00D0181F">
        <w:t xml:space="preserve"> i strid med svenska äktenskaps</w:t>
      </w:r>
      <w:r>
        <w:softHyphen/>
      </w:r>
      <w:r w:rsidRPr="00D0181F">
        <w:t xml:space="preserve">hinder. Regeringen har flera gånger tidigare uttalat att det finns principiella skäl att se annorlunda på ett äktenskap som har ingåtts inför en svensk myndighet i strid med de svenska lagreglerna å ena sidan och ett äktenskap som har ingåtts i ett annat land i enlighet med där gällande bestämmelser å andra. </w:t>
      </w:r>
      <w:r>
        <w:t>N</w:t>
      </w:r>
      <w:r w:rsidRPr="00D0181F">
        <w:t>är det gäller utländska äktenskap</w:t>
      </w:r>
      <w:r>
        <w:t xml:space="preserve"> handlar det</w:t>
      </w:r>
      <w:r w:rsidRPr="00D0181F">
        <w:t xml:space="preserve"> inte om att hantera ett rättsstridigt äktenskap utan om att på ett rimligt sätt </w:t>
      </w:r>
      <w:r w:rsidRPr="00D0181F">
        <w:lastRenderedPageBreak/>
        <w:t>hantera konsekvenserna av ett i utlandet giltigt äktenskap (se prop. 2003/04:48 s</w:t>
      </w:r>
      <w:r>
        <w:t>.</w:t>
      </w:r>
      <w:r w:rsidRPr="00D0181F">
        <w:t xml:space="preserve"> 34 och prop. 2020/21:149 s. 14</w:t>
      </w:r>
      <w:r>
        <w:t>–</w:t>
      </w:r>
      <w:r w:rsidRPr="00D0181F">
        <w:t xml:space="preserve">15). Det är en ordning som har gällt under lång tid och det finns inte anledning att nu göra </w:t>
      </w:r>
      <w:r>
        <w:t>någon</w:t>
      </w:r>
      <w:r w:rsidRPr="00D0181F">
        <w:t xml:space="preserve"> annan bedömning.</w:t>
      </w:r>
    </w:p>
    <w:p w14:paraId="08DC62CA" w14:textId="77777777" w:rsidR="006973D1" w:rsidRDefault="006973D1" w:rsidP="006973D1">
      <w:pPr>
        <w:pStyle w:val="Rubrik5utannumrering"/>
      </w:pPr>
      <w:r>
        <w:t>Sveriges internationella åtaganden hindrar inte ett absolut förbud</w:t>
      </w:r>
    </w:p>
    <w:p w14:paraId="09C69EA0" w14:textId="77777777" w:rsidR="006973D1" w:rsidRDefault="006973D1" w:rsidP="006973D1">
      <w:pPr>
        <w:pStyle w:val="Brdtext"/>
      </w:pPr>
      <w:r>
        <w:t>En förutsättning för att utmönstra undantaget är att det inte kommer i konflikt med mänskliga fri- och rättigheter enligt Europakonventionen och Sveriges övriga internationella förpliktelser rörande mänskliga rättigheter samt de grundläggande friheter som följer med EU-fördraget, och då särskilt rätten för unionsmedborgare och deras familje</w:t>
      </w:r>
      <w:r>
        <w:softHyphen/>
        <w:t xml:space="preserve">medlemmar att fritt röra sig och uppehålla sig inom unionen. </w:t>
      </w:r>
    </w:p>
    <w:p w14:paraId="23C01F4B" w14:textId="7369A26B" w:rsidR="006973D1" w:rsidRDefault="003B4FB9" w:rsidP="0024101E">
      <w:pPr>
        <w:pStyle w:val="Brdtextmedindrag"/>
      </w:pPr>
      <w:bookmarkStart w:id="114" w:name="_Hlk215832980"/>
      <w:r w:rsidRPr="003B4FB9">
        <w:t>I Europakonven</w:t>
      </w:r>
      <w:r w:rsidR="00F324A0">
        <w:softHyphen/>
      </w:r>
      <w:r w:rsidRPr="003B4FB9">
        <w:t xml:space="preserve">tionens artikel 8 anges att </w:t>
      </w:r>
      <w:r w:rsidR="00E21A97">
        <w:t>var och en</w:t>
      </w:r>
      <w:r w:rsidRPr="003B4FB9">
        <w:t xml:space="preserve"> har rätt till respekt för sitt privat- och familjeliv</w:t>
      </w:r>
      <w:r w:rsidR="00554A7F">
        <w:t>. D</w:t>
      </w:r>
      <w:r w:rsidRPr="003B4FB9">
        <w:t xml:space="preserve">essa rättigheter innebär </w:t>
      </w:r>
      <w:r w:rsidR="00554A7F">
        <w:t xml:space="preserve">dock </w:t>
      </w:r>
      <w:r w:rsidRPr="003B4FB9">
        <w:t>inte någon generell skyldighet för en konventionsstat att erkänna äktenskap som står i strid med statens egen lagstiftning.</w:t>
      </w:r>
      <w:r>
        <w:t xml:space="preserve"> </w:t>
      </w:r>
      <w:r w:rsidRPr="003B4FB9">
        <w:t xml:space="preserve">Europadomstolen har t.ex. uttalat att </w:t>
      </w:r>
      <w:r w:rsidR="00554A7F">
        <w:t xml:space="preserve">artikel 8 inte kan tolkas så att den ålägger någon </w:t>
      </w:r>
      <w:r w:rsidR="00554A7F" w:rsidRPr="003B4FB9">
        <w:t xml:space="preserve">stat </w:t>
      </w:r>
      <w:r w:rsidRPr="003B4FB9">
        <w:t xml:space="preserve">att erkänna ett äktenskap som ingåtts av en 14-åring (Z.H och R.H mot Schweiz, no. 60119/12, 8 december 2015). </w:t>
      </w:r>
      <w:r w:rsidR="00D10121">
        <w:t>Vidare kan det konstateras att o</w:t>
      </w:r>
      <w:r w:rsidRPr="003B4FB9">
        <w:t xml:space="preserve">m makar vars äktenskap inte erkänns väljer att inte utnyttja en möjlighet att ingå ett äktenskap som staten i fråga skulle erkänna, </w:t>
      </w:r>
      <w:r w:rsidR="008E2C8E">
        <w:t>om den möjlig</w:t>
      </w:r>
      <w:r w:rsidR="00A71FBF">
        <w:softHyphen/>
      </w:r>
      <w:r w:rsidR="008E2C8E">
        <w:t>heten står till buds</w:t>
      </w:r>
      <w:r w:rsidRPr="003B4FB9">
        <w:t xml:space="preserve">, torde utrymmet att hävda att det förhållandet att parterna inte omfattas av de rättsverkningar som följer av ett äktenskap innebär en kränkning av artikel 8 vara mycket begränsat (se Şerife Yigit mot Turkiet [GC], no. 3976/05, 2 november 2010). Ett nekat erkännande kan i vissa fall utgöra en inskränkning av rättigheterna i artikel 8 (se Dadouch mot Malta, no. 38816/07, 20 juli 2010). </w:t>
      </w:r>
      <w:r w:rsidR="00D10121">
        <w:t>Som konstateras ovan är r</w:t>
      </w:r>
      <w:r w:rsidRPr="003B4FB9">
        <w:t>ättigheterna enligt artikel 8 inte absoluta</w:t>
      </w:r>
      <w:r w:rsidR="00D10121">
        <w:t>,</w:t>
      </w:r>
      <w:r w:rsidRPr="003B4FB9">
        <w:t xml:space="preserve"> utan får inskränkas genom lag om det i ett demokratiskt samhälle är nödvändigt för att skydda vissa viktiga intressen.</w:t>
      </w:r>
      <w:bookmarkEnd w:id="114"/>
      <w:r w:rsidR="003C2D6F">
        <w:t xml:space="preserve"> </w:t>
      </w:r>
      <w:r w:rsidR="00A11DE2">
        <w:t xml:space="preserve">Vid utformningen av en sådan </w:t>
      </w:r>
      <w:r w:rsidR="008E2C8E">
        <w:t>inskränkning</w:t>
      </w:r>
      <w:r w:rsidR="002C205B" w:rsidRPr="002C205B">
        <w:t xml:space="preserve"> har </w:t>
      </w:r>
      <w:r w:rsidR="00A11DE2">
        <w:t>k</w:t>
      </w:r>
      <w:r w:rsidR="002C205B" w:rsidRPr="002C205B">
        <w:t>onven</w:t>
      </w:r>
      <w:r w:rsidR="00E91ECB">
        <w:softHyphen/>
      </w:r>
      <w:r w:rsidR="002C205B" w:rsidRPr="002C205B">
        <w:t>tions</w:t>
      </w:r>
      <w:r w:rsidR="00E91ECB">
        <w:softHyphen/>
      </w:r>
      <w:r w:rsidR="002C205B" w:rsidRPr="002C205B">
        <w:t>stat</w:t>
      </w:r>
      <w:r w:rsidR="00F324A0">
        <w:t>erna</w:t>
      </w:r>
      <w:r w:rsidR="002C205B" w:rsidRPr="002C205B">
        <w:t xml:space="preserve"> ett visst bedöm</w:t>
      </w:r>
      <w:r w:rsidR="002C205B">
        <w:softHyphen/>
      </w:r>
      <w:r w:rsidR="002C205B" w:rsidRPr="002C205B">
        <w:t>ningsutrymme</w:t>
      </w:r>
      <w:r w:rsidR="00A11DE2">
        <w:t>,</w:t>
      </w:r>
      <w:r w:rsidR="002C205B" w:rsidRPr="002C205B">
        <w:t xml:space="preserve"> så länge </w:t>
      </w:r>
      <w:r w:rsidR="00A11DE2">
        <w:t>den</w:t>
      </w:r>
      <w:r w:rsidR="002C205B" w:rsidRPr="002C205B">
        <w:t xml:space="preserve"> är propor</w:t>
      </w:r>
      <w:r w:rsidR="00E91ECB">
        <w:softHyphen/>
      </w:r>
      <w:r w:rsidR="002C205B" w:rsidRPr="002C205B">
        <w:t>tion</w:t>
      </w:r>
      <w:r w:rsidR="00A71FBF">
        <w:softHyphen/>
      </w:r>
      <w:r w:rsidR="002C205B" w:rsidRPr="002C205B">
        <w:t>erlig. Europa</w:t>
      </w:r>
      <w:r w:rsidR="002C205B">
        <w:softHyphen/>
      </w:r>
      <w:r w:rsidR="002C205B" w:rsidRPr="002C205B">
        <w:t xml:space="preserve">rådets kommission för de mänskliga rättigheterna har </w:t>
      </w:r>
      <w:r w:rsidR="006E1EA2">
        <w:t>beträffande månggiften</w:t>
      </w:r>
      <w:r w:rsidR="002C205B" w:rsidRPr="002C205B">
        <w:t xml:space="preserve"> bekräftat dels att konventionsstaterna har ett berättigat intresse av att motverka ingåendet av </w:t>
      </w:r>
      <w:r w:rsidR="006E1EA2">
        <w:t>sådana</w:t>
      </w:r>
      <w:r w:rsidR="002C205B" w:rsidRPr="002C205B">
        <w:t xml:space="preserve"> äktenskap, dels att staterna inte kan avkrävas att fullt ut erkänna </w:t>
      </w:r>
      <w:r w:rsidR="006E1EA2">
        <w:t>månggiften</w:t>
      </w:r>
      <w:r w:rsidR="002C205B" w:rsidRPr="002C205B">
        <w:t xml:space="preserve"> som är i strid med dess interna rättsordning, i vart fall inte i migrationsrättsliga sammanhang</w:t>
      </w:r>
      <w:r w:rsidR="002C205B">
        <w:t xml:space="preserve"> (</w:t>
      </w:r>
      <w:r w:rsidR="00D5586B">
        <w:t xml:space="preserve">se </w:t>
      </w:r>
      <w:r w:rsidR="00D5586B" w:rsidRPr="00D5586B">
        <w:t>E.A. och A.A. mot Nederländerna, nr 14501/89, 6 januari 1992 samt R.B. mot Förenade kungariket, nr 19628/92, 29 juni 1992</w:t>
      </w:r>
      <w:r w:rsidR="00D5586B">
        <w:t>)</w:t>
      </w:r>
      <w:r w:rsidR="002C205B" w:rsidRPr="002C205B">
        <w:t>.</w:t>
      </w:r>
    </w:p>
    <w:p w14:paraId="78D87C2C" w14:textId="4C1D4B70" w:rsidR="003C2D6F" w:rsidRDefault="00977B59" w:rsidP="0024101E">
      <w:pPr>
        <w:pStyle w:val="Brdtextmedindrag"/>
      </w:pPr>
      <w:r w:rsidRPr="00977B59">
        <w:t>Genom principen att de svenska äktenskapshindren alltid ska iakttas vid hindersprövning för vigsel inför svensk myndighet slås det fast att den svenska rättsordningen betraktar de</w:t>
      </w:r>
      <w:r w:rsidR="00CE1029">
        <w:t xml:space="preserve">ssa </w:t>
      </w:r>
      <w:r w:rsidRPr="00977B59">
        <w:t>äktenskapshind</w:t>
      </w:r>
      <w:r w:rsidR="00CE1029">
        <w:t>er</w:t>
      </w:r>
      <w:r w:rsidRPr="00977B59">
        <w:t xml:space="preserve"> som orubbliga. Det klargörs att myndigheterna inte accepterar äktenskap som utifrån grundläggande värderingar i vårt samhälle inte är önskvärda.</w:t>
      </w:r>
      <w:r>
        <w:t xml:space="preserve"> </w:t>
      </w:r>
      <w:r w:rsidR="003C2D6F" w:rsidRPr="003C2D6F">
        <w:t xml:space="preserve">Ett </w:t>
      </w:r>
      <w:r w:rsidR="003C2D6F">
        <w:t>absolut</w:t>
      </w:r>
      <w:r w:rsidR="003C2D6F" w:rsidRPr="003C2D6F">
        <w:t xml:space="preserve"> erkännandeförbud syftar till att </w:t>
      </w:r>
      <w:r>
        <w:t xml:space="preserve">ge motsvarande </w:t>
      </w:r>
      <w:r w:rsidR="003C2D6F" w:rsidRPr="003C2D6F">
        <w:t>skyd</w:t>
      </w:r>
      <w:r>
        <w:t xml:space="preserve">d för </w:t>
      </w:r>
      <w:r w:rsidR="003C2D6F" w:rsidRPr="003C2D6F">
        <w:t xml:space="preserve">enskilda, både barn och vuxna, i Sverige mot de negativa verkningar som följer av </w:t>
      </w:r>
      <w:r w:rsidR="003C2D6F">
        <w:t>de ifrågavarande</w:t>
      </w:r>
      <w:r>
        <w:t xml:space="preserve"> utländska</w:t>
      </w:r>
      <w:r w:rsidR="003C2D6F">
        <w:t xml:space="preserve"> </w:t>
      </w:r>
      <w:r w:rsidR="003C2D6F" w:rsidRPr="003C2D6F">
        <w:t>äktenskap</w:t>
      </w:r>
      <w:r w:rsidR="003C2D6F">
        <w:t>en</w:t>
      </w:r>
      <w:r w:rsidR="003C2D6F" w:rsidRPr="003C2D6F">
        <w:t xml:space="preserve"> och att motverka förekomsten i Sverige av skadliga sedvänj</w:t>
      </w:r>
      <w:r w:rsidR="003C2D6F">
        <w:t>or</w:t>
      </w:r>
      <w:r w:rsidR="003C2D6F" w:rsidRPr="003C2D6F">
        <w:t xml:space="preserve">. </w:t>
      </w:r>
      <w:r w:rsidR="00680AAC">
        <w:t>Sverige har också en skyldighet att bekämpa hedersförtryck och skadliga sedvänjor, vilket bl.a. tvångs</w:t>
      </w:r>
      <w:r w:rsidR="00A71FBF">
        <w:softHyphen/>
      </w:r>
      <w:r w:rsidR="00680AAC">
        <w:t xml:space="preserve">äktenskap, barnäktenskap och månggiften ofta är ett uttryck för. </w:t>
      </w:r>
      <w:r w:rsidR="003C2D6F" w:rsidRPr="003C2D6F">
        <w:t xml:space="preserve">Det handlar i grunden om att värna grundläggande värden om bl.a. jämlikhet </w:t>
      </w:r>
      <w:r w:rsidR="003C2D6F" w:rsidRPr="003C2D6F">
        <w:lastRenderedPageBreak/>
        <w:t xml:space="preserve">och att säkerställa barns och kvinnors rättigheter. Att skydda medborgare och andra enskilda som befinner sig på dess territorium är en av de viktigaste uppgifter en stat har. Det är alltså behovet av att uppnå dessa syften som enligt regeringen motiverar </w:t>
      </w:r>
      <w:r w:rsidR="003C2D6F">
        <w:t xml:space="preserve">ett </w:t>
      </w:r>
      <w:r w:rsidR="003C2D6F" w:rsidRPr="003C2D6F">
        <w:t>erkännande</w:t>
      </w:r>
      <w:r w:rsidR="00245B7F">
        <w:softHyphen/>
      </w:r>
      <w:r w:rsidR="003C2D6F" w:rsidRPr="003C2D6F">
        <w:t>förbud.</w:t>
      </w:r>
    </w:p>
    <w:p w14:paraId="1C7D3872" w14:textId="17AFF28B" w:rsidR="006973D1" w:rsidRDefault="00245B7F" w:rsidP="006973D1">
      <w:pPr>
        <w:pStyle w:val="Brdtextmedindrag"/>
      </w:pPr>
      <w:r w:rsidRPr="00245B7F">
        <w:t xml:space="preserve">De </w:t>
      </w:r>
      <w:r>
        <w:t>omständigheter som</w:t>
      </w:r>
      <w:r w:rsidRPr="00245B7F">
        <w:t xml:space="preserve"> regeringen </w:t>
      </w:r>
      <w:r>
        <w:t xml:space="preserve">redogör för </w:t>
      </w:r>
      <w:r w:rsidRPr="00245B7F">
        <w:t xml:space="preserve">ovan har relevans även för frågan om huruvida ett </w:t>
      </w:r>
      <w:r>
        <w:t xml:space="preserve">absolut </w:t>
      </w:r>
      <w:r w:rsidRPr="00245B7F">
        <w:t xml:space="preserve">förbud är förenligt med </w:t>
      </w:r>
      <w:r>
        <w:t>unionsrätten</w:t>
      </w:r>
      <w:r w:rsidRPr="00245B7F">
        <w:t xml:space="preserve">. </w:t>
      </w:r>
      <w:r>
        <w:t>F</w:t>
      </w:r>
      <w:r w:rsidR="006973D1">
        <w:t>rågor om äktenskap omfattas av medlemsstaternas befogenhet. D</w:t>
      </w:r>
      <w:r w:rsidR="006973D1" w:rsidRPr="004B5EE2">
        <w:t xml:space="preserve">et är alltså upp till varje medlemsstat att ta ställning till i vilken utsträckning andra staters äktenskap ska erkännas. </w:t>
      </w:r>
      <w:r w:rsidR="006973D1">
        <w:t>När medlems</w:t>
      </w:r>
      <w:r w:rsidR="006973D1">
        <w:softHyphen/>
        <w:t>staterna utövar denna befogenhet är de dock skyldiga att iaktta unions</w:t>
      </w:r>
      <w:r w:rsidR="006973D1">
        <w:softHyphen/>
        <w:t>rätten och i synnerhet bestämmelserna om unions</w:t>
      </w:r>
      <w:r w:rsidR="006973D1">
        <w:softHyphen/>
        <w:t>medborgares rätt att fritt röra sig och uppehålla sig inom medlemsstaternas territorier. I</w:t>
      </w:r>
      <w:r w:rsidR="006973D1" w:rsidRPr="00210996">
        <w:t xml:space="preserve"> detta syfte </w:t>
      </w:r>
      <w:r w:rsidR="006973D1">
        <w:t xml:space="preserve">ska medlemsstaterna också som utgångspunkt </w:t>
      </w:r>
      <w:r w:rsidR="006973D1" w:rsidRPr="00210996">
        <w:t xml:space="preserve">erkänna den rättsliga status som </w:t>
      </w:r>
      <w:r w:rsidR="006973D1">
        <w:t xml:space="preserve">fastställts för </w:t>
      </w:r>
      <w:r w:rsidR="006973D1" w:rsidRPr="00210996">
        <w:t>personer som är bosatta i en annan medlemsstat i enlig</w:t>
      </w:r>
      <w:r w:rsidR="006973D1">
        <w:softHyphen/>
      </w:r>
      <w:r w:rsidR="006973D1" w:rsidRPr="00210996">
        <w:t>het med den medlemsstatens lagstiftning</w:t>
      </w:r>
      <w:r w:rsidR="006973D1" w:rsidRPr="005D0064">
        <w:t xml:space="preserve"> (se </w:t>
      </w:r>
      <w:r w:rsidR="006973D1">
        <w:t xml:space="preserve">till exempel EU-domstolens dom </w:t>
      </w:r>
      <w:bookmarkStart w:id="115" w:name="_Hlk218865576"/>
      <w:r w:rsidR="006973D1" w:rsidRPr="00D768BC">
        <w:t>Wojewoda Mazowieck</w:t>
      </w:r>
      <w:r w:rsidR="006973D1">
        <w:t>i</w:t>
      </w:r>
      <w:bookmarkEnd w:id="115"/>
      <w:r w:rsidR="006973D1">
        <w:t>, C</w:t>
      </w:r>
      <w:r w:rsidR="006973D1">
        <w:noBreakHyphen/>
        <w:t xml:space="preserve">713/23, </w:t>
      </w:r>
      <w:r w:rsidR="006973D1" w:rsidRPr="003D66A1">
        <w:t>EU:C</w:t>
      </w:r>
      <w:r w:rsidR="006973D1">
        <w:t> </w:t>
      </w:r>
      <w:r w:rsidR="006973D1" w:rsidRPr="003D66A1">
        <w:t>2025:917</w:t>
      </w:r>
      <w:r w:rsidR="006973D1">
        <w:t xml:space="preserve">, punkt 48 och dom Coman m.fl., C-673/16, </w:t>
      </w:r>
      <w:r w:rsidR="006973D1" w:rsidRPr="002A3249">
        <w:t>EU:C</w:t>
      </w:r>
      <w:r w:rsidR="006973D1">
        <w:t> 2018</w:t>
      </w:r>
      <w:r w:rsidR="006973D1" w:rsidRPr="002A3249">
        <w:t>:385 punkterna</w:t>
      </w:r>
      <w:r w:rsidR="006973D1">
        <w:t> </w:t>
      </w:r>
      <w:r w:rsidR="006973D1" w:rsidRPr="002A3249">
        <w:t>37–41</w:t>
      </w:r>
      <w:r w:rsidR="006973D1">
        <w:t>). Om ett äkten</w:t>
      </w:r>
      <w:r w:rsidR="00BB265A">
        <w:softHyphen/>
      </w:r>
      <w:r w:rsidR="006973D1">
        <w:t>skap inte erkänns i en annan medlemsstat kan det medföra att det uppstår hinder för utövandet av den fria rörligheten, särskilt om det ger upphov till allvarliga olägenheter för makarna i administrativt, yrkes</w:t>
      </w:r>
      <w:r w:rsidR="006973D1">
        <w:softHyphen/>
        <w:t>mässigt eller privat hänseende (</w:t>
      </w:r>
      <w:r w:rsidR="006973D1" w:rsidRPr="005D0064">
        <w:t xml:space="preserve">se </w:t>
      </w:r>
      <w:r w:rsidR="006973D1">
        <w:t xml:space="preserve">till exempel </w:t>
      </w:r>
      <w:r w:rsidR="006973D1" w:rsidRPr="00D768BC">
        <w:t>Wojewoda Mazowieck</w:t>
      </w:r>
      <w:r w:rsidR="006973D1">
        <w:t>i, C</w:t>
      </w:r>
      <w:r w:rsidR="006973D1">
        <w:noBreakHyphen/>
        <w:t xml:space="preserve">713/23, </w:t>
      </w:r>
      <w:r w:rsidR="006973D1" w:rsidRPr="003D66A1">
        <w:t>EU:C:2025:917</w:t>
      </w:r>
      <w:r w:rsidR="006973D1">
        <w:t xml:space="preserve">, punkt 51). </w:t>
      </w:r>
    </w:p>
    <w:p w14:paraId="0AEB29BC" w14:textId="77777777" w:rsidR="006973D1" w:rsidRDefault="006973D1" w:rsidP="006973D1">
      <w:pPr>
        <w:pStyle w:val="Brdtextmedindrag"/>
      </w:pPr>
      <w:r w:rsidRPr="00A2623E">
        <w:t>R</w:t>
      </w:r>
      <w:r>
        <w:t xml:space="preserve">ätten till fri rörlighet inom EU är dock inte absolut. En begränsning av rätten till fri rörlighet kan enligt EU-domstolens praxis vara motiverad om den grundar sig på objektiva hänsyn till allmänintresse, är oberoende av de berörda personernas nationalitet och står i proportion till det legitima syfte som eftersträvas med de nationella reglerna (se </w:t>
      </w:r>
      <w:r w:rsidRPr="00D768BC">
        <w:t>Wojewoda Mazowiecki</w:t>
      </w:r>
      <w:r>
        <w:t>, C</w:t>
      </w:r>
      <w:r>
        <w:noBreakHyphen/>
        <w:t>713/23, punkt 55). Det</w:t>
      </w:r>
      <w:r w:rsidRPr="002A3249">
        <w:t xml:space="preserve"> följer av domstolens praxis att en åtgärd är proportionerlig om den är ägnad att säkerställa att det efter</w:t>
      </w:r>
      <w:r>
        <w:softHyphen/>
      </w:r>
      <w:r w:rsidRPr="002A3249">
        <w:t>strävade målet uppnås och inte går utöver vad som är nödvändigt för att uppnå detta mål (Coman m.fl., C-673/16, EU:C:2018:385, punkt 41</w:t>
      </w:r>
      <w:r>
        <w:t>).</w:t>
      </w:r>
    </w:p>
    <w:p w14:paraId="23F04067" w14:textId="08516FB6" w:rsidR="00FD0928" w:rsidRDefault="00F324A0" w:rsidP="005A49BC">
      <w:pPr>
        <w:pStyle w:val="Brdtextmedindrag"/>
      </w:pPr>
      <w:r>
        <w:t>I</w:t>
      </w:r>
      <w:r w:rsidR="006973D1">
        <w:t xml:space="preserve"> dag är förbudet mot att erkänna utländska barnäktenskap, månggiften, tvångsäktenskap, äkten</w:t>
      </w:r>
      <w:r w:rsidR="006973D1">
        <w:softHyphen/>
        <w:t>skap mellan vissa nära släktingar och fullmakts</w:t>
      </w:r>
      <w:r w:rsidR="006973D1">
        <w:softHyphen/>
        <w:t>äktenskap strängt reglerat. Det finns ett generellt förbud mot att erkänna sådana äktenskap och möjligheten att göra undantag är mycket begränsad. Regeringen har tidigare bedömt att regleringen är förenlig med Europa</w:t>
      </w:r>
      <w:r w:rsidR="006973D1">
        <w:softHyphen/>
        <w:t xml:space="preserve">konventionen och unionsrätten, senast när det gäller utländska barnäktenskap och månggiften (prop. 2017/18:288 s. 18–19 och prop. 2020/21:149 s. 15–16. och 26). Motsvarande bedömning gjordes nyligen i fråga om kusinäktenskap (se </w:t>
      </w:r>
      <w:r w:rsidR="004947DF">
        <w:t>prop. 2025/26:</w:t>
      </w:r>
      <w:r w:rsidR="009D0A16">
        <w:t>154</w:t>
      </w:r>
      <w:r w:rsidR="006973D1">
        <w:t xml:space="preserve">). </w:t>
      </w:r>
      <w:r w:rsidR="006973D1" w:rsidRPr="004A792C">
        <w:t xml:space="preserve">Den bedömningen gör sig </w:t>
      </w:r>
      <w:r w:rsidR="006973D1">
        <w:t xml:space="preserve">fortfarande gällande. </w:t>
      </w:r>
      <w:r w:rsidR="00A71FBF">
        <w:t>Som framgår ovan</w:t>
      </w:r>
      <w:r w:rsidR="006973D1">
        <w:t xml:space="preserve"> är motsvarande äktenskap otillåtna</w:t>
      </w:r>
      <w:r w:rsidR="00A71FBF">
        <w:t xml:space="preserve"> i svensk lag</w:t>
      </w:r>
      <w:r w:rsidR="006973D1">
        <w:t>.</w:t>
      </w:r>
    </w:p>
    <w:p w14:paraId="1076B734" w14:textId="2AF2CB49" w:rsidR="00DB4617" w:rsidRDefault="00E91ECB" w:rsidP="008432A7">
      <w:pPr>
        <w:pStyle w:val="Brdtextmedindrag"/>
      </w:pPr>
      <w:r>
        <w:t>U</w:t>
      </w:r>
      <w:r w:rsidR="00FD0928">
        <w:t>tgångspunkt</w:t>
      </w:r>
      <w:r>
        <w:t xml:space="preserve">en </w:t>
      </w:r>
      <w:r w:rsidR="00A63A5A">
        <w:t xml:space="preserve">har </w:t>
      </w:r>
      <w:r w:rsidR="00FD0928">
        <w:t>varit</w:t>
      </w:r>
      <w:r w:rsidR="00A63A5A">
        <w:t xml:space="preserve"> att skyddet för fri- och rättigheterna i konventionen och fördraget upprätthålls genom möjligheten att i det enskilda fallet kunna göra undantag från förbudet. </w:t>
      </w:r>
      <w:r w:rsidR="00FD0928">
        <w:t>Det</w:t>
      </w:r>
      <w:r w:rsidR="008432A7">
        <w:t xml:space="preserve"> har anfört</w:t>
      </w:r>
      <w:r w:rsidR="00FD0928">
        <w:t>s</w:t>
      </w:r>
      <w:r w:rsidR="008432A7">
        <w:t xml:space="preserve"> att </w:t>
      </w:r>
      <w:r>
        <w:t xml:space="preserve">det nationella regelverket, </w:t>
      </w:r>
      <w:r w:rsidR="008432A7">
        <w:t>för att fullt ut leva upp till Europakonventionen och unionsrätten</w:t>
      </w:r>
      <w:r>
        <w:t>,</w:t>
      </w:r>
      <w:r w:rsidR="008432A7">
        <w:t xml:space="preserve"> behöver ge utrymme för en proportionalitetsbedömning som kan ta hänsyn till omständigheterna i det enskilda fallet och att det</w:t>
      </w:r>
      <w:r w:rsidR="00FD0928">
        <w:t>ta</w:t>
      </w:r>
      <w:r w:rsidR="008432A7">
        <w:t xml:space="preserve"> förutsätter en ventil. Tillämpningen av ventilen </w:t>
      </w:r>
      <w:r w:rsidR="006E1EA2">
        <w:t xml:space="preserve">har inneburit </w:t>
      </w:r>
      <w:r w:rsidR="008432A7">
        <w:t xml:space="preserve">att </w:t>
      </w:r>
      <w:r w:rsidR="001E7634">
        <w:t xml:space="preserve">parterna i ett enskilt fall får del av en viss rättsverkan som följer av ett </w:t>
      </w:r>
      <w:r w:rsidR="008432A7">
        <w:t>äktenskap</w:t>
      </w:r>
      <w:r w:rsidR="001E7634">
        <w:t>.</w:t>
      </w:r>
      <w:r w:rsidR="008432A7">
        <w:t xml:space="preserve"> </w:t>
      </w:r>
      <w:r>
        <w:t>De</w:t>
      </w:r>
      <w:r w:rsidR="00736087">
        <w:t xml:space="preserve">tta går </w:t>
      </w:r>
      <w:r>
        <w:t xml:space="preserve">dock </w:t>
      </w:r>
      <w:r w:rsidR="00736087">
        <w:t xml:space="preserve">att åstadkomma utan att äktenskapet erkänns. </w:t>
      </w:r>
    </w:p>
    <w:p w14:paraId="0F92A94B" w14:textId="2CD65642" w:rsidR="005840BE" w:rsidRDefault="00403AC8" w:rsidP="00B74FB6">
      <w:pPr>
        <w:pStyle w:val="Brdtextmedindrag"/>
      </w:pPr>
      <w:r>
        <w:lastRenderedPageBreak/>
        <w:t>Att helt ta bort undantaget från förbudet mot att erkänna äktenskapen innebär att de ifrågavarande utländska äktenskapen aldrig kan erkännas.</w:t>
      </w:r>
      <w:r w:rsidR="00E16D28">
        <w:t xml:space="preserve"> För att upprätthålla skyddet för fri- och rättigheterna enligt konventionen och fördraget</w:t>
      </w:r>
      <w:r w:rsidR="00244EB4">
        <w:t>,</w:t>
      </w:r>
      <w:r w:rsidR="00E16D28">
        <w:t xml:space="preserve"> och </w:t>
      </w:r>
      <w:r w:rsidR="00A11DE2">
        <w:t xml:space="preserve">samtidigt </w:t>
      </w:r>
      <w:r w:rsidR="00E16D28">
        <w:t>möjliggöra en proportionalitetsbedömning</w:t>
      </w:r>
      <w:r w:rsidR="00244EB4">
        <w:t>,</w:t>
      </w:r>
      <w:r w:rsidR="008432A7">
        <w:t xml:space="preserve"> </w:t>
      </w:r>
      <w:r w:rsidR="00D10121">
        <w:t>kan</w:t>
      </w:r>
      <w:r w:rsidR="00862F0A">
        <w:t xml:space="preserve"> r</w:t>
      </w:r>
      <w:r w:rsidR="00862F0A" w:rsidRPr="00862F0A">
        <w:t xml:space="preserve">egelverket utformas så </w:t>
      </w:r>
      <w:r w:rsidR="003437B0">
        <w:t xml:space="preserve">att </w:t>
      </w:r>
      <w:r w:rsidR="00862F0A" w:rsidRPr="00862F0A">
        <w:t>rättsverkningar som följer av ett äktenskap</w:t>
      </w:r>
      <w:r w:rsidR="003437B0">
        <w:t xml:space="preserve"> under vissa förhållanden kan gälla</w:t>
      </w:r>
      <w:r w:rsidR="008432A7">
        <w:t xml:space="preserve"> utan att </w:t>
      </w:r>
      <w:r w:rsidR="004F1BB2">
        <w:t xml:space="preserve">äktenskapet </w:t>
      </w:r>
      <w:r w:rsidR="008432A7">
        <w:t>erkänn</w:t>
      </w:r>
      <w:r w:rsidR="004F1BB2">
        <w:t>s</w:t>
      </w:r>
      <w:r w:rsidR="00D10121">
        <w:t xml:space="preserve"> som sådant</w:t>
      </w:r>
      <w:r w:rsidR="00862F0A">
        <w:t>. En sådan regel skapa</w:t>
      </w:r>
      <w:r w:rsidR="00E91ECB">
        <w:t>r</w:t>
      </w:r>
      <w:r w:rsidR="00862F0A">
        <w:t xml:space="preserve"> utrymme för att beakta </w:t>
      </w:r>
      <w:r w:rsidR="008432A7">
        <w:t xml:space="preserve">enskilda förhållanden </w:t>
      </w:r>
      <w:r w:rsidR="00EF6D3F">
        <w:t>och de konsekvenser ett nekat erkännande medför i det enskilda fallet</w:t>
      </w:r>
      <w:r w:rsidR="003437B0">
        <w:t xml:space="preserve">, och </w:t>
      </w:r>
      <w:r w:rsidR="00A11DE2">
        <w:t xml:space="preserve">på så sätt säkerställa </w:t>
      </w:r>
      <w:r w:rsidR="00044DF3">
        <w:t xml:space="preserve">de fri- och rättigheter som </w:t>
      </w:r>
      <w:r w:rsidR="00D10121">
        <w:t xml:space="preserve">gäller enligt </w:t>
      </w:r>
      <w:r w:rsidR="00044DF3">
        <w:t>Europakonventionen och unionsrätten.</w:t>
      </w:r>
      <w:r w:rsidR="008432A7">
        <w:t xml:space="preserve"> På </w:t>
      </w:r>
      <w:r w:rsidR="00CA038C">
        <w:t>motsvarande</w:t>
      </w:r>
      <w:r w:rsidR="008432A7">
        <w:t xml:space="preserve"> sätt som den nu gällande ventilen skulle en sådan regel</w:t>
      </w:r>
      <w:r w:rsidR="00E91ECB">
        <w:t xml:space="preserve"> säkerställa</w:t>
      </w:r>
      <w:r w:rsidR="008432A7">
        <w:t xml:space="preserve"> att allvarliga konse</w:t>
      </w:r>
      <w:r w:rsidR="0089321A">
        <w:softHyphen/>
      </w:r>
      <w:r w:rsidR="008432A7">
        <w:t>kvenser för en enskild kan undvikas</w:t>
      </w:r>
      <w:r w:rsidR="00CA038C">
        <w:t>.</w:t>
      </w:r>
      <w:r w:rsidDel="00E16D28">
        <w:t xml:space="preserve"> </w:t>
      </w:r>
      <w:r w:rsidR="00AD2EC1">
        <w:t>Tillämpnings</w:t>
      </w:r>
      <w:r w:rsidR="00AD2EC1">
        <w:softHyphen/>
        <w:t xml:space="preserve">området för en sådan bestämmelse bör </w:t>
      </w:r>
      <w:r w:rsidR="00AD2EC1" w:rsidRPr="000B3357">
        <w:t>inte vara snävare än vad Europa</w:t>
      </w:r>
      <w:r w:rsidR="00AD2EC1">
        <w:softHyphen/>
      </w:r>
      <w:r w:rsidR="00AD2EC1" w:rsidRPr="000B3357">
        <w:t>konventionen</w:t>
      </w:r>
      <w:r w:rsidR="00AD2EC1">
        <w:t>, Sveriges övriga inter</w:t>
      </w:r>
      <w:r w:rsidR="00AD2EC1">
        <w:softHyphen/>
        <w:t>nationella förpliktelser rörande mänskliga rättigheter</w:t>
      </w:r>
      <w:r w:rsidR="00AD2EC1" w:rsidRPr="000B3357">
        <w:t xml:space="preserve"> och unionsrätten medger. Det måste </w:t>
      </w:r>
      <w:r w:rsidR="00AD2EC1">
        <w:t xml:space="preserve">vid en tillämpning av bestämmelsen </w:t>
      </w:r>
      <w:r w:rsidR="00AD2EC1" w:rsidRPr="000B3357">
        <w:t>göras en avväg</w:t>
      </w:r>
      <w:r w:rsidR="00AD2EC1">
        <w:softHyphen/>
      </w:r>
      <w:r w:rsidR="00AD2EC1" w:rsidRPr="000B3357">
        <w:t>ning av hur stort ingreppet i den enskildes rätt är</w:t>
      </w:r>
      <w:r w:rsidR="00AD2EC1">
        <w:t>,</w:t>
      </w:r>
      <w:r w:rsidR="00AD2EC1" w:rsidRPr="000B3357">
        <w:t xml:space="preserve"> i förhållande till syftet med erkännandeförbudet, dvs. att skydda enskilda mot att leva i </w:t>
      </w:r>
      <w:r w:rsidR="00AD2EC1">
        <w:t>otillåtna äktenskap</w:t>
      </w:r>
      <w:r w:rsidR="00AD2EC1" w:rsidRPr="000B3357">
        <w:t xml:space="preserve"> och att motverka förekomsten av sådana äktenskap i Sverige. Som utgångspunkt väger skälen för förbudet tyngre än de konsekvenser som ett nekat erkännande medför för enskilda. Bedöms förhållandet mellan dessa faktorer i ett enskilt fall vara orimligt </w:t>
      </w:r>
      <w:r w:rsidR="00AD2EC1">
        <w:t>bör regelverket ge utrymme för att i det sammanhanget låta äktenskapet ha en viss rättsverkan</w:t>
      </w:r>
      <w:r w:rsidR="00AD2EC1" w:rsidRPr="000B3357">
        <w:t>.</w:t>
      </w:r>
    </w:p>
    <w:p w14:paraId="6E55907A" w14:textId="1ADBB2B6" w:rsidR="00B74FB6" w:rsidRDefault="00AD40B3" w:rsidP="006973D1">
      <w:pPr>
        <w:pStyle w:val="Brdtextmedindrag"/>
      </w:pPr>
      <w:r w:rsidRPr="0089321A">
        <w:rPr>
          <w:i/>
          <w:iCs/>
        </w:rPr>
        <w:t>Lagrådet</w:t>
      </w:r>
      <w:r>
        <w:rPr>
          <w:i/>
          <w:iCs/>
        </w:rPr>
        <w:t xml:space="preserve"> </w:t>
      </w:r>
      <w:r>
        <w:t>menar att ett absolut upprätt</w:t>
      </w:r>
      <w:r>
        <w:softHyphen/>
        <w:t>håll</w:t>
      </w:r>
      <w:r>
        <w:softHyphen/>
        <w:t>ande av förbudet mot erkännande i vissa fall kan stå i strid mot Europa</w:t>
      </w:r>
      <w:r>
        <w:softHyphen/>
        <w:t xml:space="preserve">konventionen och lyfter som exempel att </w:t>
      </w:r>
      <w:r w:rsidRPr="0024101E">
        <w:t>ett utländskt äktenskap mellan två då knappt 18-åriga parter många år senare inte erkänns i Sverige.</w:t>
      </w:r>
      <w:r w:rsidR="005056A4">
        <w:t xml:space="preserve"> </w:t>
      </w:r>
      <w:r w:rsidR="00CA038C">
        <w:t xml:space="preserve">Som </w:t>
      </w:r>
      <w:r w:rsidR="00CA038C" w:rsidRPr="0089321A">
        <w:t>Lagrådet</w:t>
      </w:r>
      <w:r w:rsidR="00CA038C">
        <w:t xml:space="preserve"> pekar på kan det säkerligen i ett enskilt fall upplevas som långtgående för de berörda parterna att deras äktenskap inte erkänns. </w:t>
      </w:r>
      <w:r w:rsidR="003C1EC7">
        <w:t xml:space="preserve">Enligt regeringens bedömning </w:t>
      </w:r>
      <w:r w:rsidR="00DA48DE">
        <w:t xml:space="preserve">kan </w:t>
      </w:r>
      <w:r w:rsidR="0060645E">
        <w:t xml:space="preserve">dock </w:t>
      </w:r>
      <w:r w:rsidR="00DA48DE">
        <w:t>d</w:t>
      </w:r>
      <w:r w:rsidR="00CA038C">
        <w:t xml:space="preserve">e negativa konsekvenserna för en enskild av ett </w:t>
      </w:r>
      <w:r w:rsidR="0060645E">
        <w:t xml:space="preserve">vägrat </w:t>
      </w:r>
      <w:r w:rsidR="00CA038C">
        <w:t>erkänn</w:t>
      </w:r>
      <w:r w:rsidR="0060645E">
        <w:t>ande</w:t>
      </w:r>
      <w:r w:rsidR="00CA038C">
        <w:t xml:space="preserve"> i sig inte anses väga tyngre än syftet med förbudet, som bl.a. är att skydda just mot de skadliga sedvänjor som de ifrågavarande äktenskapen är ett uttryck för.</w:t>
      </w:r>
      <w:r w:rsidR="00680AAC">
        <w:t xml:space="preserve"> </w:t>
      </w:r>
      <w:r w:rsidR="00CA038C">
        <w:t xml:space="preserve"> </w:t>
      </w:r>
      <w:r w:rsidR="00DB4617">
        <w:t>Inte heller frånvaron av att vara gift, ur ett rent personligt perspektiv, kan anses väga tyngre än syftet med förbudet.</w:t>
      </w:r>
      <w:r w:rsidR="00680AAC">
        <w:t xml:space="preserve"> Med en regel om att</w:t>
      </w:r>
      <w:r w:rsidR="004D367B">
        <w:t xml:space="preserve"> </w:t>
      </w:r>
      <w:r w:rsidR="00680AAC">
        <w:t>sådana rättsverkningar som följer av ett äktenskap kan tillerkännas parterna, trots att äktenskapet inte erkänns</w:t>
      </w:r>
      <w:r w:rsidR="00E03BC7">
        <w:t>,</w:t>
      </w:r>
      <w:r w:rsidR="00680AAC">
        <w:t xml:space="preserve"> kan dessutom allvarliga konsekvenser för en enskild undvikas. </w:t>
      </w:r>
      <w:r w:rsidR="00E03BC7">
        <w:t xml:space="preserve">Det kan </w:t>
      </w:r>
      <w:r w:rsidR="0060645E">
        <w:t>även</w:t>
      </w:r>
      <w:r w:rsidR="00E03BC7">
        <w:t xml:space="preserve"> noteras att makarna i det exempel Lagrådet lyfter under alla förhållanden skulle ha en möjlighet att ingå ett nytt äktenskap och att utrymmet för </w:t>
      </w:r>
      <w:r w:rsidR="0060645E">
        <w:t xml:space="preserve">att </w:t>
      </w:r>
      <w:r w:rsidR="00E03BC7" w:rsidRPr="003B4FB9">
        <w:t xml:space="preserve">hävda att </w:t>
      </w:r>
      <w:r w:rsidR="00E03BC7">
        <w:t xml:space="preserve">icke-erkännandet av deras äktenskap </w:t>
      </w:r>
      <w:r w:rsidR="00E03BC7" w:rsidRPr="003B4FB9">
        <w:t xml:space="preserve">innebär en kränkning av artikel 8 </w:t>
      </w:r>
      <w:r w:rsidR="00E03BC7">
        <w:t xml:space="preserve">skulle </w:t>
      </w:r>
      <w:r w:rsidR="00E03BC7" w:rsidRPr="003B4FB9">
        <w:t>vara mycket begränsat</w:t>
      </w:r>
      <w:r w:rsidR="00E03BC7">
        <w:t xml:space="preserve"> om de inte utnyttjade den. </w:t>
      </w:r>
      <w:r w:rsidR="00B74FB6">
        <w:t>Att otillåtna äktenskap aldrig kan erkännas i sig, och inte kan fastställas att gälla generellt, bedöms alltså vara en tillåten begränsning av rätten till familjeliv och rätten till fri rörlighet. Det gäller oavsett vilken av dessa typer av äktenskap det gäller.</w:t>
      </w:r>
    </w:p>
    <w:p w14:paraId="212C0A41" w14:textId="189A30F9" w:rsidR="006973D1" w:rsidRDefault="006973D1" w:rsidP="006973D1">
      <w:pPr>
        <w:pStyle w:val="Brdtextmedindrag"/>
      </w:pPr>
      <w:r w:rsidRPr="00930385">
        <w:t>E</w:t>
      </w:r>
      <w:r>
        <w:t>tt e</w:t>
      </w:r>
      <w:r w:rsidRPr="00930385">
        <w:t>rkännandeförbud</w:t>
      </w:r>
      <w:r>
        <w:t xml:space="preserve"> utan undantag</w:t>
      </w:r>
      <w:r w:rsidRPr="00930385">
        <w:t xml:space="preserve"> </w:t>
      </w:r>
      <w:r>
        <w:t xml:space="preserve">medför inte heller </w:t>
      </w:r>
      <w:r w:rsidRPr="00930385">
        <w:t xml:space="preserve">några negativa konsekvenser ur ett barnrättsperspektiv. </w:t>
      </w:r>
      <w:r>
        <w:t>Det har i tidigare lagstiftnings</w:t>
      </w:r>
      <w:r>
        <w:softHyphen/>
        <w:t>ärenden konstaterats att ba</w:t>
      </w:r>
      <w:r w:rsidRPr="00930385">
        <w:t xml:space="preserve">rns möjligheter till skydd och trygghet i svensk rätt </w:t>
      </w:r>
      <w:r>
        <w:t xml:space="preserve">inte </w:t>
      </w:r>
      <w:r w:rsidRPr="00930385">
        <w:t>påverkas av föräldrarnas civilstånd (</w:t>
      </w:r>
      <w:r>
        <w:t xml:space="preserve">se </w:t>
      </w:r>
      <w:r w:rsidRPr="00930385">
        <w:t>prop.</w:t>
      </w:r>
      <w:r>
        <w:t> </w:t>
      </w:r>
      <w:r w:rsidRPr="00930385">
        <w:t xml:space="preserve">2013/14:208 </w:t>
      </w:r>
      <w:r>
        <w:br/>
      </w:r>
      <w:r w:rsidRPr="00930385">
        <w:t>s.</w:t>
      </w:r>
      <w:r>
        <w:t> </w:t>
      </w:r>
      <w:r w:rsidRPr="00930385">
        <w:t>28</w:t>
      </w:r>
      <w:r>
        <w:t>–29</w:t>
      </w:r>
      <w:r w:rsidRPr="005F4778">
        <w:t xml:space="preserve"> </w:t>
      </w:r>
      <w:r>
        <w:t xml:space="preserve">och </w:t>
      </w:r>
      <w:r w:rsidRPr="00930385">
        <w:t>prop.</w:t>
      </w:r>
      <w:r>
        <w:t> </w:t>
      </w:r>
      <w:r w:rsidRPr="00930385">
        <w:t>2020/21:149 s.</w:t>
      </w:r>
      <w:r>
        <w:t> </w:t>
      </w:r>
      <w:r w:rsidRPr="00930385">
        <w:t xml:space="preserve">18). </w:t>
      </w:r>
      <w:r>
        <w:t>Regeringen gör inte någon annan bedömning nu.</w:t>
      </w:r>
      <w:r w:rsidRPr="00930385">
        <w:t xml:space="preserve"> Förbud</w:t>
      </w:r>
      <w:r>
        <w:t>et</w:t>
      </w:r>
      <w:r w:rsidRPr="00930385">
        <w:t xml:space="preserve"> står alltså inte heller i strid med </w:t>
      </w:r>
      <w:r>
        <w:t>b</w:t>
      </w:r>
      <w:r w:rsidRPr="00930385">
        <w:t>arnkonven</w:t>
      </w:r>
      <w:r>
        <w:softHyphen/>
      </w:r>
      <w:r w:rsidRPr="00930385">
        <w:t>tionen.</w:t>
      </w:r>
    </w:p>
    <w:p w14:paraId="319218EF" w14:textId="363046A5" w:rsidR="006973D1" w:rsidRDefault="006973D1" w:rsidP="006973D1">
      <w:pPr>
        <w:pStyle w:val="Brdtextmedindrag"/>
      </w:pPr>
      <w:r>
        <w:lastRenderedPageBreak/>
        <w:t>Regeringen bedömer alltså att ett erkännandeförbud utan undantag är förenligt med Europakonventionen, Sveriges övriga internationella förpliktelser rörande mänskliga rättigheter och unionsrätten om ett sådant förbud förenas med en möjlighet att i undantags</w:t>
      </w:r>
      <w:r>
        <w:softHyphen/>
        <w:t>fall ändå ge en part möjlighet att få sådana rättsverkningar som följer av ett äktenskap, trots att äktenskapet inte erkänns.</w:t>
      </w:r>
      <w:r w:rsidR="00BA6FBF">
        <w:t xml:space="preserve"> </w:t>
      </w:r>
      <w:r w:rsidR="00C9647C">
        <w:t xml:space="preserve">Mot bakgrund av den bedömningen </w:t>
      </w:r>
      <w:r w:rsidR="00BA6FBF">
        <w:t xml:space="preserve">finns </w:t>
      </w:r>
      <w:r w:rsidR="00C9647C">
        <w:t xml:space="preserve">det </w:t>
      </w:r>
      <w:r w:rsidR="00BA6FBF">
        <w:t xml:space="preserve">inte skäl att, så som </w:t>
      </w:r>
      <w:r w:rsidR="00BA6FBF" w:rsidRPr="00EA662D">
        <w:t>Lagrådet</w:t>
      </w:r>
      <w:r w:rsidR="00BA6FBF">
        <w:t xml:space="preserve"> förordar, behålla det nuvarande undantaget</w:t>
      </w:r>
      <w:r w:rsidR="006C153C">
        <w:t>, ens</w:t>
      </w:r>
      <w:r w:rsidR="00BA6FBF">
        <w:t xml:space="preserve"> </w:t>
      </w:r>
      <w:r w:rsidR="0043136F">
        <w:t xml:space="preserve">med den </w:t>
      </w:r>
      <w:r w:rsidR="00BA6FBF">
        <w:t>begräns</w:t>
      </w:r>
      <w:r w:rsidR="0043136F">
        <w:softHyphen/>
        <w:t>ningen</w:t>
      </w:r>
      <w:r w:rsidR="00BA6FBF">
        <w:t xml:space="preserve"> att det</w:t>
      </w:r>
      <w:r w:rsidR="00B1355A">
        <w:t xml:space="preserve"> endast</w:t>
      </w:r>
      <w:r w:rsidR="00BA6FBF">
        <w:t xml:space="preserve"> tar sikte på Sveriges inter</w:t>
      </w:r>
      <w:r w:rsidR="0089321A">
        <w:softHyphen/>
      </w:r>
      <w:r w:rsidR="00BA6FBF">
        <w:t>nationella åtaganden.</w:t>
      </w:r>
    </w:p>
    <w:p w14:paraId="4CD360F0" w14:textId="77777777" w:rsidR="006973D1" w:rsidRPr="00DF02D1" w:rsidRDefault="006973D1" w:rsidP="006973D1">
      <w:pPr>
        <w:pStyle w:val="Rubrik5utannumrering"/>
        <w:rPr>
          <w:i w:val="0"/>
        </w:rPr>
      </w:pPr>
      <w:r w:rsidRPr="00DF02D1">
        <w:t>Konsekvenserna</w:t>
      </w:r>
      <w:r>
        <w:t xml:space="preserve"> av ett nekat erkännande</w:t>
      </w:r>
      <w:r w:rsidRPr="00DF02D1">
        <w:t xml:space="preserve"> </w:t>
      </w:r>
      <w:r>
        <w:t>hindrar inte</w:t>
      </w:r>
      <w:r w:rsidRPr="00DF02D1">
        <w:t xml:space="preserve"> ett absolut förbud</w:t>
      </w:r>
      <w:r>
        <w:t xml:space="preserve"> </w:t>
      </w:r>
    </w:p>
    <w:p w14:paraId="643AC867" w14:textId="77777777" w:rsidR="006973D1" w:rsidRDefault="006973D1" w:rsidP="006973D1">
      <w:pPr>
        <w:pStyle w:val="Brdtextmedindrag"/>
        <w:ind w:firstLine="0"/>
      </w:pPr>
      <w:r>
        <w:t>Möjligheten att göra undantag från erkännandeförbudet har även moti</w:t>
      </w:r>
      <w:r>
        <w:softHyphen/>
        <w:t>verats av behovet av att kunna ta hänsyn till utsatta kvinnor och flickor. Ett</w:t>
      </w:r>
      <w:r w:rsidDel="00524E24">
        <w:t xml:space="preserve"> </w:t>
      </w:r>
      <w:r>
        <w:t xml:space="preserve">syfte med ventilen har varit att säkerställa att ett nekat erkännande i det enskilda fallet inte medför allvarliga konsekvenser eller annars framstår som orimligt. </w:t>
      </w:r>
    </w:p>
    <w:p w14:paraId="3E2702DE" w14:textId="4FC8300C" w:rsidR="006973D1" w:rsidRDefault="006973D1" w:rsidP="006973D1">
      <w:pPr>
        <w:pStyle w:val="Brdtextmedindrag"/>
      </w:pPr>
      <w:r>
        <w:t>När det gäller rättsliga konsekvenser av ett uteblivet erkännande har regeringen tidigare bedömt att det beträffande ett månggifte i många avseenden inte medför några sådana konsekvenser (prop. 2020/21:149 s. 16). Den bedömningen gäller även för övriga äkten</w:t>
      </w:r>
      <w:r>
        <w:softHyphen/>
        <w:t>skap som inte erkänns. Ett krav på äktenskap som en förutsättning för olika förmåner har successivt tagits bort</w:t>
      </w:r>
      <w:r w:rsidRPr="00330FAB">
        <w:t xml:space="preserve"> </w:t>
      </w:r>
      <w:r>
        <w:t>i svensk rätt. Regelverken om bl.a. socialförsäkring, ekonomiskt bistånd och beskattning är generellt individbaserade. När det gäller migrationsrätten får ett nekat erkännande inte heller några beaktansvärda effekter för enskilda. Ett nekat erkännande får således i många avseende</w:t>
      </w:r>
      <w:r w:rsidR="00342845">
        <w:t>n</w:t>
      </w:r>
      <w:r>
        <w:t xml:space="preserve"> inte några rättsliga kon</w:t>
      </w:r>
      <w:r>
        <w:softHyphen/>
        <w:t>sekvenser för de enskilda.</w:t>
      </w:r>
    </w:p>
    <w:p w14:paraId="79A5C441" w14:textId="6F55F17C" w:rsidR="006973D1" w:rsidRDefault="006973D1" w:rsidP="006973D1">
      <w:pPr>
        <w:pStyle w:val="Brdtextmedindrag"/>
      </w:pPr>
      <w:r>
        <w:t>I enskilda fall kan dock ett nekat erkännande få negativa konsekvenser för en enskild som inrättat sig efter att vara gift genom att olika rätts</w:t>
      </w:r>
      <w:r w:rsidR="0089321A">
        <w:softHyphen/>
      </w:r>
      <w:r>
        <w:t>verkningar som följer av ett äktenskap uteblir. Det handlar framför allt om makarnas inbördes ekonomiska förhållanden. De internationellt privat</w:t>
      </w:r>
      <w:r>
        <w:softHyphen/>
        <w:t>rättsliga reglerna innebär dock, beroende på omständigheterna, att det kan bli fråga om att tillämpa utländsk lag. Konsekvenserna av att ett äktenskap inte erkänns kan då vara mer begränsade än om svensk lag hade varit tillämplig. Så kan vara fallet eftersom vissa rättsordningar inte lika</w:t>
      </w:r>
      <w:r>
        <w:softHyphen/>
        <w:t>behandlar kvinnor och män. Konsekvenserna av att ett äktenskap inte erkänns blir i sådana fall inte lika långtgående. Som regeringen tidigare konstaterat är det framför allt frånvaron av rätt till bodelning, underhåll eller arv som kan bli betungande för den vars äktenskap inte erkänns (se prop. 2020/21:149 s. 16–17).</w:t>
      </w:r>
    </w:p>
    <w:p w14:paraId="6766E7FF" w14:textId="77777777" w:rsidR="006973D1" w:rsidRDefault="006973D1" w:rsidP="006973D1">
      <w:pPr>
        <w:pStyle w:val="Brdtextmedindrag"/>
      </w:pPr>
      <w:r>
        <w:t xml:space="preserve">Ett nekat erkännande kan vidare medföra konsekvenser som är kopplade till sociala, kulturella och religiösa förhållanden. Som </w:t>
      </w:r>
      <w:r w:rsidRPr="00133163">
        <w:rPr>
          <w:i/>
          <w:iCs/>
        </w:rPr>
        <w:t>Jämställdhetsmyn</w:t>
      </w:r>
      <w:r w:rsidRPr="00133163">
        <w:rPr>
          <w:i/>
          <w:iCs/>
        </w:rPr>
        <w:softHyphen/>
        <w:t>digheten</w:t>
      </w:r>
      <w:r>
        <w:t xml:space="preserve"> lyfter drabbar sådana konsekvenser framför allt kvinnor. En part kan, som tidigare konstaterats, riskera att hamna i en besvärlig situation i förhållande till sin omgivning. Omgivningens krav på äktenskap kan dock aldrig vara ett skäl för att någon ska vara gift (se prop. 2020/21:149 </w:t>
      </w:r>
      <w:r>
        <w:br/>
        <w:t xml:space="preserve">s. 16–17). </w:t>
      </w:r>
    </w:p>
    <w:p w14:paraId="71DF2189" w14:textId="77777777" w:rsidR="006973D1" w:rsidRDefault="006973D1" w:rsidP="006973D1">
      <w:pPr>
        <w:pStyle w:val="Brdtextmedindrag"/>
      </w:pPr>
      <w:r>
        <w:t>När ett äktenskap inte erkänns kan det finnas behov av att tillhandahålla ett skydd för utsatta kvinnor. Det kan därför finnas skäl att tillåta rätts</w:t>
      </w:r>
      <w:r>
        <w:softHyphen/>
        <w:t>verkningar som följer av ett äktenskap i vissa begränsade fall, trots att äkten</w:t>
      </w:r>
      <w:r>
        <w:softHyphen/>
        <w:t>skapet i sig inte erkänns. En sådan möjlighet medför att konsekven</w:t>
      </w:r>
      <w:r>
        <w:softHyphen/>
      </w:r>
      <w:r>
        <w:lastRenderedPageBreak/>
        <w:t>serna av ett nekat erkännande inte hindrar att ett absolut erkännandeförbud införs. Att möjliggöra att vissa rättsverkningar kan gälla, utan att erkänna äktenskapet i sig, kan vara en rimlig avvägning mellan å ena sidan skyddet för en enskild, å andra sidan intresset av att motverka otillåtna äktenskap på ett allmänt plan.</w:t>
      </w:r>
    </w:p>
    <w:p w14:paraId="1816874C" w14:textId="77777777" w:rsidR="006973D1" w:rsidRDefault="006973D1" w:rsidP="006973D1">
      <w:pPr>
        <w:pStyle w:val="Rubrik5utannumrering"/>
      </w:pPr>
      <w:r>
        <w:t>Erkännandeförbudet ska gälla utan undantag och en regel om rättsverkningar ska införas</w:t>
      </w:r>
    </w:p>
    <w:p w14:paraId="33513245" w14:textId="52F01D04" w:rsidR="006973D1" w:rsidRDefault="006973D1" w:rsidP="006973D1">
      <w:pPr>
        <w:pStyle w:val="Brdtext"/>
      </w:pPr>
      <w:r>
        <w:t>S</w:t>
      </w:r>
      <w:r w:rsidRPr="003767CE">
        <w:t xml:space="preserve">kyddet mot otillåtna </w:t>
      </w:r>
      <w:r>
        <w:t xml:space="preserve">utländska </w:t>
      </w:r>
      <w:r w:rsidRPr="003767CE">
        <w:t xml:space="preserve">äktenskap </w:t>
      </w:r>
      <w:r>
        <w:t xml:space="preserve">bör </w:t>
      </w:r>
      <w:r w:rsidRPr="003767CE">
        <w:t>vara konsekvent</w:t>
      </w:r>
      <w:r>
        <w:t>,</w:t>
      </w:r>
      <w:r w:rsidRPr="003767CE">
        <w:t xml:space="preserve"> heltäck</w:t>
      </w:r>
      <w:r w:rsidR="00EB5F99">
        <w:softHyphen/>
      </w:r>
      <w:r w:rsidRPr="003767CE">
        <w:t>ande</w:t>
      </w:r>
      <w:r>
        <w:t xml:space="preserve"> och tydligt markera ett avståndstagande mot de otillåtna utländska äktenskapen.</w:t>
      </w:r>
      <w:r w:rsidRPr="003767CE">
        <w:t xml:space="preserve"> </w:t>
      </w:r>
      <w:r>
        <w:t>Undantaget från erkännandeförbudet bör därför utmönstras. Som konstateras ovan bedömer regeringen att ett erkänn</w:t>
      </w:r>
      <w:r w:rsidRPr="003D22DC">
        <w:t>ande</w:t>
      </w:r>
      <w:r>
        <w:softHyphen/>
      </w:r>
      <w:r w:rsidRPr="003D22DC">
        <w:t xml:space="preserve">förbud utan undantag </w:t>
      </w:r>
      <w:r>
        <w:t>är förenligt med Europakonventionen, Sveriges övriga inter</w:t>
      </w:r>
      <w:r w:rsidR="00EB5F99">
        <w:softHyphen/>
      </w:r>
      <w:r>
        <w:t>nationella förpliktelser rörande mänskliga rättigheter och unionsrätten</w:t>
      </w:r>
      <w:r w:rsidR="0024101E">
        <w:t>,</w:t>
      </w:r>
      <w:r w:rsidRPr="003D22DC">
        <w:t xml:space="preserve"> när ett sådant förbud förenas med en möjlighet att</w:t>
      </w:r>
      <w:r w:rsidRPr="003D22DC" w:rsidDel="003767CE">
        <w:t xml:space="preserve">, </w:t>
      </w:r>
      <w:r w:rsidRPr="003D22DC">
        <w:t>i undan</w:t>
      </w:r>
      <w:r>
        <w:softHyphen/>
      </w:r>
      <w:r w:rsidRPr="003D22DC">
        <w:t>tagsfall</w:t>
      </w:r>
      <w:r>
        <w:t>,</w:t>
      </w:r>
      <w:r w:rsidRPr="003D22DC">
        <w:t xml:space="preserve"> </w:t>
      </w:r>
      <w:r>
        <w:t xml:space="preserve">låta äktenskapet få rättsverkningar. </w:t>
      </w:r>
      <w:bookmarkStart w:id="116" w:name="_Hlk219366638"/>
      <w:r>
        <w:t>Även i syfte att säkerställa att ett nekat erkännande inte</w:t>
      </w:r>
      <w:r w:rsidRPr="00142680">
        <w:t xml:space="preserve"> </w:t>
      </w:r>
      <w:r>
        <w:t xml:space="preserve">medför </w:t>
      </w:r>
      <w:r w:rsidRPr="00142680">
        <w:t>allvarliga konsekvenser eller annars framstår som orimligt</w:t>
      </w:r>
      <w:r>
        <w:t xml:space="preserve"> för en enskild, och på så sätt skydda utsatta kvinnor, bör rättsverkningar av ett äktenskap i undantagsfall kunna gälla. </w:t>
      </w:r>
      <w:bookmarkEnd w:id="116"/>
      <w:r>
        <w:t>En regel med den innebörden bör därför införas. Det innebär att regel</w:t>
      </w:r>
      <w:r>
        <w:softHyphen/>
        <w:t>verket skiljer på ett erkännande av själva civilståndet, och de rätts</w:t>
      </w:r>
      <w:r>
        <w:softHyphen/>
        <w:t xml:space="preserve">verkningar som kan följa av ett äktenskap. </w:t>
      </w:r>
    </w:p>
    <w:p w14:paraId="4A882DFC" w14:textId="74C532FA" w:rsidR="00504643" w:rsidRPr="00774F8C" w:rsidRDefault="00504643" w:rsidP="00E24F16">
      <w:pPr>
        <w:pStyle w:val="Brdtextmedindrag"/>
      </w:pPr>
      <w:r>
        <w:t xml:space="preserve">En regel om rättsverkningar bör ge utrymme för olika ekonomiska rättsverkningar, såsom bl.a. en rätt till bodelning, underhåll eller arv, men även för personliga rättsverkningar, såsom rätten att ta ett visst namn. </w:t>
      </w:r>
      <w:r w:rsidRPr="00DE059E">
        <w:rPr>
          <w:i/>
          <w:iCs/>
        </w:rPr>
        <w:t>Skatteverket</w:t>
      </w:r>
      <w:r>
        <w:t xml:space="preserve"> menar att bodelning, underhåll och arv är ekonomiska frågor som inte främst handlar om rättsverkningar av ett äktenskap, utan av äktenskapets upplösning. S</w:t>
      </w:r>
      <w:r w:rsidRPr="00DB41AD">
        <w:t>åväl ett äktenskaps ingående som dess upplös</w:t>
      </w:r>
      <w:r>
        <w:softHyphen/>
      </w:r>
      <w:r w:rsidRPr="00DB41AD">
        <w:t xml:space="preserve">ning kan ge </w:t>
      </w:r>
      <w:r>
        <w:t xml:space="preserve">upphov till </w:t>
      </w:r>
      <w:r w:rsidRPr="00DB41AD">
        <w:t>rättsverkningar</w:t>
      </w:r>
      <w:r>
        <w:t xml:space="preserve"> och en regel bör omfatta samtliga sådana rättsverkningar. </w:t>
      </w:r>
      <w:r w:rsidR="00A90DD6" w:rsidRPr="000F5788">
        <w:rPr>
          <w:i/>
          <w:iCs/>
        </w:rPr>
        <w:t>Lagrådet</w:t>
      </w:r>
      <w:r w:rsidR="00A90DD6">
        <w:t xml:space="preserve"> anser att den</w:t>
      </w:r>
      <w:r w:rsidR="00F06A6A">
        <w:t xml:space="preserve"> i lagrådsremissen</w:t>
      </w:r>
      <w:r w:rsidR="00A90DD6">
        <w:t xml:space="preserve"> före</w:t>
      </w:r>
      <w:r w:rsidR="00F06A6A">
        <w:softHyphen/>
      </w:r>
      <w:r w:rsidR="00A90DD6">
        <w:t xml:space="preserve">slagna </w:t>
      </w:r>
      <w:r w:rsidR="0038460A">
        <w:t>undantags</w:t>
      </w:r>
      <w:r w:rsidR="00A90DD6">
        <w:t>regeln rymmer en viss oklarhet i fråga om hur tillämp</w:t>
      </w:r>
      <w:r w:rsidR="00F06A6A">
        <w:softHyphen/>
      </w:r>
      <w:r w:rsidR="00A90DD6">
        <w:t>ningen är tänkt</w:t>
      </w:r>
      <w:r w:rsidR="002835B0">
        <w:t xml:space="preserve"> och föreslår </w:t>
      </w:r>
      <w:r w:rsidR="00DE00CD">
        <w:t xml:space="preserve">att den bör </w:t>
      </w:r>
      <w:r w:rsidR="002835B0">
        <w:t>formuler</w:t>
      </w:r>
      <w:r w:rsidR="00DE00CD">
        <w:t>as något annorlunda</w:t>
      </w:r>
      <w:r w:rsidR="002835B0">
        <w:t xml:space="preserve">. Som Lagrådet är inne på bör </w:t>
      </w:r>
      <w:r w:rsidR="0038460A">
        <w:t>regeln</w:t>
      </w:r>
      <w:r w:rsidR="002835B0">
        <w:t xml:space="preserve"> förstås så att </w:t>
      </w:r>
      <w:r w:rsidR="00F06A6A">
        <w:t xml:space="preserve">den </w:t>
      </w:r>
      <w:r w:rsidR="002510FC">
        <w:t>inte bara tar sikte på en tillämpning av andra rättsregler som om äktenskapet var erkänt</w:t>
      </w:r>
      <w:r w:rsidR="009D6497">
        <w:t>,</w:t>
      </w:r>
      <w:r w:rsidR="002510FC">
        <w:t xml:space="preserve"> </w:t>
      </w:r>
      <w:r w:rsidR="005B522B">
        <w:t>utan</w:t>
      </w:r>
      <w:r w:rsidR="002510FC">
        <w:t xml:space="preserve"> </w:t>
      </w:r>
      <w:r w:rsidR="005B522B">
        <w:t xml:space="preserve">att den i bredare mening </w:t>
      </w:r>
      <w:r w:rsidR="002835B0">
        <w:t xml:space="preserve">ger tillämparen ett visst mandat att låta äktenskapet få </w:t>
      </w:r>
      <w:r w:rsidR="0038460A">
        <w:t>en viss</w:t>
      </w:r>
      <w:r w:rsidR="002835B0">
        <w:t xml:space="preserve"> rättsverk</w:t>
      </w:r>
      <w:r w:rsidR="003737D5">
        <w:softHyphen/>
      </w:r>
      <w:r w:rsidR="0038460A">
        <w:t>an</w:t>
      </w:r>
      <w:r w:rsidR="002835B0">
        <w:t xml:space="preserve"> som</w:t>
      </w:r>
      <w:r w:rsidR="003737D5">
        <w:t xml:space="preserve"> kan</w:t>
      </w:r>
      <w:r w:rsidR="002835B0">
        <w:t xml:space="preserve"> följ</w:t>
      </w:r>
      <w:r w:rsidR="003737D5">
        <w:t>a</w:t>
      </w:r>
      <w:r w:rsidR="002835B0">
        <w:t xml:space="preserve"> av ett äktenskap. </w:t>
      </w:r>
      <w:r w:rsidR="003737D5">
        <w:t>Att formulera</w:t>
      </w:r>
      <w:r w:rsidR="00F06A6A">
        <w:t xml:space="preserve"> bestäm</w:t>
      </w:r>
      <w:r w:rsidR="002510FC">
        <w:softHyphen/>
      </w:r>
      <w:r w:rsidR="00F06A6A">
        <w:t>melsen</w:t>
      </w:r>
      <w:r w:rsidR="003737D5">
        <w:t xml:space="preserve"> som Lagrådet föreslår, </w:t>
      </w:r>
      <w:r w:rsidR="0038460A">
        <w:t xml:space="preserve">med innebörden </w:t>
      </w:r>
      <w:r w:rsidR="003737D5">
        <w:t xml:space="preserve">att äktenskapet ska läggas till grund för viss rättsverkan, riskerar dock </w:t>
      </w:r>
      <w:r w:rsidR="0038460A">
        <w:t xml:space="preserve">enligt regeringens mening </w:t>
      </w:r>
      <w:r w:rsidR="003737D5">
        <w:t>att leda tanken fel. Det är det icke-erkända äkten</w:t>
      </w:r>
      <w:r w:rsidR="00F06A6A">
        <w:softHyphen/>
      </w:r>
      <w:r w:rsidR="003737D5">
        <w:t>skapet som</w:t>
      </w:r>
      <w:r w:rsidR="00F06A6A">
        <w:t xml:space="preserve"> ska</w:t>
      </w:r>
      <w:r w:rsidR="003737D5">
        <w:t xml:space="preserve"> ha viss rättsverkan</w:t>
      </w:r>
      <w:r w:rsidR="0038460A">
        <w:t xml:space="preserve"> och bestämmelsen bör formuleras med den utgångs</w:t>
      </w:r>
      <w:r w:rsidR="00F06A6A">
        <w:softHyphen/>
      </w:r>
      <w:r w:rsidR="0038460A">
        <w:t>punkten</w:t>
      </w:r>
      <w:r w:rsidR="003737D5">
        <w:t xml:space="preserve">. Som Lagrådet </w:t>
      </w:r>
      <w:r w:rsidR="005B522B">
        <w:t>föreslår</w:t>
      </w:r>
      <w:r w:rsidR="003737D5">
        <w:t xml:space="preserve"> bör det dock </w:t>
      </w:r>
      <w:r w:rsidR="009D6497">
        <w:t>anges uttryckligen</w:t>
      </w:r>
      <w:r w:rsidR="003737D5">
        <w:t xml:space="preserve"> att regeln gäller trots att </w:t>
      </w:r>
      <w:r w:rsidR="00F06A6A">
        <w:t>äktenskapet</w:t>
      </w:r>
      <w:r w:rsidR="003737D5">
        <w:t xml:space="preserve"> inte erkänns. </w:t>
      </w:r>
    </w:p>
    <w:p w14:paraId="6E85E687" w14:textId="77777777" w:rsidR="006973D1" w:rsidRDefault="006973D1" w:rsidP="006973D1">
      <w:pPr>
        <w:pStyle w:val="Rubrik5utannumrering"/>
      </w:pPr>
      <w:r>
        <w:t>Det ska krävas synnerliga skäl</w:t>
      </w:r>
    </w:p>
    <w:p w14:paraId="21E9C1D4" w14:textId="77777777" w:rsidR="006973D1" w:rsidRDefault="006973D1" w:rsidP="006973D1">
      <w:pPr>
        <w:pStyle w:val="Brdtextmedindrag"/>
        <w:ind w:firstLine="0"/>
      </w:pPr>
      <w:r>
        <w:t>Sedan 2014 gäller möjligheten till undantag från erkännandeförbudet endast om det finns synnerliga skäl. Innan dess var det tillräckligt med särskilda skäl för att ett äktenskap skulle kunna erkännas. Skärpningen berodde dels på att möjligheten till dispens från det svenska äktenskaps</w:t>
      </w:r>
      <w:r>
        <w:softHyphen/>
        <w:t xml:space="preserve">hindret om 18 års ålder utmönstrades, men också för att den mycket </w:t>
      </w:r>
      <w:r>
        <w:lastRenderedPageBreak/>
        <w:t xml:space="preserve">restriktiva synen på möjligheten till undantag skulle komma till klart uttryck i lagstiftningen (prop. 2013/14:208 s. 25–30). </w:t>
      </w:r>
    </w:p>
    <w:p w14:paraId="31615DC2" w14:textId="30A2CF78" w:rsidR="006973D1" w:rsidRPr="004B2615" w:rsidRDefault="006973D1" w:rsidP="006973D1">
      <w:pPr>
        <w:pStyle w:val="Brdtextmedindrag"/>
      </w:pPr>
      <w:r w:rsidRPr="00826AF8">
        <w:rPr>
          <w:i/>
          <w:iCs/>
        </w:rPr>
        <w:t>Stockholms universitet</w:t>
      </w:r>
      <w:r>
        <w:t xml:space="preserve"> anser att det kan finnas anledning till en mer nyanserad inställning till frågan om att tillerkänna ett äktenskap rätts</w:t>
      </w:r>
      <w:r>
        <w:softHyphen/>
        <w:t>verkningar än den mycket restriktiva syn som det föreslagna kravet på synner</w:t>
      </w:r>
      <w:r>
        <w:softHyphen/>
        <w:t xml:space="preserve">liga skäl ger uttryck för, något som även </w:t>
      </w:r>
      <w:r w:rsidRPr="004111BA">
        <w:rPr>
          <w:i/>
          <w:iCs/>
        </w:rPr>
        <w:t>Försäkringskassan</w:t>
      </w:r>
      <w:r>
        <w:t xml:space="preserve"> framför. Eftersom ogiltigheten i sig signalerar samhällets avståndstagande, skulle kravet för att tillerkänna ett äktenskap rättsverkningar kunna vara lägre ställt. Enligt universitetet bör det också beaktas att regeln ska skydda en utsatt part.</w:t>
      </w:r>
      <w:r w:rsidR="0043136F">
        <w:t xml:space="preserve"> Även </w:t>
      </w:r>
      <w:r w:rsidR="0043136F">
        <w:rPr>
          <w:i/>
          <w:iCs/>
        </w:rPr>
        <w:t xml:space="preserve">Lagrådet </w:t>
      </w:r>
      <w:r w:rsidR="0043136F">
        <w:t>framför liknande synpunkter och menar att den enskildes skyddsbehov inte beaktas tillräckligt vid ett tillämpnings</w:t>
      </w:r>
      <w:r w:rsidR="0043136F">
        <w:softHyphen/>
        <w:t xml:space="preserve">krav </w:t>
      </w:r>
      <w:r w:rsidR="0043136F" w:rsidRPr="00A44963">
        <w:t>så högt som synnerliga skäl</w:t>
      </w:r>
      <w:r w:rsidR="00CC03D3" w:rsidRPr="00CC03D3">
        <w:t xml:space="preserve"> </w:t>
      </w:r>
      <w:r w:rsidR="00CC03D3">
        <w:t>och att det kravet</w:t>
      </w:r>
      <w:r w:rsidR="00CC03D3" w:rsidRPr="00783E20">
        <w:t xml:space="preserve"> inte låter sig förenas med kravet på proportionalitet enligt Europakonventionen och </w:t>
      </w:r>
      <w:r w:rsidR="001E37F0">
        <w:t>unions</w:t>
      </w:r>
      <w:r w:rsidR="001E37F0">
        <w:softHyphen/>
      </w:r>
      <w:r w:rsidR="00CC03D3" w:rsidRPr="00783E20">
        <w:t>rätten</w:t>
      </w:r>
      <w:r w:rsidR="00CC03D3">
        <w:t xml:space="preserve">. Lagrådet förespråkar därför en annan utformning av lagregeln och </w:t>
      </w:r>
      <w:r w:rsidR="001D7CBF">
        <w:t xml:space="preserve">anför att de </w:t>
      </w:r>
      <w:r w:rsidR="001D7CBF" w:rsidRPr="00027E4B">
        <w:t>äktenskapsformer</w:t>
      </w:r>
      <w:r w:rsidR="001D7CBF">
        <w:t xml:space="preserve"> det är fråga om inte riskerar att bli vanligare eller få allvarligare samhäl</w:t>
      </w:r>
      <w:r w:rsidR="00B1355A">
        <w:softHyphen/>
      </w:r>
      <w:r w:rsidR="001D7CBF">
        <w:t>leliga konsekvenser om den enskildes befogade skyddsbehov med anled</w:t>
      </w:r>
      <w:r w:rsidR="00B1355A">
        <w:softHyphen/>
      </w:r>
      <w:r w:rsidR="001D7CBF">
        <w:t xml:space="preserve">ning av ett icke erkänt äktenskap beaktades. </w:t>
      </w:r>
      <w:r w:rsidR="00A30271">
        <w:t xml:space="preserve">Lagrådet anser vidare </w:t>
      </w:r>
      <w:r w:rsidR="00E74044">
        <w:t>att det kan tänkas att även ett samhälleligt intresse av att undantagsregeln ska tillämpas</w:t>
      </w:r>
      <w:r w:rsidR="00E74044" w:rsidRPr="00E74044">
        <w:t xml:space="preserve"> </w:t>
      </w:r>
      <w:r w:rsidR="00E74044">
        <w:t>gör sig gällande. Regeringen är emellertid inte beredd att ändra bestämmelsens utformning med anledning av synpunkter</w:t>
      </w:r>
      <w:r w:rsidR="00CC03D3">
        <w:t>na</w:t>
      </w:r>
      <w:r w:rsidR="00E74044">
        <w:t xml:space="preserve">. </w:t>
      </w:r>
      <w:r>
        <w:t>Att ett äktenskap inte erkänns innebär att parterna betraktas som ogifta i Sverige med konsekvensen att äktenskapets rättsverkningar inte gäller. Att frångå detta annat än i undantagsfall riskerar att förfela syftet med förbudet och dess genomslag.</w:t>
      </w:r>
      <w:r w:rsidR="00E74044">
        <w:t xml:space="preserve"> </w:t>
      </w:r>
      <w:r>
        <w:t xml:space="preserve">Regeringen anser därför att </w:t>
      </w:r>
      <w:r w:rsidR="00FD0928">
        <w:t>det finns starka skäl för</w:t>
      </w:r>
      <w:r>
        <w:t xml:space="preserve"> att utrymmet att tillerkänna ett äktenskap rätts</w:t>
      </w:r>
      <w:r>
        <w:softHyphen/>
        <w:t xml:space="preserve">verkningar bör vara lika restriktivt som när ett äktenskap hittills har kunnat erkännas. </w:t>
      </w:r>
      <w:r w:rsidR="0040644F">
        <w:t xml:space="preserve">Det är </w:t>
      </w:r>
      <w:r w:rsidR="00BB5D1D">
        <w:t>naturligtvis</w:t>
      </w:r>
      <w:r w:rsidR="0040644F">
        <w:t xml:space="preserve"> så</w:t>
      </w:r>
      <w:r w:rsidR="00BB5D1D">
        <w:t>,</w:t>
      </w:r>
      <w:r w:rsidR="0040644F">
        <w:t xml:space="preserve"> som Lagrådet pekar </w:t>
      </w:r>
      <w:r w:rsidR="00BB5D1D">
        <w:t xml:space="preserve">på, </w:t>
      </w:r>
      <w:r w:rsidR="0040644F">
        <w:t xml:space="preserve">att de </w:t>
      </w:r>
      <w:r w:rsidR="0040644F" w:rsidRPr="00027E4B">
        <w:t>äktenskapsformer</w:t>
      </w:r>
      <w:r w:rsidR="0040644F">
        <w:t xml:space="preserve"> det är fråga om inte skulle bli vanligare med ett lägre krav för tillämpning av undantagsregeln</w:t>
      </w:r>
      <w:r w:rsidR="002D0119">
        <w:t>;</w:t>
      </w:r>
      <w:r w:rsidR="0040644F">
        <w:t xml:space="preserve"> </w:t>
      </w:r>
      <w:r w:rsidR="0040644F" w:rsidRPr="0040644F">
        <w:t>Sverige kan inte genom lagstiftning förhindra andra länder från att tillåta</w:t>
      </w:r>
      <w:r w:rsidR="0040644F">
        <w:t xml:space="preserve"> sådana äktenskap</w:t>
      </w:r>
      <w:r w:rsidR="0040644F" w:rsidRPr="0040644F">
        <w:t>.</w:t>
      </w:r>
      <w:r w:rsidR="0040644F">
        <w:t xml:space="preserve"> </w:t>
      </w:r>
      <w:r w:rsidR="0040644F" w:rsidRPr="0040644F">
        <w:t xml:space="preserve">Vad </w:t>
      </w:r>
      <w:r w:rsidR="005F2BDF">
        <w:t>som</w:t>
      </w:r>
      <w:r w:rsidR="0040644F" w:rsidRPr="0040644F">
        <w:t xml:space="preserve"> däremot kan göra</w:t>
      </w:r>
      <w:r w:rsidR="005F2BDF">
        <w:t>s</w:t>
      </w:r>
      <w:r w:rsidR="0040644F" w:rsidRPr="0040644F">
        <w:t xml:space="preserve"> är att </w:t>
      </w:r>
      <w:r w:rsidR="0040644F">
        <w:t xml:space="preserve">så långt som möjligt </w:t>
      </w:r>
      <w:r w:rsidR="0040644F" w:rsidRPr="0040644F">
        <w:t xml:space="preserve">säkerställa att </w:t>
      </w:r>
      <w:r w:rsidR="0040644F">
        <w:t>de</w:t>
      </w:r>
      <w:r w:rsidR="0040644F" w:rsidRPr="0040644F">
        <w:t xml:space="preserve"> inte får</w:t>
      </w:r>
      <w:r w:rsidR="0040644F">
        <w:t xml:space="preserve"> någon</w:t>
      </w:r>
      <w:r w:rsidR="0040644F" w:rsidRPr="0040644F">
        <w:t xml:space="preserve"> effekt här</w:t>
      </w:r>
      <w:r w:rsidR="0040644F">
        <w:t xml:space="preserve">. </w:t>
      </w:r>
      <w:r>
        <w:t>Att tillämpningen är restriktiv bidrar</w:t>
      </w:r>
      <w:r w:rsidR="00C76E3E">
        <w:t xml:space="preserve"> </w:t>
      </w:r>
      <w:r>
        <w:t xml:space="preserve">ytterst till att värna om skyddet mot skadliga äktenskapsformer. Det bör alltså uppställas ett krav på att det ska finnas synnerliga skäl, något som bl.a. </w:t>
      </w:r>
      <w:r w:rsidRPr="0085782E">
        <w:rPr>
          <w:i/>
          <w:iCs/>
        </w:rPr>
        <w:t>Barnombuds</w:t>
      </w:r>
      <w:r w:rsidR="00086DA8">
        <w:rPr>
          <w:i/>
          <w:iCs/>
        </w:rPr>
        <w:softHyphen/>
      </w:r>
      <w:r w:rsidRPr="0085782E">
        <w:rPr>
          <w:i/>
          <w:iCs/>
        </w:rPr>
        <w:t>mannen</w:t>
      </w:r>
      <w:r>
        <w:t xml:space="preserve"> och </w:t>
      </w:r>
      <w:r w:rsidRPr="0085782E">
        <w:rPr>
          <w:i/>
          <w:iCs/>
        </w:rPr>
        <w:t>Migra</w:t>
      </w:r>
      <w:r>
        <w:rPr>
          <w:i/>
          <w:iCs/>
        </w:rPr>
        <w:softHyphen/>
      </w:r>
      <w:r w:rsidRPr="0085782E">
        <w:rPr>
          <w:i/>
          <w:iCs/>
        </w:rPr>
        <w:t>tionsverket</w:t>
      </w:r>
      <w:r>
        <w:t xml:space="preserve"> ställer sig bakom. Vad som utgör synnerliga skäl bör avgöras</w:t>
      </w:r>
      <w:r w:rsidRPr="004B2615">
        <w:t xml:space="preserve"> utifrån omständigheterna i varje enskilt fall. Vid bedömningen bör ledning kunna tas från vad som gäller avseende den hittillsvarande ventilen</w:t>
      </w:r>
      <w:r w:rsidR="00991CA3">
        <w:t>. Det innebär att det i det enskilda fallet ska finnas omständigheter som gör att ett nekat erkännande leder till allvarliga konsekvenser för en individ eller att det annars bedöms som orimligt att inte erkänna äktenskapet</w:t>
      </w:r>
      <w:r>
        <w:t xml:space="preserve">. </w:t>
      </w:r>
      <w:r w:rsidRPr="004B2615">
        <w:t xml:space="preserve">I likhet med </w:t>
      </w:r>
      <w:r>
        <w:t>vad som</w:t>
      </w:r>
      <w:r w:rsidR="00991CA3">
        <w:t xml:space="preserve"> i tidigare lagstift</w:t>
      </w:r>
      <w:r w:rsidR="00086DA8">
        <w:softHyphen/>
      </w:r>
      <w:r w:rsidR="00991CA3">
        <w:t>nings</w:t>
      </w:r>
      <w:r w:rsidR="00086DA8">
        <w:softHyphen/>
      </w:r>
      <w:r w:rsidR="00991CA3">
        <w:t>ärenden</w:t>
      </w:r>
      <w:r>
        <w:t xml:space="preserve"> anförts </w:t>
      </w:r>
      <w:r w:rsidR="00991CA3">
        <w:t xml:space="preserve">i fråga </w:t>
      </w:r>
      <w:r>
        <w:t>om ventilen</w:t>
      </w:r>
      <w:r w:rsidRPr="004B2615">
        <w:t xml:space="preserve"> är det inte önskvärt att</w:t>
      </w:r>
      <w:r>
        <w:t xml:space="preserve">, så som </w:t>
      </w:r>
      <w:r w:rsidRPr="009B153B">
        <w:rPr>
          <w:i/>
          <w:iCs/>
        </w:rPr>
        <w:t>För</w:t>
      </w:r>
      <w:r w:rsidR="00086DA8">
        <w:rPr>
          <w:i/>
          <w:iCs/>
        </w:rPr>
        <w:softHyphen/>
      </w:r>
      <w:r w:rsidRPr="009B153B">
        <w:rPr>
          <w:i/>
          <w:iCs/>
        </w:rPr>
        <w:t>säkringskassan</w:t>
      </w:r>
      <w:r w:rsidRPr="004B2615">
        <w:t xml:space="preserve"> </w:t>
      </w:r>
      <w:r>
        <w:t>efter</w:t>
      </w:r>
      <w:r>
        <w:softHyphen/>
        <w:t xml:space="preserve">frågar, </w:t>
      </w:r>
      <w:r w:rsidRPr="004B2615">
        <w:t xml:space="preserve">ge </w:t>
      </w:r>
      <w:r w:rsidR="00991CA3">
        <w:t xml:space="preserve">en utförlig </w:t>
      </w:r>
      <w:r w:rsidRPr="004B2615">
        <w:t xml:space="preserve">vägledning </w:t>
      </w:r>
      <w:r>
        <w:t>om</w:t>
      </w:r>
      <w:r w:rsidRPr="004B2615">
        <w:t xml:space="preserve"> när synnerliga skäl f</w:t>
      </w:r>
      <w:r>
        <w:t xml:space="preserve">inns, </w:t>
      </w:r>
      <w:r w:rsidR="00991CA3">
        <w:t>eftersom</w:t>
      </w:r>
      <w:r>
        <w:t xml:space="preserve"> exempel oundvikligen skapar typsituationer som riskerar att ge </w:t>
      </w:r>
      <w:r w:rsidR="00023C1A">
        <w:t xml:space="preserve">regeln </w:t>
      </w:r>
      <w:r>
        <w:t>ett mer generellt anslag</w:t>
      </w:r>
      <w:r w:rsidRPr="004B2615">
        <w:t>. I stället får det</w:t>
      </w:r>
      <w:r>
        <w:t xml:space="preserve"> </w:t>
      </w:r>
      <w:r w:rsidRPr="004B2615">
        <w:t xml:space="preserve">överlämnas till rättstillämparen att avgöra. </w:t>
      </w:r>
      <w:r w:rsidRPr="00227168">
        <w:t xml:space="preserve">Endast den omständigheten att äktenskapet inte erkänns och att en viss rättsverkan uteblir är naturligtvis inte tillräckligt för att det ska finnas synnerliga skäl. Att så är fallet är en direkt konsekvens av den föreslagna regeln att erkännande ska vägras. </w:t>
      </w:r>
      <w:r>
        <w:t xml:space="preserve">I bedömningen av om det finns synnerliga skäl för att äktenskapet ska ha rättsverkan får också beaktas att kravet på proportionalitet enligt </w:t>
      </w:r>
      <w:r>
        <w:lastRenderedPageBreak/>
        <w:t>Europakonventionen och unionsrätten måste uppfyllas. Tillämp</w:t>
      </w:r>
      <w:r>
        <w:softHyphen/>
        <w:t>nings</w:t>
      </w:r>
      <w:r>
        <w:softHyphen/>
        <w:t>om</w:t>
      </w:r>
      <w:r>
        <w:softHyphen/>
        <w:t>rådet får alltså inte vara snävare än va</w:t>
      </w:r>
      <w:r w:rsidR="00DF7BBC">
        <w:t>d</w:t>
      </w:r>
      <w:r>
        <w:t xml:space="preserve"> Europakonven</w:t>
      </w:r>
      <w:r>
        <w:softHyphen/>
        <w:t>tionen och unions</w:t>
      </w:r>
      <w:r>
        <w:softHyphen/>
        <w:t>rätten medger. På motsvarande sätt som vid tillämpningen av ventilen måste det därför göras en avvägning utifrån omständigheterna i det enskilda fallet av hur stort ingreppet i den enskildas rätt är i förhållande till syftet med förbudet (se prop. 2017/18:288 s. 34).</w:t>
      </w:r>
      <w:r w:rsidR="00924F22">
        <w:t xml:space="preserve"> </w:t>
      </w:r>
      <w:r w:rsidR="000979E6">
        <w:t xml:space="preserve">Regeringen bedömer att kravet </w:t>
      </w:r>
      <w:r w:rsidR="00924F22">
        <w:t xml:space="preserve">på synnerliga skäl </w:t>
      </w:r>
      <w:r w:rsidR="000979E6">
        <w:t xml:space="preserve">är förenligt med </w:t>
      </w:r>
      <w:r w:rsidR="00924F22">
        <w:t>Europa</w:t>
      </w:r>
      <w:r w:rsidR="000979E6">
        <w:softHyphen/>
      </w:r>
      <w:r w:rsidR="00924F22">
        <w:t xml:space="preserve">konventionen och EU-rätten. </w:t>
      </w:r>
    </w:p>
    <w:p w14:paraId="7F56AA99" w14:textId="4B9C7629" w:rsidR="006973D1" w:rsidRPr="004B2615" w:rsidRDefault="006973D1" w:rsidP="006973D1">
      <w:pPr>
        <w:pStyle w:val="Brdtextmedindrag"/>
      </w:pPr>
      <w:r>
        <w:t xml:space="preserve">Liksom enligt nuvarande ordning bör </w:t>
      </w:r>
      <w:r w:rsidR="00C3161F">
        <w:t xml:space="preserve">det </w:t>
      </w:r>
      <w:r w:rsidR="00994767">
        <w:t xml:space="preserve">finnas en begränsning i fråga om </w:t>
      </w:r>
      <w:r>
        <w:t>barnäktenskap där någon av parterna fortfarande är under 18 år vid prövningen (jämför prop. 2017/18:288 s. 24–25).</w:t>
      </w:r>
      <w:r w:rsidR="00C90B1E">
        <w:t xml:space="preserve"> </w:t>
      </w:r>
      <w:r w:rsidR="00C90B1E">
        <w:rPr>
          <w:i/>
          <w:iCs/>
        </w:rPr>
        <w:t>Lagrådet</w:t>
      </w:r>
      <w:r w:rsidR="00C90B1E">
        <w:t xml:space="preserve"> menar att kravet på att båda parterna ska vara över 18</w:t>
      </w:r>
      <w:r w:rsidR="0013498D">
        <w:t> </w:t>
      </w:r>
      <w:r w:rsidR="00C90B1E">
        <w:t xml:space="preserve">år kan sättas i fråga när det gäller den föreslagna regeln om rättsverkningar, eftersom en part som är under 18 år kan ha ett särskilt behov av rättsordningens omsorg också när det gäller rättsverkningar som bör följa av ett icke erkänt utländskt äktenskap. </w:t>
      </w:r>
      <w:r w:rsidR="002D0119">
        <w:t>Som Lagrådet är inne på kan det finnas ett särskilt behov av skydd från rättsordningen</w:t>
      </w:r>
      <w:r w:rsidR="00232C1C">
        <w:t xml:space="preserve"> för </w:t>
      </w:r>
      <w:r w:rsidR="00994767">
        <w:t>parter i ett barnäktenskap</w:t>
      </w:r>
      <w:r w:rsidR="002D0119">
        <w:t xml:space="preserve">. </w:t>
      </w:r>
      <w:r w:rsidR="002D0119" w:rsidRPr="002D0119">
        <w:t>När det gäller konsekvenserna för ett barn, vars äktenskap inte erkänns i Sverige, är barnets ställning i de flesta avseenden tryggad genom andra lagregler än de som rör rättsverkningarna av ett äktenskap</w:t>
      </w:r>
      <w:r w:rsidR="002D0119">
        <w:t>.</w:t>
      </w:r>
      <w:r w:rsidR="000979E6">
        <w:t xml:space="preserve"> Redan i dag gäller dessutom att ett barnäktenskap aldrig kan erkännas, och således inte ha någon rätts</w:t>
      </w:r>
      <w:r w:rsidR="00086DA8">
        <w:softHyphen/>
      </w:r>
      <w:r w:rsidR="000979E6">
        <w:t>verkan, om någon av parterna alltjämt är under 18</w:t>
      </w:r>
      <w:r w:rsidR="00086DA8">
        <w:t> </w:t>
      </w:r>
      <w:r w:rsidR="000979E6">
        <w:t>år.</w:t>
      </w:r>
      <w:r w:rsidR="002D0119">
        <w:t xml:space="preserve"> </w:t>
      </w:r>
      <w:r w:rsidR="00281DEE">
        <w:t>Enligt regeringens uppfattning bör barn i Sverige</w:t>
      </w:r>
      <w:r w:rsidR="00EE700F">
        <w:t xml:space="preserve"> </w:t>
      </w:r>
      <w:r w:rsidR="000806A5">
        <w:t xml:space="preserve">även framöver </w:t>
      </w:r>
      <w:r w:rsidR="002D0119" w:rsidRPr="002D0119">
        <w:t>skyddas av de regler som tar sikte på att värna barnets rätt och barnets intressen, och</w:t>
      </w:r>
      <w:r w:rsidR="00281DEE">
        <w:t xml:space="preserve"> inte genom att möjliggöra en tillämpning av regler som avser att skydda en utsatt part i ett äktenskap</w:t>
      </w:r>
      <w:r w:rsidR="002D0119">
        <w:t xml:space="preserve"> </w:t>
      </w:r>
      <w:r w:rsidR="002D0119" w:rsidRPr="002D0119">
        <w:t>(</w:t>
      </w:r>
      <w:r w:rsidR="002D0119">
        <w:t xml:space="preserve">jfr prop. </w:t>
      </w:r>
      <w:r w:rsidR="002D0119" w:rsidRPr="002D0119">
        <w:t>2017/18:288</w:t>
      </w:r>
      <w:r w:rsidR="002D0119">
        <w:t xml:space="preserve"> s. 14,</w:t>
      </w:r>
      <w:r w:rsidR="002D0119" w:rsidRPr="002D0119">
        <w:t xml:space="preserve"> prop. 2013/14:208 s. 24</w:t>
      </w:r>
      <w:r w:rsidR="002D0119">
        <w:t xml:space="preserve"> och </w:t>
      </w:r>
      <w:r w:rsidR="002D0119" w:rsidRPr="002D0119">
        <w:t>prop. 2003/04:48 s. 28</w:t>
      </w:r>
      <w:r w:rsidR="002D0119">
        <w:t>–29</w:t>
      </w:r>
      <w:r w:rsidR="002D0119" w:rsidRPr="002D0119">
        <w:t>)</w:t>
      </w:r>
      <w:r w:rsidR="00281DEE">
        <w:t>.</w:t>
      </w:r>
      <w:r w:rsidR="00EE700F">
        <w:t xml:space="preserve"> E</w:t>
      </w:r>
      <w:r w:rsidR="00281DEE">
        <w:t xml:space="preserve">tt krav på </w:t>
      </w:r>
      <w:r w:rsidR="00EE700F">
        <w:t xml:space="preserve">att båda parter är över </w:t>
      </w:r>
      <w:r w:rsidR="00281DEE">
        <w:t>18 år för att äktenskapet i undantagsfall ska kunna ha rättsverkan</w:t>
      </w:r>
      <w:r w:rsidR="002D0119">
        <w:t xml:space="preserve"> bör alltså </w:t>
      </w:r>
      <w:r w:rsidR="00F0233C">
        <w:t>gälla.</w:t>
      </w:r>
      <w:r w:rsidR="00281DEE">
        <w:t xml:space="preserve"> </w:t>
      </w:r>
    </w:p>
    <w:p w14:paraId="3ADBA898" w14:textId="77777777" w:rsidR="006973D1" w:rsidRDefault="006973D1" w:rsidP="006973D1">
      <w:pPr>
        <w:pStyle w:val="Rubrik5utannumrering"/>
      </w:pPr>
      <w:r>
        <w:t>Myndigheternas prövning</w:t>
      </w:r>
    </w:p>
    <w:p w14:paraId="17DF902F" w14:textId="77777777" w:rsidR="006973D1" w:rsidRDefault="006973D1" w:rsidP="006973D1">
      <w:pPr>
        <w:pStyle w:val="Brdtextmedindrag"/>
        <w:ind w:firstLine="0"/>
      </w:pPr>
      <w:r>
        <w:t xml:space="preserve">Frågan om ett utländskt äktenskap ska erkännas kan prövas av olika myndigheter i olika sammanhang. Vad en myndighet bedömt i frågan om erkännande vid en prövning är i regel inte bindande för en annan myndighet. </w:t>
      </w:r>
      <w:r w:rsidRPr="00920A5B">
        <w:t>Utgången av en prövning</w:t>
      </w:r>
      <w:r>
        <w:t xml:space="preserve"> </w:t>
      </w:r>
      <w:r w:rsidRPr="00920A5B">
        <w:t xml:space="preserve">mellan makarna </w:t>
      </w:r>
      <w:r>
        <w:t>i allmän domstol</w:t>
      </w:r>
      <w:r w:rsidRPr="00920A5B">
        <w:t xml:space="preserve"> av frågan </w:t>
      </w:r>
      <w:r>
        <w:t>om</w:t>
      </w:r>
      <w:r w:rsidRPr="00920A5B">
        <w:t xml:space="preserve"> ett äktenskap består eller inte består är </w:t>
      </w:r>
      <w:r>
        <w:t xml:space="preserve">dock </w:t>
      </w:r>
      <w:r w:rsidRPr="00920A5B">
        <w:t xml:space="preserve">bindande </w:t>
      </w:r>
      <w:r>
        <w:t>vid en senare prövning (se 14 kap. 2 § äktenskapsbalken)</w:t>
      </w:r>
      <w:r w:rsidRPr="00920A5B">
        <w:t>.</w:t>
      </w:r>
      <w:r>
        <w:t xml:space="preserve"> </w:t>
      </w:r>
    </w:p>
    <w:p w14:paraId="76AB210E" w14:textId="777C2542" w:rsidR="006973D1" w:rsidRDefault="006973D1" w:rsidP="006973D1">
      <w:pPr>
        <w:pStyle w:val="Brdtextmedindrag"/>
      </w:pPr>
      <w:r>
        <w:t xml:space="preserve">Förslaget i </w:t>
      </w:r>
      <w:r w:rsidR="001D6650">
        <w:t>propositionen</w:t>
      </w:r>
      <w:r>
        <w:t xml:space="preserve"> innebär att otillåtna utländska äktenskap aldrig ska erkännas i Sverige. Det medför att det inte kommer vara möjligt att genom en prövning i allmän domstol, under åberopande av att det finns synner</w:t>
      </w:r>
      <w:r>
        <w:softHyphen/>
        <w:t>liga skäl, få fastställt att ett sådant äktenskap består. Inte heller en bestämmelse om att ett sådant äktenskap kan tillerkännas rätts</w:t>
      </w:r>
      <w:r>
        <w:softHyphen/>
        <w:t xml:space="preserve">verkningar medför en möjlighet till en sådan talan. </w:t>
      </w:r>
    </w:p>
    <w:p w14:paraId="1E2008F4" w14:textId="77777777" w:rsidR="006973D1" w:rsidRDefault="006973D1" w:rsidP="006973D1">
      <w:pPr>
        <w:pStyle w:val="Brdtextmedindrag"/>
      </w:pPr>
      <w:r>
        <w:t xml:space="preserve">Ett äktenskap som inte erkänns kan inte ligga till grund för att registrera en person som gift i folkbokföringen. Uppgifterna i folkbokföringen avser att spegla bl.a. befolkningens familjerättsliga förhållanden, </w:t>
      </w:r>
      <w:r w:rsidRPr="00F4341D">
        <w:t>så att olika samhälls</w:t>
      </w:r>
      <w:r>
        <w:softHyphen/>
      </w:r>
      <w:r w:rsidRPr="00F4341D">
        <w:t>funktioner får ett korrekt underlag för beslut och åtgärder</w:t>
      </w:r>
      <w:r>
        <w:t xml:space="preserve"> (2 § f</w:t>
      </w:r>
      <w:r w:rsidRPr="00F4341D">
        <w:t>örordning</w:t>
      </w:r>
      <w:r>
        <w:t>en</w:t>
      </w:r>
      <w:r w:rsidRPr="00F4341D">
        <w:t xml:space="preserve"> </w:t>
      </w:r>
      <w:r>
        <w:t>[</w:t>
      </w:r>
      <w:r w:rsidRPr="00F4341D">
        <w:t>2017:154</w:t>
      </w:r>
      <w:r>
        <w:t>]</w:t>
      </w:r>
      <w:r w:rsidRPr="00F4341D">
        <w:t xml:space="preserve"> med instruktion för Skatteverket</w:t>
      </w:r>
      <w:r>
        <w:t>).</w:t>
      </w:r>
      <w:r w:rsidRPr="00643EEA">
        <w:t xml:space="preserve"> </w:t>
      </w:r>
      <w:r>
        <w:t xml:space="preserve">Att en person registreras som gift </w:t>
      </w:r>
      <w:r w:rsidRPr="00643EEA">
        <w:t xml:space="preserve">i folkbokföringen </w:t>
      </w:r>
      <w:r>
        <w:t>kan inte sägas innebära en rätts</w:t>
      </w:r>
      <w:r>
        <w:softHyphen/>
        <w:t xml:space="preserve">verkan av äktenskapet, utan är en registrering av de förhållanden som förelåg vid tidpunkten för registrering. Mot den bakgrunden kan den </w:t>
      </w:r>
      <w:r>
        <w:lastRenderedPageBreak/>
        <w:t>föreslagna bestämmelsen om rättsverkningar inte medföra att ett äktenskap läggs till grund för registrering av civilstånd.</w:t>
      </w:r>
    </w:p>
    <w:p w14:paraId="4E043DA6" w14:textId="58B8BBD9" w:rsidR="006973D1" w:rsidRDefault="006973D1" w:rsidP="006973D1">
      <w:pPr>
        <w:pStyle w:val="Brdtextmedindrag"/>
      </w:pPr>
      <w:r>
        <w:t>Konsekvenserna av ett nekat erkännande kan i ett enskilt fall vara särskilt betungande. Det gäller särskilt när ekonomiska rättsverkningar av ett äkten</w:t>
      </w:r>
      <w:r>
        <w:softHyphen/>
        <w:t>skap uteblir, såsom rätt till bodelning, underhåll eller arv. Om konsekvenserna framstår som orimliga kan det finnas synnerliga skäl för att i ett enskilt fall ge äktenskapet rättsverkningar och därigenom möjlig</w:t>
      </w:r>
      <w:r>
        <w:softHyphen/>
        <w:t xml:space="preserve">göra en rätt till bodelning, underhåll eller arv. </w:t>
      </w:r>
      <w:bookmarkStart w:id="117" w:name="_Hlk216443083"/>
      <w:r>
        <w:t>Att äktenskapet i ett enskilt fall har rättsverkan innebär att äktenskapet i det fallet godtas av myndig</w:t>
      </w:r>
      <w:r>
        <w:softHyphen/>
        <w:t xml:space="preserve">heten inom ramen för den prövningen. Eftersom frågan om huruvida äktenskapet har rättsverkan är beroende av </w:t>
      </w:r>
      <w:r w:rsidR="00CC6964">
        <w:t xml:space="preserve">omständigheterna </w:t>
      </w:r>
      <w:r>
        <w:t xml:space="preserve">i varje enskilt fall </w:t>
      </w:r>
      <w:r w:rsidR="00800368">
        <w:t>i förhållande till den fråga som prövning</w:t>
      </w:r>
      <w:r w:rsidR="00CC6964">
        <w:t>en</w:t>
      </w:r>
      <w:r w:rsidR="00800368">
        <w:t xml:space="preserve"> omfattar </w:t>
      </w:r>
      <w:r>
        <w:t xml:space="preserve">är en myndighets bedömning inte bindande för </w:t>
      </w:r>
      <w:r w:rsidR="00800368">
        <w:t xml:space="preserve">någon </w:t>
      </w:r>
      <w:r>
        <w:t xml:space="preserve">annan myndighet. </w:t>
      </w:r>
      <w:bookmarkEnd w:id="117"/>
    </w:p>
    <w:p w14:paraId="13BDEE50" w14:textId="77777777" w:rsidR="006973D1" w:rsidRDefault="006973D1" w:rsidP="006973D1">
      <w:pPr>
        <w:pStyle w:val="Rubrik5utannumrering"/>
      </w:pPr>
      <w:r>
        <w:t>Hänvisningen i äktenskapsbalken till erkännandebestämmelserna i 1904 års lag ska tas bort</w:t>
      </w:r>
    </w:p>
    <w:p w14:paraId="786C20D7" w14:textId="6139C7F9" w:rsidR="006973D1" w:rsidRDefault="006973D1" w:rsidP="006973D1">
      <w:pPr>
        <w:pStyle w:val="Brdtext"/>
      </w:pPr>
      <w:r w:rsidRPr="00635AA2">
        <w:t>I äktenskapsbalken finns särskilda bestämmelser om upplösning av äktenskap som har ingåtts trots att det funnits ett äktenskapshinder eller där en make har tvingats att ingå äktenskapet (5</w:t>
      </w:r>
      <w:r>
        <w:t> kap.</w:t>
      </w:r>
      <w:r w:rsidRPr="00635AA2">
        <w:t xml:space="preserve"> 5</w:t>
      </w:r>
      <w:r>
        <w:t> §</w:t>
      </w:r>
      <w:r w:rsidRPr="00635AA2">
        <w:t xml:space="preserve"> första stycket). En make har rätt till omedelbar äktenskapsskillnad, dvs. utan föregående betänketid, om det görs sannolikt att denne har tvingats att ingå äkten</w:t>
      </w:r>
      <w:r>
        <w:softHyphen/>
      </w:r>
      <w:r w:rsidRPr="00635AA2">
        <w:t xml:space="preserve">skapet eller om maken har ingått äktenskapet före 18 års ålder. Vidare har var och en av makarna rätt till äktenskapsskillnad utan föregående betänketid om äktenskapet har ingåtts trots att makarna är släkt med varandra i rätt upp- och nedstigande led eller är helsyskon. </w:t>
      </w:r>
      <w:r w:rsidR="004947DF">
        <w:t xml:space="preserve">Regeringen har nyligen föreslagit </w:t>
      </w:r>
      <w:r>
        <w:t>att detsamma ska gälla om äktenskapet har ingåtts trots att makarna är halvsyskon, kusiner eller om den ena är släkt i rätt nedstigande led med den andras syskon</w:t>
      </w:r>
      <w:r w:rsidR="004947DF">
        <w:t xml:space="preserve"> (se prop. 2025/26:</w:t>
      </w:r>
      <w:r w:rsidR="009D0A16">
        <w:t>154</w:t>
      </w:r>
      <w:r w:rsidR="004947DF">
        <w:t>)</w:t>
      </w:r>
      <w:r>
        <w:t>. V</w:t>
      </w:r>
      <w:r w:rsidRPr="00635AA2">
        <w:t xml:space="preserve">ar och en av makarna </w:t>
      </w:r>
      <w:r>
        <w:t xml:space="preserve">har också </w:t>
      </w:r>
      <w:r w:rsidRPr="00635AA2">
        <w:t>rätt till äktenskapsskillnad utan föregående betänketid</w:t>
      </w:r>
      <w:r w:rsidRPr="00635AA2" w:rsidDel="00785F09">
        <w:t xml:space="preserve"> </w:t>
      </w:r>
      <w:r w:rsidRPr="00635AA2">
        <w:t xml:space="preserve">om äktenskapet har ingåtts trots att någon av makarna redan var gift och det tidigare äktenskapet inte har blivit upplöst, dvs. vid månggifte. </w:t>
      </w:r>
    </w:p>
    <w:p w14:paraId="6734D7A2" w14:textId="77777777" w:rsidR="006973D1" w:rsidRDefault="006973D1" w:rsidP="006973D1">
      <w:pPr>
        <w:pStyle w:val="Brdtextmedindrag"/>
      </w:pPr>
      <w:r w:rsidRPr="00635AA2">
        <w:t>De angivna bestämmelserna om äktenskapsskillnad tar sikte på äkten</w:t>
      </w:r>
      <w:r>
        <w:softHyphen/>
      </w:r>
      <w:r w:rsidRPr="00635AA2">
        <w:t xml:space="preserve">skap som är ingångna genom vigsel inför svensk myndighet. Om makarna har tillräckligt stark anknytning till Sverige, kan bestämmelserna enligt förarbetena även tillämpas avseende ett äktenskap som har ingåtts i utlandet enligt utländsk lag. Tillämpningen av bestämmelserna på ett utländskt äktenskap förutsätter dock att det är fråga om ett äktenskap som har erkänts här (prop. 2003/04:48 s. 49). </w:t>
      </w:r>
    </w:p>
    <w:p w14:paraId="714141AF" w14:textId="5D9A2AFE" w:rsidR="006973D1" w:rsidRDefault="006973D1" w:rsidP="006973D1">
      <w:pPr>
        <w:pStyle w:val="Brdtextmedindrag"/>
      </w:pPr>
      <w:r>
        <w:t xml:space="preserve">I samband med att reglerna om utländska månggiften skärptes infördes </w:t>
      </w:r>
      <w:r w:rsidRPr="00635AA2">
        <w:t>i 5</w:t>
      </w:r>
      <w:r>
        <w:t> kap.</w:t>
      </w:r>
      <w:r w:rsidRPr="00635AA2">
        <w:t xml:space="preserve"> 5</w:t>
      </w:r>
      <w:r>
        <w:t> §</w:t>
      </w:r>
      <w:r w:rsidRPr="00635AA2">
        <w:t xml:space="preserve"> äktenskapsbalken en hänvisning till erkännande</w:t>
      </w:r>
      <w:r>
        <w:softHyphen/>
      </w:r>
      <w:r w:rsidRPr="00635AA2">
        <w:t>bestäm</w:t>
      </w:r>
      <w:r>
        <w:softHyphen/>
      </w:r>
      <w:r w:rsidRPr="00635AA2">
        <w:t>mel</w:t>
      </w:r>
      <w:r w:rsidR="00997B48">
        <w:softHyphen/>
      </w:r>
      <w:r w:rsidRPr="00635AA2">
        <w:t>serna i 1904 års lag</w:t>
      </w:r>
      <w:r>
        <w:t xml:space="preserve"> (se prop. 2020/21:149). Syftet med h</w:t>
      </w:r>
      <w:r w:rsidRPr="00432EEC">
        <w:t xml:space="preserve">änvisningen </w:t>
      </w:r>
      <w:r>
        <w:t xml:space="preserve">angavs vara att </w:t>
      </w:r>
      <w:r w:rsidRPr="00432EEC">
        <w:t>tydliggör</w:t>
      </w:r>
      <w:r>
        <w:t>a</w:t>
      </w:r>
      <w:r w:rsidRPr="00432EEC">
        <w:t xml:space="preserve"> att </w:t>
      </w:r>
      <w:r>
        <w:t>reglerna om upplösning av äktenskap som ingåtts trots att det har funnits ett äktenskapshinder eller där en make har tvingats att ingå äktenskapet</w:t>
      </w:r>
      <w:r w:rsidRPr="00432EEC">
        <w:t xml:space="preserve"> även gäller äktenskap som ingåtts enligt utländsk lag</w:t>
      </w:r>
      <w:r>
        <w:t>,</w:t>
      </w:r>
      <w:r w:rsidRPr="00432EEC">
        <w:t xml:space="preserve"> under förutsättning att de med tillämpning av undantags</w:t>
      </w:r>
      <w:r>
        <w:softHyphen/>
      </w:r>
      <w:r w:rsidRPr="00432EEC">
        <w:t>regeln i 1</w:t>
      </w:r>
      <w:r>
        <w:t> kap.</w:t>
      </w:r>
      <w:r w:rsidRPr="00432EEC">
        <w:t xml:space="preserve"> 8 a</w:t>
      </w:r>
      <w:r>
        <w:t> §</w:t>
      </w:r>
      <w:r w:rsidRPr="00432EEC">
        <w:t xml:space="preserve"> andra stycket erkänns i Sverige</w:t>
      </w:r>
      <w:r>
        <w:t xml:space="preserve"> (se a prop. s. 34)</w:t>
      </w:r>
      <w:r w:rsidRPr="00432EEC">
        <w:t xml:space="preserve">. </w:t>
      </w:r>
      <w:r>
        <w:t>Som en följd av att möjligheten att undantagsvis erkänna sådana äktenskap nu upphävs bör den ifrågavarande hänvisningen i äkten</w:t>
      </w:r>
      <w:r>
        <w:softHyphen/>
        <w:t>skaps</w:t>
      </w:r>
      <w:r>
        <w:softHyphen/>
        <w:t>balken tas bort.</w:t>
      </w:r>
    </w:p>
    <w:p w14:paraId="6F81BCA0" w14:textId="77777777" w:rsidR="006973D1" w:rsidRDefault="006973D1" w:rsidP="006973D1">
      <w:pPr>
        <w:pStyle w:val="Rubrik1"/>
      </w:pPr>
      <w:bookmarkStart w:id="118" w:name="_Toc221561261"/>
      <w:bookmarkStart w:id="119" w:name="_Toc224807613"/>
      <w:r>
        <w:lastRenderedPageBreak/>
        <w:t>Fullmaktsäktenskap</w:t>
      </w:r>
      <w:bookmarkEnd w:id="118"/>
      <w:bookmarkEnd w:id="119"/>
    </w:p>
    <w:p w14:paraId="5F2E2F3F" w14:textId="77777777" w:rsidR="006973D1" w:rsidRPr="00AC6041" w:rsidRDefault="006973D1" w:rsidP="006973D1">
      <w:pPr>
        <w:pStyle w:val="Rubrik4ram"/>
      </w:pPr>
      <w:r w:rsidRPr="00AC6041">
        <w:t>Regeringens bedömning</w:t>
      </w:r>
    </w:p>
    <w:p w14:paraId="09D77E19" w14:textId="77777777" w:rsidR="006973D1" w:rsidRPr="003A6021" w:rsidRDefault="006973D1" w:rsidP="006973D1">
      <w:pPr>
        <w:pStyle w:val="Brdtextram"/>
      </w:pPr>
      <w:r w:rsidRPr="00985B16">
        <w:t>Äktenskap som ingås utan att parterna är personligen närvarande eller genom att någon av dem företräds av ombud kan vara problematiska genom att de underlättar för den som vill utöva påtryckningar och dölja ett bristande samtycke. Ett förbud mot erkännande av utländska fullmaktsäktenskap, oberoende av parternas anknytning till Sverige, bedöms dock inte utgöra en träffsäker reglering för att förhindra erkännande av utländska tvångsäktenskap. Ett sådant förbud bör därmed inte införas. Det bör, mot bakgrund av beredningsunderlaget, inte i nuläget införas något förbud mot att erkänna ett äktenskap som ingåtts genom ombud vid personlig närvaro.</w:t>
      </w:r>
    </w:p>
    <w:p w14:paraId="2B0D4260" w14:textId="77777777" w:rsidR="006973D1" w:rsidRDefault="006973D1" w:rsidP="006973D1">
      <w:pPr>
        <w:pStyle w:val="Rubrik4efterram"/>
      </w:pPr>
      <w:r>
        <w:t>Utredningens bedömning</w:t>
      </w:r>
    </w:p>
    <w:p w14:paraId="36B826AE" w14:textId="77777777" w:rsidR="006973D1" w:rsidRDefault="006973D1" w:rsidP="006973D1">
      <w:pPr>
        <w:pStyle w:val="Brdtext"/>
      </w:pPr>
      <w:r>
        <w:t xml:space="preserve">Utredningens bedömning överensstämmer delvis med regeringens. Utredningen bedömer att det inte finns tillräckliga skäl att skärpa reglerna för erkännande av utländska fullmaktsäktenskap. </w:t>
      </w:r>
      <w:r w:rsidRPr="005A57A4">
        <w:t>Utredningen lämnar</w:t>
      </w:r>
      <w:r>
        <w:t xml:space="preserve"> samtidigt två alternativa förslag om skärpning av reglerna. Det första innebär att anknytningskravet för fullmaktsäktenskap tas bort, medan det andra inne</w:t>
      </w:r>
      <w:r>
        <w:softHyphen/>
        <w:t>bär att erkännande</w:t>
      </w:r>
      <w:r>
        <w:softHyphen/>
        <w:t xml:space="preserve">förbudet </w:t>
      </w:r>
      <w:r w:rsidRPr="00B81ADF">
        <w:t xml:space="preserve">även ska omfatta äktenskap där </w:t>
      </w:r>
      <w:r>
        <w:t xml:space="preserve">minst en av makarna företräds av ombud, även om </w:t>
      </w:r>
      <w:r w:rsidRPr="00B81ADF">
        <w:t>mak</w:t>
      </w:r>
      <w:r>
        <w:t>en</w:t>
      </w:r>
      <w:r w:rsidRPr="00B81ADF">
        <w:t xml:space="preserve"> är personligen närvarande vid äktenskapets ingående</w:t>
      </w:r>
      <w:r>
        <w:t xml:space="preserve">. </w:t>
      </w:r>
    </w:p>
    <w:p w14:paraId="51B0B7D4" w14:textId="77777777" w:rsidR="006973D1" w:rsidRDefault="006973D1" w:rsidP="006973D1">
      <w:pPr>
        <w:pStyle w:val="Rubrik4utannumrering"/>
      </w:pPr>
      <w:r>
        <w:t>Remissinstanserna</w:t>
      </w:r>
    </w:p>
    <w:p w14:paraId="038918F6" w14:textId="77777777" w:rsidR="006973D1" w:rsidRDefault="006973D1" w:rsidP="006973D1">
      <w:pPr>
        <w:pStyle w:val="Brdtext"/>
      </w:pPr>
      <w:r>
        <w:t xml:space="preserve">De flesta av remissinstanserna yttrar sig inte särskilt över bedömningen. </w:t>
      </w:r>
      <w:r w:rsidRPr="0095181E">
        <w:rPr>
          <w:i/>
          <w:iCs/>
        </w:rPr>
        <w:t>Migrationsverket</w:t>
      </w:r>
      <w:r w:rsidRPr="001B664F">
        <w:t>,</w:t>
      </w:r>
      <w:r>
        <w:rPr>
          <w:i/>
          <w:iCs/>
        </w:rPr>
        <w:t xml:space="preserve"> Jämställdhetsmyndigheten</w:t>
      </w:r>
      <w:r>
        <w:t xml:space="preserve"> och </w:t>
      </w:r>
      <w:r w:rsidRPr="0095181E">
        <w:rPr>
          <w:i/>
          <w:iCs/>
        </w:rPr>
        <w:t>Myndigheten för stöd till trossamfund</w:t>
      </w:r>
      <w:r>
        <w:t xml:space="preserve"> instämmer i utredningens bedömning, medan </w:t>
      </w:r>
      <w:r w:rsidRPr="00A312C8">
        <w:rPr>
          <w:i/>
          <w:iCs/>
        </w:rPr>
        <w:t>Riksorganisa</w:t>
      </w:r>
      <w:r>
        <w:rPr>
          <w:i/>
          <w:iCs/>
        </w:rPr>
        <w:softHyphen/>
      </w:r>
      <w:r w:rsidRPr="00A312C8">
        <w:rPr>
          <w:i/>
          <w:iCs/>
        </w:rPr>
        <w:t xml:space="preserve">tionen GAPF – </w:t>
      </w:r>
      <w:r>
        <w:rPr>
          <w:i/>
          <w:iCs/>
        </w:rPr>
        <w:t>G</w:t>
      </w:r>
      <w:r w:rsidRPr="00A312C8">
        <w:rPr>
          <w:i/>
          <w:iCs/>
        </w:rPr>
        <w:t>löm aldrig Pela och Fadime</w:t>
      </w:r>
      <w:r>
        <w:t xml:space="preserve"> anser att fullmaktsäktenskap inte i något fall ska erkännas i Sverige. </w:t>
      </w:r>
    </w:p>
    <w:p w14:paraId="3D8F39C8" w14:textId="77777777" w:rsidR="006973D1" w:rsidRDefault="006973D1" w:rsidP="006973D1">
      <w:pPr>
        <w:pStyle w:val="Rubrik4utannumrering"/>
      </w:pPr>
      <w:r w:rsidRPr="00CE1A0E">
        <w:t xml:space="preserve">Skälen för regeringens </w:t>
      </w:r>
      <w:r>
        <w:t>bedömning</w:t>
      </w:r>
    </w:p>
    <w:p w14:paraId="3AA89223" w14:textId="77777777" w:rsidR="006973D1" w:rsidRDefault="006973D1" w:rsidP="006973D1">
      <w:pPr>
        <w:pStyle w:val="Rubrik5utannumrering"/>
        <w:spacing w:before="0"/>
      </w:pPr>
      <w:r>
        <w:t>Anknytningskravet för fullmaktsäktenskap bör inte tas bort</w:t>
      </w:r>
    </w:p>
    <w:p w14:paraId="6FFB1271" w14:textId="77777777" w:rsidR="006973D1" w:rsidRDefault="006973D1" w:rsidP="006973D1">
      <w:pPr>
        <w:pStyle w:val="Brdtext"/>
      </w:pPr>
      <w:r>
        <w:t>Det rådande förbudet mot att erkänna utländska fullmaktsäktenskap innebär att ett äktenskap inte ska erkännas om parterna inte var närvarande samtidigt vid äkten</w:t>
      </w:r>
      <w:r>
        <w:softHyphen/>
        <w:t xml:space="preserve">skapets ingående, och minst en av dem då var svensk medborgare eller hade hemvist i Sverige. Vid vigsel enligt svensk rätt ställs motsvarande krav på närvaro för de som ingår äktenskap (4 kap. 2 § äktenskapsbalken). </w:t>
      </w:r>
    </w:p>
    <w:p w14:paraId="0DFF6F11" w14:textId="45485194" w:rsidR="006973D1" w:rsidRDefault="006973D1" w:rsidP="006973D1">
      <w:pPr>
        <w:pStyle w:val="Brdtextmedindrag"/>
      </w:pPr>
      <w:r>
        <w:t>Utredningen har övervägt om anknytningskravet bör utmönstras. Det skulle innebära att ett fullmaktsäktenskap som ingåtts utomlands inte skulle erkännas här</w:t>
      </w:r>
      <w:r w:rsidR="00A4236F">
        <w:t>,</w:t>
      </w:r>
      <w:r>
        <w:t xml:space="preserve"> oavsett parternas anknytning till Sverige när äkten</w:t>
      </w:r>
      <w:r w:rsidR="00A4236F">
        <w:softHyphen/>
      </w:r>
      <w:r>
        <w:t xml:space="preserve">skapet ingicks. </w:t>
      </w:r>
    </w:p>
    <w:p w14:paraId="1B5495F3" w14:textId="77777777" w:rsidR="006973D1" w:rsidRDefault="006973D1" w:rsidP="006973D1">
      <w:pPr>
        <w:pStyle w:val="Brdtextmedindrag"/>
      </w:pPr>
      <w:r>
        <w:t>När det gäller fullmaktsäktenskap tar erkännandeförbudet sikte på formerna för äktenskapets ingående snarare än de personer som ingått äkten</w:t>
      </w:r>
      <w:r>
        <w:softHyphen/>
        <w:t xml:space="preserve">skap med varandra. Det finns således inte med nödvändighet något ur svensk synvinkel oönskat med ett äktenskap mellan de ifrågavarande </w:t>
      </w:r>
      <w:r>
        <w:lastRenderedPageBreak/>
        <w:t xml:space="preserve">personerna i och för sig endast med beaktande av att personerna inte var närvarande vid äktenskapets ingående. </w:t>
      </w:r>
      <w:bookmarkStart w:id="120" w:name="_Hlk220935861"/>
      <w:r>
        <w:t>Om parterna inte är personligen närvarande vid äkten</w:t>
      </w:r>
      <w:r>
        <w:softHyphen/>
        <w:t>skapets ingående kan dock bristande samtycke och bristande frivillighet lättare döljas</w:t>
      </w:r>
      <w:bookmarkEnd w:id="120"/>
      <w:r>
        <w:t xml:space="preserve">, i synnerhet om den ena eller båda parterna företräds av ett ombud vid äktenskapets ingående. Syftet med det nuvarande förbudet har alltså inte varit att hävda svenska formkrav, utan att minska riskerna för att personer i Sverige lever i tvångsäktenskap. Det handlar i grunden om att försvåra ett kringgående av de svenska krav som gäller för ett äktenskaps ingående </w:t>
      </w:r>
      <w:r w:rsidRPr="00AC6041">
        <w:t>(prop.</w:t>
      </w:r>
      <w:r>
        <w:t> </w:t>
      </w:r>
      <w:r w:rsidRPr="00AC6041">
        <w:t>2013/14:208 s.</w:t>
      </w:r>
      <w:r>
        <w:t> </w:t>
      </w:r>
      <w:r w:rsidRPr="00AC6041">
        <w:t xml:space="preserve">34). </w:t>
      </w:r>
      <w:r>
        <w:t>Utredningen konstaterar också att det är svårare att säker</w:t>
      </w:r>
      <w:r>
        <w:softHyphen/>
        <w:t>ställa att det är partens fria vilja som kommer till uttryck om en av makarna inte är närvarande eller företräds av ett ombud. Enligt utredningen kan det tala för att regel</w:t>
      </w:r>
      <w:r>
        <w:softHyphen/>
        <w:t>verket kring erkännande av utländska fullmaktsäktenskap bör överens</w:t>
      </w:r>
      <w:r>
        <w:softHyphen/>
        <w:t xml:space="preserve">stämma med vad som gäller för tvångsäktenskap och således oavsett parternas anknytning till Sverige. </w:t>
      </w:r>
      <w:r w:rsidRPr="00A312C8">
        <w:rPr>
          <w:i/>
          <w:iCs/>
        </w:rPr>
        <w:t xml:space="preserve">Riksorganisationen GAPF – </w:t>
      </w:r>
      <w:r>
        <w:rPr>
          <w:i/>
          <w:iCs/>
        </w:rPr>
        <w:t>G</w:t>
      </w:r>
      <w:r w:rsidRPr="00A312C8">
        <w:rPr>
          <w:i/>
          <w:iCs/>
        </w:rPr>
        <w:t>löm aldrig Pela och Fadime</w:t>
      </w:r>
      <w:r>
        <w:t xml:space="preserve"> menar att fullmaktsäktenskap kan få allvarliga konsekvenser genom den utsatthet det innebär att giftas bort mot sin vilja, men också med hänsyn till de allvarliga risker det innebär för en kvinna inom hederskulturen om hon vill skiljas. Riksorganisationen pekar också på den möjlighet att gifta om sig som finns för par som flyttar till Sverige. </w:t>
      </w:r>
    </w:p>
    <w:p w14:paraId="17095CA7" w14:textId="77777777" w:rsidR="006973D1" w:rsidRPr="00AC6041" w:rsidRDefault="006973D1" w:rsidP="006973D1">
      <w:pPr>
        <w:pStyle w:val="Brdtextmedindrag"/>
      </w:pPr>
      <w:r>
        <w:t>Samtidigt konstaterar utredningen att fullmaktsäktenskap är en accep</w:t>
      </w:r>
      <w:r>
        <w:softHyphen/>
        <w:t xml:space="preserve">terad form av äktenskap i flera länder. </w:t>
      </w:r>
      <w:r w:rsidRPr="00AC6041">
        <w:t xml:space="preserve">Så är fallet i exempelvis Japan. </w:t>
      </w:r>
      <w:r>
        <w:t xml:space="preserve">I Japan saknar vigselceremonin rättsverkan. Ett äktenskap ingås i stället genom ett registreringsförfarande som inte kräver båda parters närvarande. Även i </w:t>
      </w:r>
      <w:r w:rsidRPr="00AC6041">
        <w:t>Polen, Spanien och ett antal delstater i USA är fullmakts</w:t>
      </w:r>
      <w:r>
        <w:softHyphen/>
      </w:r>
      <w:r w:rsidRPr="00AC6041">
        <w:t>äktenskap tillåtet i vissa fall. I Ukraina har det nyligen införts en möjlighet att gifta sig helt digitalt via en app.</w:t>
      </w:r>
      <w:r>
        <w:t xml:space="preserve"> Det kan i flera </w:t>
      </w:r>
      <w:r w:rsidRPr="00AC6041">
        <w:t xml:space="preserve">fall </w:t>
      </w:r>
      <w:r>
        <w:t xml:space="preserve">finnas </w:t>
      </w:r>
      <w:r w:rsidRPr="00AC6041">
        <w:t xml:space="preserve">godtagbara skäl </w:t>
      </w:r>
      <w:r>
        <w:t>till att äktenskap kan ingås</w:t>
      </w:r>
      <w:r w:rsidRPr="00AC6041">
        <w:t xml:space="preserve"> utan personlig och samtidigt närvaro</w:t>
      </w:r>
      <w:r>
        <w:t xml:space="preserve">, exempelvis </w:t>
      </w:r>
      <w:r w:rsidRPr="00AC6041">
        <w:t>om en av makarna inte kan delta vid vigseln på grund av militärtjänst</w:t>
      </w:r>
      <w:r>
        <w:softHyphen/>
      </w:r>
      <w:r w:rsidRPr="00AC6041">
        <w:t>göring eller andra begräsningar i möjligheten att resa.</w:t>
      </w:r>
    </w:p>
    <w:p w14:paraId="5D34302F" w14:textId="77777777" w:rsidR="006973D1" w:rsidRDefault="006973D1" w:rsidP="006973D1">
      <w:pPr>
        <w:pStyle w:val="Brdtextmedindrag"/>
      </w:pPr>
      <w:r w:rsidRPr="00AC6041">
        <w:t xml:space="preserve">Utredningen bedömer att ett förslag som innebär att anknytningskravet tas bort skulle vara oproportionerligt i förhållande till skyddsintresset eftersom det skulle leda till att en oöverskådlig mängd äktenskap skulle vägras erkännande utan att det finns någon indikation på att samtycke saknas. Att fullmaktsäktenskap är tillåtet i andra länder kan i stället ha bidragit till möjligheten att </w:t>
      </w:r>
      <w:r>
        <w:t xml:space="preserve">där, i enlighet med det landets regelverk, </w:t>
      </w:r>
      <w:r w:rsidRPr="00AC6041">
        <w:t>ingå ett frivilligt äktenskap</w:t>
      </w:r>
      <w:r>
        <w:t xml:space="preserve">. Även </w:t>
      </w:r>
      <w:r w:rsidRPr="00C274B1">
        <w:rPr>
          <w:i/>
          <w:iCs/>
        </w:rPr>
        <w:t>Myndigheten för stöd till trossamfund</w:t>
      </w:r>
      <w:r>
        <w:t xml:space="preserve"> anser att ett slopande av anknytningskravet riskerar att leda till orimliga konsekvenser och att en sådan lagstiftning riskerar att bli ett trubbigt instrument. </w:t>
      </w:r>
    </w:p>
    <w:p w14:paraId="362959C9" w14:textId="77777777" w:rsidR="006973D1" w:rsidRDefault="006973D1" w:rsidP="006973D1">
      <w:pPr>
        <w:pStyle w:val="Brdtextmedindrag"/>
      </w:pPr>
      <w:r>
        <w:t xml:space="preserve">När det gäller personer med anknytning till Sverige medför förbudet </w:t>
      </w:r>
      <w:bookmarkStart w:id="121" w:name="_Hlk219316299"/>
      <w:r>
        <w:t>mot att erkänna ett utländskt äktenskap där parterna inte var närvarande samtidigt en minskad risk för ett ofrivilligt äktenskap i ett annat land.</w:t>
      </w:r>
      <w:bookmarkEnd w:id="121"/>
      <w:r>
        <w:t xml:space="preserve"> </w:t>
      </w:r>
      <w:bookmarkStart w:id="122" w:name="_Hlk219316324"/>
      <w:r>
        <w:t>När det gäller personer utan anknytning till Sverige finns inte motsvarande samband mellan formen för äkten</w:t>
      </w:r>
      <w:r>
        <w:softHyphen/>
        <w:t>skapets ingående och risken för tvångsäktenskap, särskilt inte eftersom fullmaktsäktenskap är tillåtet i flera länder.</w:t>
      </w:r>
      <w:bookmarkEnd w:id="122"/>
      <w:r>
        <w:t xml:space="preserve"> </w:t>
      </w:r>
      <w:bookmarkStart w:id="123" w:name="_Hlk219316441"/>
      <w:r>
        <w:t>Mot den bakgrunden framstår ett förbud mot erkännande av alla utländska fullmaktsäktenskap, oberoende av parternas anknytning till Sverige, som en inte tillräckligt träffsäker reglering för att förhindra utländska tvångsäktenskap.</w:t>
      </w:r>
    </w:p>
    <w:bookmarkEnd w:id="123"/>
    <w:p w14:paraId="6B663E45" w14:textId="77777777" w:rsidR="006973D1" w:rsidRDefault="006973D1" w:rsidP="006973D1">
      <w:pPr>
        <w:pStyle w:val="Rubrik5utannumrering"/>
      </w:pPr>
      <w:r>
        <w:lastRenderedPageBreak/>
        <w:t>Formkraven bör i nuläget inte skärpas</w:t>
      </w:r>
    </w:p>
    <w:p w14:paraId="4C6FDD7E" w14:textId="77777777" w:rsidR="006973D1" w:rsidRDefault="006973D1" w:rsidP="006973D1">
      <w:pPr>
        <w:pStyle w:val="Brdtext"/>
      </w:pPr>
      <w:r>
        <w:t xml:space="preserve">Utredningen överväger om förbudet mot att erkänna fullmaktsäktenskap bör skärpas på så sätt att det </w:t>
      </w:r>
      <w:bookmarkStart w:id="124" w:name="_Hlk216380957"/>
      <w:r>
        <w:t>även ska omfatta äktenskap där makarna är person</w:t>
      </w:r>
      <w:r>
        <w:softHyphen/>
        <w:t>ligen närvarande vid äktenskapets ingående, men minst en av dem då företräds av ombud</w:t>
      </w:r>
      <w:bookmarkEnd w:id="124"/>
      <w:r>
        <w:t>. Enligt utredningen ger ett sådant förfarande anledning att ifrågasätta om äktenskapet har ingåtts av fri vilja.</w:t>
      </w:r>
    </w:p>
    <w:p w14:paraId="7A91117F" w14:textId="77777777" w:rsidR="006973D1" w:rsidRDefault="006973D1" w:rsidP="006973D1">
      <w:pPr>
        <w:pStyle w:val="Brdtextmedindrag"/>
      </w:pPr>
      <w:r>
        <w:t>I flera länder är det vanligt eller obligatoriskt att ett ombud företräder en part även om parten också är närvarande. Exempelvis förekommer det att en kvinna företräds av en nära manlig släkting när ett äktenskap ingås genom ett äktenskapskontrakt enligt muslimsk rättstradition.</w:t>
      </w:r>
      <w:r w:rsidRPr="00E817C5">
        <w:t xml:space="preserve"> </w:t>
      </w:r>
      <w:r>
        <w:t>Huruvida själva samtycket till äktenskapet uttalas av den tilltänkta maken eller av ombudet varierar mellan olika länders rättsordningar och traditioner.</w:t>
      </w:r>
    </w:p>
    <w:p w14:paraId="2A593677" w14:textId="77777777" w:rsidR="006973D1" w:rsidRDefault="006973D1" w:rsidP="006973D1">
      <w:pPr>
        <w:pStyle w:val="Brdtextmedindrag"/>
      </w:pPr>
      <w:r>
        <w:t>Utredningen bedömer att följderna av en sådan skärpning är oförutse</w:t>
      </w:r>
      <w:r>
        <w:softHyphen/>
        <w:t xml:space="preserve">bara och att alltför många frivilliga äktenskap riskerar att träffas av ett sådant förbud, vilket även </w:t>
      </w:r>
      <w:r w:rsidRPr="008D3938">
        <w:rPr>
          <w:i/>
          <w:iCs/>
        </w:rPr>
        <w:t>Migrationsverket</w:t>
      </w:r>
      <w:r>
        <w:t xml:space="preserve"> påpekar. Enligt utredningen skulle en skärpning bl.a. träffa situationer där ombudet endast fyller en helt symbolisk funktion eller ceremoniell betydelse.</w:t>
      </w:r>
      <w:r w:rsidRPr="008D3938">
        <w:rPr>
          <w:i/>
          <w:iCs/>
        </w:rPr>
        <w:t xml:space="preserve"> </w:t>
      </w:r>
      <w:r w:rsidRPr="00D32AA6">
        <w:rPr>
          <w:i/>
          <w:iCs/>
        </w:rPr>
        <w:t>Myndigheten för stöd till trossamfund</w:t>
      </w:r>
      <w:r w:rsidRPr="008D3938">
        <w:t xml:space="preserve"> </w:t>
      </w:r>
      <w:r>
        <w:t>anför att en skärpning kan vara diskriminerande då vissa kulturer tillerkänner ombudet en ceremoniell eller symbolisk funktion som i praktiken fyller samma funktion som en vigselförrättare i västerländsk tradition. Utredningen bedömer sammantaget att det inte är lämpligt att genomföra en sådan skärpning.</w:t>
      </w:r>
    </w:p>
    <w:p w14:paraId="3B8B3A7D" w14:textId="77777777" w:rsidR="006973D1" w:rsidRDefault="006973D1" w:rsidP="006973D1">
      <w:pPr>
        <w:pStyle w:val="Brdtextmedindrag"/>
      </w:pPr>
      <w:r>
        <w:t>I likhet med utredningen anser regeringen att äktenskapsceremonier som utförs med ombud kan vara problematiska genom att de underlättar för någon som vill utöva påtryckningar och dölja ett bristande samtycke. Det finns en risk för att ett äktenskap som ingås på så sätt är ett tvångsäkten</w:t>
      </w:r>
      <w:r>
        <w:softHyphen/>
        <w:t>skap. Samtidigt har utredningen inte haft möjlighet att klarlägga samban</w:t>
      </w:r>
      <w:r>
        <w:softHyphen/>
        <w:t>det mellan äktenskap som ingås genom ombud vid personlig närvaro och förekomsten av tvång. Det behövs alltså ytterligare underlag för att kunna utforma en eventuell reglering på ett träffsäkert sätt. Som utredningen lyfter skulle</w:t>
      </w:r>
      <w:r w:rsidDel="0060582D">
        <w:t xml:space="preserve"> </w:t>
      </w:r>
      <w:r>
        <w:t>många frivilliga äktenskap komma att träffas av ett sådant förbud som utredningen har övervägt. Det skulle också medföra svåra gränsdragningar eftersom ett ombud, i olika rättstraditioner, kan företräda en make under olika delar av ceremonin och det kan vara svårt att avgöra när representationen medför att förbudet är tillämpligt. I det samman</w:t>
      </w:r>
      <w:r>
        <w:softHyphen/>
        <w:t xml:space="preserve">hanget finns det anledning att framhålla att reglerna om förbud mot erkännande av tvångsäktenskap redan i dag kan bli aktuella att tillämpa när ett äktenskap ingås genom ombud. </w:t>
      </w:r>
      <w:r w:rsidRPr="00240EFA">
        <w:t>Det gäller t.ex. när ombudet får sina instruktioner från någon annan än</w:t>
      </w:r>
      <w:r>
        <w:t xml:space="preserve"> den som vigseln avser</w:t>
      </w:r>
      <w:r w:rsidRPr="00240EFA">
        <w:t xml:space="preserve">. Detsamma gäller om bestämmelserna i vigsellandet är sådana att kvinnan inte har någon rätt att besluta i frågan. Om äktenskapet har ingåtts mot hennes vilja </w:t>
      </w:r>
      <w:r>
        <w:t>innebär reglerna att</w:t>
      </w:r>
      <w:r w:rsidRPr="00240EFA">
        <w:t xml:space="preserve"> äktenskapet </w:t>
      </w:r>
      <w:r>
        <w:t>ska vägras erkännande</w:t>
      </w:r>
      <w:r w:rsidRPr="00240EFA">
        <w:t xml:space="preserve"> (se prop. 2003/04:48 s. 55</w:t>
      </w:r>
      <w:r>
        <w:t>–56</w:t>
      </w:r>
      <w:r w:rsidRPr="00240EFA">
        <w:t xml:space="preserve">). </w:t>
      </w:r>
      <w:r>
        <w:t xml:space="preserve">Förbudet är tillämpligt om </w:t>
      </w:r>
      <w:r w:rsidRPr="00240EFA">
        <w:t>det är sannolikt att äktenskapet har ingåtts genom tvång</w:t>
      </w:r>
      <w:r>
        <w:t xml:space="preserve"> och gäller även </w:t>
      </w:r>
      <w:r w:rsidRPr="00240EFA">
        <w:t xml:space="preserve">om parterna </w:t>
      </w:r>
      <w:r>
        <w:t xml:space="preserve">inte </w:t>
      </w:r>
      <w:r w:rsidRPr="00240EFA">
        <w:t>hade någon anknytning till Sverige när äktenskapet ingick</w:t>
      </w:r>
      <w:r>
        <w:t>s.</w:t>
      </w:r>
      <w:r w:rsidRPr="00240EFA">
        <w:t xml:space="preserve"> </w:t>
      </w:r>
      <w:r>
        <w:t>Regeringen bedömer sammanfattningsvis att det underlag som finns inte är tillräckligt för att kunna gå vidare med ett förbud mot att erkänna äktenskap som ingåtts genom ombud vid personlig närvaro. Regeringen följer dock frågan nära och kommer att vid behov vidta nödvändiga åtgärder.</w:t>
      </w:r>
    </w:p>
    <w:p w14:paraId="674F9D48" w14:textId="77777777" w:rsidR="006973D1" w:rsidRDefault="006973D1" w:rsidP="006973D1">
      <w:pPr>
        <w:pStyle w:val="Rubrik1"/>
      </w:pPr>
      <w:bookmarkStart w:id="125" w:name="_Toc221561262"/>
      <w:bookmarkStart w:id="126" w:name="_Toc224807614"/>
      <w:r>
        <w:lastRenderedPageBreak/>
        <w:t>Ikraftträdande- och övergångs</w:t>
      </w:r>
      <w:r>
        <w:softHyphen/>
        <w:t>bestämmelser</w:t>
      </w:r>
      <w:bookmarkEnd w:id="125"/>
      <w:bookmarkEnd w:id="126"/>
    </w:p>
    <w:p w14:paraId="7451C51F" w14:textId="77777777" w:rsidR="006973D1" w:rsidRDefault="006973D1" w:rsidP="006973D1">
      <w:pPr>
        <w:pStyle w:val="Rubrik4ram"/>
      </w:pPr>
      <w:bookmarkStart w:id="127" w:name="_Hlk215139681"/>
      <w:r>
        <w:t>Regeringens förslag</w:t>
      </w:r>
    </w:p>
    <w:p w14:paraId="00041AAB" w14:textId="77777777" w:rsidR="006973D1" w:rsidRDefault="006973D1" w:rsidP="006973D1">
      <w:pPr>
        <w:pStyle w:val="Brdtextram"/>
      </w:pPr>
      <w:r>
        <w:t>Lagändringarna ska träda i kraft den 2 juli 2026.</w:t>
      </w:r>
    </w:p>
    <w:p w14:paraId="387FD4E2" w14:textId="77777777" w:rsidR="006973D1" w:rsidRPr="005E369B" w:rsidRDefault="006973D1" w:rsidP="006973D1">
      <w:pPr>
        <w:pStyle w:val="Brdtextmedindragram"/>
      </w:pPr>
      <w:r>
        <w:t>Äldre bestämmelser om erkännande av utländska äkten</w:t>
      </w:r>
      <w:r>
        <w:softHyphen/>
        <w:t>skap ska gälla för äktenskap som har registrerats i folkbokföringen före ikraftträdandet med undantag för äkten</w:t>
      </w:r>
      <w:r>
        <w:softHyphen/>
        <w:t>skap där en av parterna var gift med någon annan än den andra parten vid tiden för ikraft</w:t>
      </w:r>
      <w:r>
        <w:softHyphen/>
        <w:t>trädandet.</w:t>
      </w:r>
    </w:p>
    <w:p w14:paraId="1B16B5E0" w14:textId="77777777" w:rsidR="006973D1" w:rsidRDefault="006973D1" w:rsidP="006973D1">
      <w:pPr>
        <w:pStyle w:val="Rubrik4efterram"/>
      </w:pPr>
      <w:r>
        <w:t>Utredningens förslag</w:t>
      </w:r>
    </w:p>
    <w:p w14:paraId="514C168F" w14:textId="77777777" w:rsidR="006973D1" w:rsidRDefault="006973D1" w:rsidP="006973D1">
      <w:pPr>
        <w:pStyle w:val="Brdtext"/>
      </w:pPr>
      <w:r>
        <w:t>Utredningens förslag överensstämmer i huvudsak med regeringens. Utredningen föreslår att äldre bestämmelser ska gälla även för månggiften som registrerats av Skatteverket i folk</w:t>
      </w:r>
      <w:r>
        <w:softHyphen/>
        <w:t>bok</w:t>
      </w:r>
      <w:r>
        <w:softHyphen/>
        <w:t>föringsdatabasen före ikraft</w:t>
      </w:r>
      <w:r>
        <w:softHyphen/>
        <w:t xml:space="preserve">trädandet. </w:t>
      </w:r>
      <w:r w:rsidRPr="005A57A4">
        <w:t>Utredningen lämnar dock ett alternativt förslag som överens</w:t>
      </w:r>
      <w:r>
        <w:softHyphen/>
      </w:r>
      <w:r w:rsidRPr="005A57A4">
        <w:t xml:space="preserve">stämmer </w:t>
      </w:r>
      <w:r>
        <w:t xml:space="preserve">i sak </w:t>
      </w:r>
      <w:r w:rsidRPr="005A57A4">
        <w:t xml:space="preserve">med regeringens förslag. </w:t>
      </w:r>
    </w:p>
    <w:p w14:paraId="6F0A5106" w14:textId="77777777" w:rsidR="006973D1" w:rsidRDefault="006973D1" w:rsidP="006973D1">
      <w:pPr>
        <w:pStyle w:val="Rubrik4utannumrering"/>
      </w:pPr>
      <w:r>
        <w:t>Remissinstanserna</w:t>
      </w:r>
    </w:p>
    <w:p w14:paraId="79D354A7" w14:textId="77777777" w:rsidR="006973D1" w:rsidRDefault="006973D1" w:rsidP="006973D1">
      <w:pPr>
        <w:pStyle w:val="Brdtext"/>
      </w:pPr>
      <w:r>
        <w:t xml:space="preserve">De flesta av remissinstanserna, bl.a. </w:t>
      </w:r>
      <w:r w:rsidRPr="001855D5">
        <w:rPr>
          <w:i/>
          <w:iCs/>
        </w:rPr>
        <w:t>Skatteverket</w:t>
      </w:r>
      <w:r>
        <w:t xml:space="preserve"> och </w:t>
      </w:r>
      <w:r w:rsidRPr="001855D5">
        <w:rPr>
          <w:i/>
          <w:iCs/>
        </w:rPr>
        <w:t>Migrationsverket</w:t>
      </w:r>
      <w:r>
        <w:t xml:space="preserve">, tillstyrker utredningens förslag eller invänder inte mot det. </w:t>
      </w:r>
    </w:p>
    <w:p w14:paraId="3B638613" w14:textId="77777777" w:rsidR="006973D1" w:rsidRPr="00624B7E" w:rsidRDefault="006973D1" w:rsidP="006973D1">
      <w:pPr>
        <w:pStyle w:val="Brdtextmedindrag"/>
      </w:pPr>
      <w:r>
        <w:rPr>
          <w:i/>
          <w:iCs/>
        </w:rPr>
        <w:t>Polismyndigheten</w:t>
      </w:r>
      <w:r>
        <w:t xml:space="preserve"> anser att det är angeläget att förändringarna finns på plats inför sommarlovet, när barn löper ökad risk att föras utomlands</w:t>
      </w:r>
      <w:r w:rsidRPr="00CA44F7">
        <w:rPr>
          <w:rFonts w:ascii="Segoe UI" w:hAnsi="Segoe UI" w:cs="Segoe UI"/>
          <w:sz w:val="18"/>
          <w:szCs w:val="18"/>
        </w:rPr>
        <w:t xml:space="preserve"> </w:t>
      </w:r>
      <w:r w:rsidRPr="00CA44F7">
        <w:t>och föredrar därför ett ikraftträdande</w:t>
      </w:r>
      <w:r>
        <w:t xml:space="preserve"> den 1 juni 2026. </w:t>
      </w:r>
    </w:p>
    <w:p w14:paraId="741B6708" w14:textId="77777777" w:rsidR="006973D1" w:rsidRDefault="006973D1" w:rsidP="006973D1">
      <w:pPr>
        <w:pStyle w:val="Brdtextmedindrag"/>
      </w:pPr>
      <w:r>
        <w:t xml:space="preserve">Skatteverket avstyrker utredningens alternativa förslag och menar att om erkännandeförbudet ska gälla retroaktivt för äktenskap som har registrerats i samband med folkbokföring före ikraftträdandet skulle det innebära att det registrerade civilståndet inte ska anses ha varit gällande i Sverige. Att retroaktivt upplösa ett äktenskap är främmande för den svenska rättsordningen och </w:t>
      </w:r>
      <w:bookmarkStart w:id="128" w:name="_Hlk215262822"/>
      <w:r>
        <w:t xml:space="preserve">det skulle vara oklart vilka rättsverkningar som därefter gäller. </w:t>
      </w:r>
      <w:bookmarkEnd w:id="128"/>
      <w:r w:rsidRPr="005115E5">
        <w:rPr>
          <w:i/>
        </w:rPr>
        <w:t>Terrafem</w:t>
      </w:r>
      <w:r>
        <w:rPr>
          <w:i/>
        </w:rPr>
        <w:t xml:space="preserve"> </w:t>
      </w:r>
      <w:r w:rsidRPr="007349C2">
        <w:t xml:space="preserve">– </w:t>
      </w:r>
      <w:r w:rsidRPr="002D3030">
        <w:rPr>
          <w:i/>
        </w:rPr>
        <w:t>nätverk för kvinnors rätt mot mäns våld</w:t>
      </w:r>
      <w:r>
        <w:t xml:space="preserve"> menar att övergångsbestämmelsen om erkännande av utländska äktenskap bör förtydligas.</w:t>
      </w:r>
    </w:p>
    <w:p w14:paraId="5A4C9FD5" w14:textId="77777777" w:rsidR="006973D1" w:rsidRDefault="006973D1" w:rsidP="006973D1">
      <w:pPr>
        <w:pStyle w:val="Rubrik4utannumrering"/>
      </w:pPr>
      <w:r>
        <w:t>Skälen för regeringens förslag</w:t>
      </w:r>
    </w:p>
    <w:p w14:paraId="489C8705" w14:textId="77777777" w:rsidR="006973D1" w:rsidRDefault="006973D1" w:rsidP="006973D1">
      <w:pPr>
        <w:pStyle w:val="Rubrik5utannumrering"/>
        <w:spacing w:before="0"/>
      </w:pPr>
      <w:r>
        <w:t>Ikraftträdande</w:t>
      </w:r>
    </w:p>
    <w:p w14:paraId="37F4A016" w14:textId="77777777" w:rsidR="006973D1" w:rsidRDefault="006973D1" w:rsidP="006973D1">
      <w:pPr>
        <w:pStyle w:val="Brdtextmedindrag"/>
        <w:ind w:firstLine="0"/>
      </w:pPr>
      <w:r>
        <w:t>Regeringen anser att det är angeläget att lagändringarna träder i kraft så snart som möjligt. Den tidigast möjliga tidpunkten som de kan träda i kraft bedöms vara den 2 juli 2026. Det är därmed inte fullt ut möjligt att åstad</w:t>
      </w:r>
      <w:r>
        <w:softHyphen/>
        <w:t xml:space="preserve">komma det som </w:t>
      </w:r>
      <w:r w:rsidRPr="007F0338">
        <w:rPr>
          <w:i/>
        </w:rPr>
        <w:t>Polismyndigheten</w:t>
      </w:r>
      <w:r>
        <w:t xml:space="preserve"> efterfrågar. </w:t>
      </w:r>
    </w:p>
    <w:p w14:paraId="3EAE3A98" w14:textId="77777777" w:rsidR="006973D1" w:rsidRDefault="006973D1" w:rsidP="006973D1">
      <w:pPr>
        <w:pStyle w:val="Rubrik5utannumrering"/>
      </w:pPr>
      <w:r>
        <w:t>Det absoluta erkännandeförbudet ska ha retroaktiv verkan</w:t>
      </w:r>
    </w:p>
    <w:p w14:paraId="3D0AA173" w14:textId="77777777" w:rsidR="006973D1" w:rsidRDefault="006973D1" w:rsidP="006973D1">
      <w:pPr>
        <w:pStyle w:val="Brdtext"/>
      </w:pPr>
      <w:r>
        <w:t xml:space="preserve">Regeringen föreslår att undantaget från erkännandeförbudet som gäller för utländska barnäktenskap, månggiften, släktskapsfall, tvångsäktenskap och fullmaktsäktenskap ska utmönstras. Det medför att sådana äktenskap aldrig ska erkännas i Sverige. I stället införs en regel som innebär att ett äktenskap i undantagsfall kan ha rättsverkan. </w:t>
      </w:r>
    </w:p>
    <w:p w14:paraId="5BE09683" w14:textId="77777777" w:rsidR="006973D1" w:rsidRDefault="006973D1" w:rsidP="006973D1">
      <w:pPr>
        <w:pStyle w:val="Brdtextmedindrag"/>
      </w:pPr>
      <w:r w:rsidRPr="009B1696">
        <w:lastRenderedPageBreak/>
        <w:t>En grundläggande princip på civilrättens område är att nya bestämmel</w:t>
      </w:r>
      <w:r>
        <w:softHyphen/>
      </w:r>
      <w:r w:rsidRPr="009B1696">
        <w:t>ser inte ska vara tillämpliga på enskildas rättigheter och skyldig</w:t>
      </w:r>
      <w:r>
        <w:softHyphen/>
      </w:r>
      <w:r w:rsidRPr="009B1696">
        <w:t>heter som har uppkommit före ikraftträdandet av bestämmelserna. Det finns dock inte något förbud mot retroaktiv lagstiftning</w:t>
      </w:r>
      <w:r>
        <w:t xml:space="preserve"> inom civilrätten</w:t>
      </w:r>
      <w:r w:rsidRPr="009B1696">
        <w:t>.</w:t>
      </w:r>
      <w:r>
        <w:t xml:space="preserve"> </w:t>
      </w:r>
      <w:r w:rsidRPr="009B1696">
        <w:t xml:space="preserve">Den beskrivna principen gäller inte </w:t>
      </w:r>
      <w:r>
        <w:t xml:space="preserve">heller </w:t>
      </w:r>
      <w:r w:rsidRPr="009B1696">
        <w:t>uttryckligen på familjerättens område (se bet.</w:t>
      </w:r>
      <w:r>
        <w:t> </w:t>
      </w:r>
      <w:r w:rsidRPr="009B1696">
        <w:t>KU</w:t>
      </w:r>
      <w:r>
        <w:t> </w:t>
      </w:r>
      <w:r w:rsidRPr="009B1696">
        <w:t>1974:60 s.</w:t>
      </w:r>
      <w:r>
        <w:t> </w:t>
      </w:r>
      <w:r w:rsidRPr="009B1696">
        <w:t>2). Trots det bör den vara vägledande även på det området när det är motiverat (jfr prop. 2020/21:149 s.</w:t>
      </w:r>
      <w:r>
        <w:t> </w:t>
      </w:r>
      <w:r w:rsidRPr="009B1696">
        <w:t>38).</w:t>
      </w:r>
    </w:p>
    <w:p w14:paraId="51FB0258" w14:textId="77777777" w:rsidR="006973D1" w:rsidRDefault="006973D1" w:rsidP="006973D1">
      <w:pPr>
        <w:pStyle w:val="Brdtextmedindrag"/>
      </w:pPr>
      <w:r>
        <w:t xml:space="preserve">När erkännandeförbudet infördes 2004 angavs att förbudet inte skulle tillämpas på äktenskap som ingåtts före ikraftträdande. </w:t>
      </w:r>
      <w:r w:rsidRPr="00ED4CDC">
        <w:t>Som skäl anfördes dels det som rent generellt talar emot retroaktiv verkan, dels att det inte är lämpligt att riva upp redan erkända äktenskap (prop.</w:t>
      </w:r>
      <w:r>
        <w:t> </w:t>
      </w:r>
      <w:r w:rsidRPr="00ED4CDC">
        <w:t>2003/04:48 s.</w:t>
      </w:r>
      <w:r>
        <w:t> </w:t>
      </w:r>
      <w:r w:rsidRPr="00ED4CDC">
        <w:t>43</w:t>
      </w:r>
      <w:r>
        <w:t>). Samma bedömning gjordes i samband med lagändringarna 2014 (prop. 2013/14:208 s. 129). De efterföljande skärpningarna av erkän</w:t>
      </w:r>
      <w:r>
        <w:softHyphen/>
        <w:t>nande</w:t>
      </w:r>
      <w:r>
        <w:softHyphen/>
        <w:t>förbudet har däremot succesivt fått allt mer långtgående retroaktiv verkan. År 2019 gjordes visserligen i huvudsak samma bedömning som tidigare. Men när det gäller utländska barnäktenskap gavs erkännande</w:t>
      </w:r>
      <w:r>
        <w:softHyphen/>
        <w:t>förbudet utan undantag retroaktiv verkan för dem som fortfarande var barn när frågan om erkännandet prövas (prop. 2017/18:288 s. 32). De nya bestämmelserna om ett absolut erkännandeförbud för vissa barnäktenskap kom alltså att gälla även för barnäktenskap som ingåtts före ikraftträdandet och oavsett om äktenskapet registrerats vid folkbok</w:t>
      </w:r>
      <w:r>
        <w:softHyphen/>
        <w:t>föring, om någon av parterna fortfarande var barn när frågan prövades.</w:t>
      </w:r>
      <w:r w:rsidRPr="00ED4CDC">
        <w:t xml:space="preserve"> </w:t>
      </w:r>
    </w:p>
    <w:p w14:paraId="2595D33F" w14:textId="7A9B9D6C" w:rsidR="006973D1" w:rsidRDefault="006973D1" w:rsidP="006973D1">
      <w:pPr>
        <w:pStyle w:val="Brdtextmedindrag"/>
      </w:pPr>
      <w:r>
        <w:t>Även när anknytningskravet för utländska månggiften och äktenskap i nära släktskap utmönstrades 2021 ansågs att bestämmelserna skulle ha retroaktiv verkan och gälla även för äktenskap som ingåtts före ikraft</w:t>
      </w:r>
      <w:r>
        <w:softHyphen/>
        <w:t xml:space="preserve">trädandet. Till stöd för det anfördes i huvudsak att månggifte inte är en acceptabel företeelse i samhället och att då gällande regler framstod som föråldrade i ljuset av samhällsutvecklingen. Att under lång tid behöva tillämpa olika regelsystem ansågs riskera att leda till otydlighet och olägenhet för enskilda och myndigheter. Samtidigt ansågs att det fanns ett starkt intresse av att låta de värderingar som grundade det nya förbudet bli tillämpliga inte bara på äktenskap som ingåtts efter ikraftträdandet. Förbudet mot att erkänna utländska månggiften och tvångsäktenskap oavsett parternas anknytning till Sverige kom alltså att gälla även för äktenskap som ingåtts före reglerna trädde i kraft. När det gällde äktenskap som redan hade registrerats ansågs däremot att äldre bestämmelser fortsatt skulle gälla. </w:t>
      </w:r>
      <w:bookmarkStart w:id="129" w:name="_Hlk215258612"/>
      <w:r>
        <w:t>Som skäl anfördes bl.a. att de som har fått sitt civilstånd registrerat har förlitat sig på det beskedet och inrättat sina liv efter det, och att konsekvenserna av ett erkännandeförbud framstod som allvarligare för dem. Det ansågs inte heller finnas något konkret behov av en så ingripande åtgärd.</w:t>
      </w:r>
      <w:bookmarkEnd w:id="129"/>
      <w:r>
        <w:t xml:space="preserve"> </w:t>
      </w:r>
      <w:r w:rsidR="000F5788">
        <w:t xml:space="preserve">Regeringen har även beträffande förslaget om att införa </w:t>
      </w:r>
      <w:r>
        <w:t>ett erkän</w:t>
      </w:r>
      <w:r w:rsidR="000F5788">
        <w:softHyphen/>
      </w:r>
      <w:r>
        <w:t>nande</w:t>
      </w:r>
      <w:r w:rsidR="000F5788">
        <w:softHyphen/>
      </w:r>
      <w:r>
        <w:t>förbud för äktenskap mellan kusiner och mellan vissa andra nära släktingar</w:t>
      </w:r>
      <w:r w:rsidR="000F5788">
        <w:t xml:space="preserve"> bedömt att</w:t>
      </w:r>
      <w:r>
        <w:t xml:space="preserve"> det </w:t>
      </w:r>
      <w:r w:rsidR="000F5788">
        <w:t xml:space="preserve">är </w:t>
      </w:r>
      <w:r>
        <w:t>lämpligt med motsvarande övergångs</w:t>
      </w:r>
      <w:r w:rsidR="000F5788">
        <w:softHyphen/>
      </w:r>
      <w:r>
        <w:t>bestäm</w:t>
      </w:r>
      <w:r w:rsidR="000F5788">
        <w:softHyphen/>
      </w:r>
      <w:r>
        <w:t>melse</w:t>
      </w:r>
      <w:r w:rsidR="00B934DA">
        <w:t xml:space="preserve"> (se prop. 2025/26:</w:t>
      </w:r>
      <w:r w:rsidR="009D0A16">
        <w:t>154</w:t>
      </w:r>
      <w:r w:rsidR="00B934DA">
        <w:t>)</w:t>
      </w:r>
      <w:r>
        <w:t>.</w:t>
      </w:r>
    </w:p>
    <w:p w14:paraId="7FD5D33A" w14:textId="77777777" w:rsidR="006973D1" w:rsidRDefault="006973D1" w:rsidP="006973D1">
      <w:pPr>
        <w:pStyle w:val="Brdtextmedindrag"/>
      </w:pPr>
      <w:r>
        <w:t xml:space="preserve">Regeringen bedömer även att erkännandeförbudet utan undantag och den regel om rättsverkningar som nu föreslås bör få verkan retroaktivt. Att tillämpa olika regelsystem skulle medföra otydlighet för myndigheter och enskilda. </w:t>
      </w:r>
      <w:r w:rsidRPr="00F6468E">
        <w:t>För att motverka hedersrelaterat våld och förtryck, och för att skydda kvinnor och flickor från äktenskap som strider mot individens fria vilja, är det angeläget att det avståndstagandet från de otillåtna utländska äktenskapen får ett snabbt genomslag i praktiken</w:t>
      </w:r>
      <w:r>
        <w:t>.</w:t>
      </w:r>
      <w:r w:rsidRPr="00F6468E">
        <w:t xml:space="preserve"> </w:t>
      </w:r>
      <w:r>
        <w:t xml:space="preserve">Att regelverket tydligt </w:t>
      </w:r>
      <w:r>
        <w:lastRenderedPageBreak/>
        <w:t>och ovillkorligt tar avstånd från de otillåtna äkten</w:t>
      </w:r>
      <w:r>
        <w:softHyphen/>
        <w:t>skapen bör därför gälla oavsett när äktenskapet ingicks. För de som redan etablerat sig i Sverige och fått sitt civilstånd registrerat finns det visser</w:t>
      </w:r>
      <w:r>
        <w:softHyphen/>
        <w:t>ligen av motsvarande skäl som tidigare anledning att låta äldre bestämmel</w:t>
      </w:r>
      <w:r>
        <w:softHyphen/>
        <w:t>ser gälla. En sådan övergångsbestämmelse bör därför införas. När det gäller månggiften finns det dock skäl för att göra en annan bedömning.</w:t>
      </w:r>
    </w:p>
    <w:p w14:paraId="491552E1" w14:textId="77777777" w:rsidR="006973D1" w:rsidRDefault="006973D1" w:rsidP="006973D1">
      <w:pPr>
        <w:pStyle w:val="Rubrik5utannumrering"/>
      </w:pPr>
      <w:r>
        <w:t>Förbudet ska gälla för registrerade månggiften</w:t>
      </w:r>
    </w:p>
    <w:p w14:paraId="5219507D" w14:textId="3A534093" w:rsidR="006973D1" w:rsidRDefault="006973D1" w:rsidP="006973D1">
      <w:pPr>
        <w:pStyle w:val="Brdtextmedindrag"/>
        <w:ind w:firstLine="0"/>
      </w:pPr>
      <w:r>
        <w:t xml:space="preserve">Utredningen föreslår att äldre bestämmelser ska gälla för alla äktenskap som har registrerats av Skatteverket i folkbokföringsdatabasen före ikraftträdandet och således även för månggiften. Även </w:t>
      </w:r>
      <w:r w:rsidRPr="000E4839">
        <w:rPr>
          <w:i/>
          <w:iCs/>
        </w:rPr>
        <w:t>Skatteverket</w:t>
      </w:r>
      <w:r>
        <w:t xml:space="preserve"> och </w:t>
      </w:r>
      <w:r w:rsidRPr="000E4839">
        <w:rPr>
          <w:i/>
          <w:iCs/>
        </w:rPr>
        <w:t>Migrationsverket</w:t>
      </w:r>
      <w:r>
        <w:t xml:space="preserve"> förordar en sådan övergångsbestämmelse. Det innebär dock att månggiften som registrerats i många fall även fortsättningsvis kommer att erkännas i Sverige. Det stämmer inte överens med regeringens syn på att sådana äktenskap aldrig är accepterade i Sverige. I enlighet med sitt uppdrag lämnar utredningen dock ett alternativt för</w:t>
      </w:r>
      <w:r w:rsidR="00626856">
        <w:t>s</w:t>
      </w:r>
      <w:r>
        <w:t>lag som medför att d</w:t>
      </w:r>
      <w:r w:rsidRPr="00E26F61">
        <w:t xml:space="preserve">e nya bestämmelserna ska gälla </w:t>
      </w:r>
      <w:r>
        <w:t xml:space="preserve">även </w:t>
      </w:r>
      <w:r w:rsidRPr="00E26F61">
        <w:t xml:space="preserve">för </w:t>
      </w:r>
      <w:r>
        <w:t>registrerade månggiften, förutom för de fall då månggiftet redan har upplösts vid tiden för ikraft</w:t>
      </w:r>
      <w:r>
        <w:softHyphen/>
        <w:t>trädandet.</w:t>
      </w:r>
      <w:r w:rsidRPr="00E26F61">
        <w:t xml:space="preserve"> </w:t>
      </w:r>
    </w:p>
    <w:p w14:paraId="3031A194" w14:textId="23BD70E9" w:rsidR="006973D1" w:rsidRDefault="006973D1" w:rsidP="006973D1">
      <w:pPr>
        <w:pStyle w:val="Brdtextmedindrag"/>
      </w:pPr>
      <w:r w:rsidRPr="001262ED">
        <w:t>Månggifte utgör ett hinder för jämställdhet och förknippas ofta med förtryck mot kvinnor och flickor. Problematiken är kopplad såväl till civil</w:t>
      </w:r>
      <w:r>
        <w:softHyphen/>
      </w:r>
      <w:r w:rsidRPr="001262ED">
        <w:t>ståndet som sådant som till hanteringen av de rättsliga konsekvenserna av sådana äktenskap. Månggifte strider vidare mot den princip om lika</w:t>
      </w:r>
      <w:r>
        <w:softHyphen/>
      </w:r>
      <w:r w:rsidRPr="001262ED">
        <w:t>behandling av makar som svensk rätt bygger på. Lagstiftningen måste skydda de som riskerar att utsättas för förtrycket och äktenskapsformen måste därför motverkas</w:t>
      </w:r>
      <w:r>
        <w:t>. För att skydda utsatta kvinnor och barn finns det därför ett starkt allmänt intresse av att motverka månggiften. Att en person tillåts vara gift med flera personer samtidigt stämmer inte heller överens med grund</w:t>
      </w:r>
      <w:r>
        <w:softHyphen/>
        <w:t>läggande värderingar om jämställdhet i det svenska samhället. För regeringen är det angeläget att synen på månggiften som en oaccepta</w:t>
      </w:r>
      <w:r>
        <w:softHyphen/>
        <w:t>bel äktenskaps</w:t>
      </w:r>
      <w:r>
        <w:softHyphen/>
        <w:t>form får ett tydligt genomslag även i praktiken. Eftersom månggiften inte accepteras i Sverige är det svenska regelverket inte utformat för sådana äktenskap. I ett månggifte är därför innebörden av de rätts</w:t>
      </w:r>
      <w:r>
        <w:softHyphen/>
        <w:t>verkningar som följer av ett äktenskap i de allra flesta fall oklara. För myndig</w:t>
      </w:r>
      <w:r>
        <w:softHyphen/>
        <w:t>heter kan det exempelvis finnas osäkerhet när det gäller hur bidrag ska beräknas när det finns flera äktenskap att beakta. En make i ett månggifte kan inte ha motsvarande berättigade förväntningar som andra makar på att rättsverkningar av ett äktenskap, och inte heller i motsvarande mån inrättat sitt liv efter att dessa rätts</w:t>
      </w:r>
      <w:r>
        <w:softHyphen/>
        <w:t>verkningar gäller. Vid en proportio</w:t>
      </w:r>
      <w:r w:rsidR="0060645E">
        <w:softHyphen/>
      </w:r>
      <w:r>
        <w:t>nalitets</w:t>
      </w:r>
      <w:r>
        <w:softHyphen/>
        <w:t xml:space="preserve">bedömning bör det också beaktas att en tillämpning av den föreslagna regleringen även innebär att en part i ett månggifte kan göra gällande en rätt till sådana rättsverkningar som följer av äktenskapet om det finns synnerliga skäl. </w:t>
      </w:r>
    </w:p>
    <w:p w14:paraId="7B108041" w14:textId="77777777" w:rsidR="006973D1" w:rsidRDefault="006973D1" w:rsidP="006973D1">
      <w:pPr>
        <w:pStyle w:val="Brdtextmedindrag"/>
      </w:pPr>
      <w:r>
        <w:t xml:space="preserve">Regeringen bedömer sammantaget att intresset av att skydda utsatta kvinnor och barn genom att inte i något fall acceptera månggiften i Sverige, väger tyngre än den enskildes intresse av att äktenskapet kan erkännas i de fall äktenskapet har registrerats. </w:t>
      </w:r>
      <w:r w:rsidRPr="00E21DBD">
        <w:t>För att säkerställa att månggiften aldrig gäller i Sverige bör erkännandeförbudet g</w:t>
      </w:r>
      <w:r>
        <w:t>älla för alla månggiften,</w:t>
      </w:r>
      <w:r w:rsidRPr="00E21DBD">
        <w:t xml:space="preserve"> oavsett när äktenskape</w:t>
      </w:r>
      <w:r>
        <w:t>n</w:t>
      </w:r>
      <w:r w:rsidRPr="00E21DBD">
        <w:t xml:space="preserve"> ingicks och oavsett om civilstånde</w:t>
      </w:r>
      <w:r>
        <w:t>n</w:t>
      </w:r>
      <w:r w:rsidRPr="00E21DBD">
        <w:t xml:space="preserve"> registrerats i folkbokföring</w:t>
      </w:r>
      <w:r>
        <w:t>en eller inte.</w:t>
      </w:r>
    </w:p>
    <w:bookmarkEnd w:id="127"/>
    <w:p w14:paraId="4315477B" w14:textId="77777777" w:rsidR="006973D1" w:rsidRPr="00FC16E0" w:rsidRDefault="006973D1" w:rsidP="006973D1">
      <w:pPr>
        <w:pStyle w:val="Rubrik5utannumrering"/>
      </w:pPr>
      <w:r w:rsidRPr="00FC16E0">
        <w:lastRenderedPageBreak/>
        <w:t>Konsekvenserna av retroaktiv verkan</w:t>
      </w:r>
    </w:p>
    <w:p w14:paraId="22641BEB" w14:textId="77777777" w:rsidR="006973D1" w:rsidRDefault="006973D1" w:rsidP="006973D1">
      <w:pPr>
        <w:pStyle w:val="Brdtext"/>
      </w:pPr>
      <w:r>
        <w:t xml:space="preserve">Med den övergångsbestämmelse som nu föreslås kommer de nya bestämmelserna om ett erkännandeförbud utan undantag gälla även för sådana månggiften som har registrerats i folkbokföringen och som hittills har kunnat erkännas i Sverige i enlighet med de äldre bestämmelser som varit tillämpliga. </w:t>
      </w:r>
    </w:p>
    <w:p w14:paraId="758FBEDD" w14:textId="77777777" w:rsidR="006973D1" w:rsidRPr="00F60C02" w:rsidRDefault="006973D1" w:rsidP="006973D1">
      <w:pPr>
        <w:pStyle w:val="Brdtextmedindrag"/>
      </w:pPr>
      <w:r>
        <w:t xml:space="preserve">Frågan om erkännande prövas i varje enskilt fall och av varje myndighet för sig. Den bedömning en myndighet har gjort är inte bindande för andra myndigheter. Att frågan om äktenskapets erkännande kan bedömas olika i olika fall är således inget nytt. Den föreslagna övergångsbestämmelsen medför att även äktenskap som har registrerats inte längre, i ett enskilt fall, ska kunna erkännas. Att de nya bestämmelserna blir tillämpliga, och det därmed inte längre finns något utrymme för att inom ramen för en enskild prövning erkänna äktenskapet, har alltså enbart framåtverkande effekt, och gäller vid framtida prövningar där frågan om äktenskapets giltighet är aktuell. Vid en sådan prövning kan äktenskapet aldrig erkännas. Däremot innebär den retroaktiva verkan inte att prövningar som myndigheter tidigare gjort, där äktenskapet har erkänts, ska omprövas, vilket </w:t>
      </w:r>
      <w:r w:rsidRPr="00C30F93">
        <w:rPr>
          <w:i/>
          <w:iCs/>
        </w:rPr>
        <w:t>Skatte</w:t>
      </w:r>
      <w:r>
        <w:rPr>
          <w:i/>
          <w:iCs/>
        </w:rPr>
        <w:softHyphen/>
      </w:r>
      <w:r w:rsidRPr="00C30F93">
        <w:rPr>
          <w:i/>
          <w:iCs/>
        </w:rPr>
        <w:t>verket</w:t>
      </w:r>
      <w:r>
        <w:t xml:space="preserve"> uttrycker en oro för. Ändringarna påverkar t.ex. inte frågan om faderskap för ett barn som fötts när äldre bestämmelser varit tillämpliga där äktenskapet erkändes inom ramen för frågan om faderskapet. Motsvarande gäller för frågan om vårdnaden av barn. Den gemensamma vårdnad som uppkommit till följd av att ett äktenskap tidigare har erkänts består alltså (jfr. 6 kap. 3 § föräldrabalken), oberoende av att äktenskapet framöver aldrig kan erkännas. </w:t>
      </w:r>
    </w:p>
    <w:p w14:paraId="269A22D7" w14:textId="77777777" w:rsidR="006973D1" w:rsidRDefault="006973D1" w:rsidP="006973D1">
      <w:pPr>
        <w:pStyle w:val="Rubrik5efterram"/>
      </w:pPr>
      <w:r>
        <w:t>Övriga föreslagna lagändringar</w:t>
      </w:r>
    </w:p>
    <w:p w14:paraId="7C0B21ED" w14:textId="1BEA9FB8" w:rsidR="00DF1DF6" w:rsidRPr="00DF1DF6" w:rsidRDefault="006973D1" w:rsidP="00DF1DF6">
      <w:pPr>
        <w:pStyle w:val="Brdtext"/>
      </w:pPr>
      <w:r>
        <w:t>Av 2 kap. 10 § regeringsformen följer att ingen får dömas till en svårare brottspåföljd för gärningen än vad som var föreskrivet när den begicks. Principen har kommit till uttryck i 5 § lagen (1964:163) om införande av brottsbalken. Det är därför inte nödvändigt med en</w:t>
      </w:r>
      <w:r w:rsidDel="006C3B11">
        <w:t xml:space="preserve"> </w:t>
      </w:r>
      <w:r>
        <w:t xml:space="preserve">övergångsbestämmelse till de ändringar i brottsbalken som nu föreslås. För </w:t>
      </w:r>
      <w:r w:rsidRPr="00766368">
        <w:t>processrättslig lagstift</w:t>
      </w:r>
      <w:r>
        <w:softHyphen/>
      </w:r>
      <w:r w:rsidRPr="00766368">
        <w:t>ning gäller</w:t>
      </w:r>
      <w:r>
        <w:t xml:space="preserve"> </w:t>
      </w:r>
      <w:r w:rsidRPr="00766368">
        <w:t xml:space="preserve">att nya bestämmelser ska tillämpas genast efter ikraftträdandet. Det innebär att de ska tillämpas på varje processuell företeelse som inträffar efter det att regleringen har trätt i kraft. </w:t>
      </w:r>
      <w:r>
        <w:t xml:space="preserve">Det ska gälla också </w:t>
      </w:r>
      <w:r w:rsidRPr="00766368">
        <w:t xml:space="preserve">för </w:t>
      </w:r>
      <w:r>
        <w:t xml:space="preserve">den </w:t>
      </w:r>
      <w:r w:rsidRPr="00766368">
        <w:t>föreslagna ändring</w:t>
      </w:r>
      <w:r>
        <w:t>en</w:t>
      </w:r>
      <w:r w:rsidRPr="00766368">
        <w:t xml:space="preserve"> i rättegångsbalken</w:t>
      </w:r>
      <w:r>
        <w:t xml:space="preserve"> om användning av hemliga tvångsmedel</w:t>
      </w:r>
      <w:r w:rsidRPr="00766368">
        <w:t>.</w:t>
      </w:r>
    </w:p>
    <w:p w14:paraId="6B782012" w14:textId="77777777" w:rsidR="00DF1DF6" w:rsidRDefault="00DF1DF6">
      <w:pPr>
        <w:spacing w:line="2" w:lineRule="auto"/>
        <w:rPr>
          <w:rFonts w:ascii="Times New Roman" w:eastAsiaTheme="minorHAnsi" w:hAnsi="Times New Roman" w:cstheme="minorBidi"/>
          <w:kern w:val="28"/>
          <w:sz w:val="30"/>
          <w:szCs w:val="22"/>
        </w:rPr>
      </w:pPr>
      <w:bookmarkStart w:id="130" w:name="_Toc221561263"/>
      <w:r>
        <w:br w:type="page"/>
      </w:r>
    </w:p>
    <w:p w14:paraId="2204424C" w14:textId="57D041C6" w:rsidR="006973D1" w:rsidRDefault="006973D1" w:rsidP="006973D1">
      <w:pPr>
        <w:pStyle w:val="Rubrik1"/>
      </w:pPr>
      <w:bookmarkStart w:id="131" w:name="_Toc224807615"/>
      <w:r>
        <w:lastRenderedPageBreak/>
        <w:t>Konsekvenser</w:t>
      </w:r>
      <w:bookmarkEnd w:id="130"/>
      <w:bookmarkEnd w:id="131"/>
    </w:p>
    <w:p w14:paraId="18701F7A" w14:textId="77777777" w:rsidR="006973D1" w:rsidRDefault="006973D1" w:rsidP="006973D1">
      <w:pPr>
        <w:pStyle w:val="Rubrik2"/>
        <w:spacing w:before="0"/>
      </w:pPr>
      <w:bookmarkStart w:id="132" w:name="_Toc221561264"/>
      <w:bookmarkStart w:id="133" w:name="_Toc224807616"/>
      <w:r w:rsidRPr="00545C7E">
        <w:t>Konsekvenser för det brottsbekämpande arbetet och för enskilda</w:t>
      </w:r>
      <w:bookmarkEnd w:id="132"/>
      <w:bookmarkEnd w:id="133"/>
    </w:p>
    <w:p w14:paraId="207448D7" w14:textId="77777777" w:rsidR="006973D1" w:rsidRDefault="006973D1" w:rsidP="006973D1">
      <w:pPr>
        <w:pStyle w:val="Rubrik4ram"/>
      </w:pPr>
      <w:r>
        <w:t>Regeringens bedömning</w:t>
      </w:r>
    </w:p>
    <w:p w14:paraId="281B1874" w14:textId="77777777" w:rsidR="006973D1" w:rsidRDefault="006973D1" w:rsidP="006973D1">
      <w:pPr>
        <w:pStyle w:val="Brdtextram"/>
      </w:pPr>
      <w:r>
        <w:t xml:space="preserve">Förslagen medför i viss utsträckning konsekvenser för brottsligheten och det brottsförebyggande arbetet. </w:t>
      </w:r>
    </w:p>
    <w:p w14:paraId="3285E465" w14:textId="77777777" w:rsidR="006973D1" w:rsidRDefault="006973D1" w:rsidP="006973D1">
      <w:pPr>
        <w:pStyle w:val="Brdtextmedindragram"/>
      </w:pPr>
      <w:r>
        <w:t xml:space="preserve">Förslaget om att hemliga tvångsmedel ska få användas i utredningar om äktenskapstvång och barnäktenskapsbrott innebär en ökad risk för den personliga integriteten men bidrar samtidigt till att förbättra möjligheterna för de brottsbekämpande myndigheterna att upptäcka, utreda och lagföra hedersrelaterad brottslighet vilket innebär en ökad rättstrygghet för enskilda. </w:t>
      </w:r>
    </w:p>
    <w:p w14:paraId="5597D0C1" w14:textId="77777777" w:rsidR="006973D1" w:rsidRDefault="006973D1" w:rsidP="006973D1">
      <w:pPr>
        <w:pStyle w:val="Brdtextmedindragram"/>
      </w:pPr>
      <w:bookmarkStart w:id="134" w:name="_Hlk219320448"/>
      <w:r>
        <w:t>Förslagen bedöms få positiva effekter för barn genom att de bidrar till att skydda dem från att fara illa och stärka deras självbestämmande.</w:t>
      </w:r>
    </w:p>
    <w:p w14:paraId="3C3062B1" w14:textId="77777777" w:rsidR="006973D1" w:rsidRDefault="006973D1" w:rsidP="006973D1">
      <w:pPr>
        <w:pStyle w:val="Brdtextmedindragram"/>
      </w:pPr>
      <w:r>
        <w:t>Vidare förväntas förslagen bidra till en ökad jämställdhet</w:t>
      </w:r>
      <w:r w:rsidDel="008978EE">
        <w:t xml:space="preserve"> </w:t>
      </w:r>
      <w:r>
        <w:t>och förbättrade möjligheter att nå de integrationspolitiska målen</w:t>
      </w:r>
      <w:bookmarkEnd w:id="134"/>
      <w:r>
        <w:t xml:space="preserve">. </w:t>
      </w:r>
    </w:p>
    <w:p w14:paraId="2746ED54" w14:textId="77777777" w:rsidR="006973D1" w:rsidRDefault="006973D1" w:rsidP="006973D1">
      <w:pPr>
        <w:pStyle w:val="Rubrik4efterram"/>
      </w:pPr>
      <w:r>
        <w:t>Utredningens bedömning</w:t>
      </w:r>
    </w:p>
    <w:p w14:paraId="670B7EDD" w14:textId="77777777" w:rsidR="006973D1" w:rsidRDefault="006973D1" w:rsidP="006973D1">
      <w:pPr>
        <w:pStyle w:val="Brdtext"/>
      </w:pPr>
      <w:r>
        <w:t xml:space="preserve">Utredningens bedömning överensstämmer med regeringens. </w:t>
      </w:r>
    </w:p>
    <w:p w14:paraId="3F0ECBD6" w14:textId="77777777" w:rsidR="006973D1" w:rsidRDefault="006973D1" w:rsidP="006973D1">
      <w:pPr>
        <w:pStyle w:val="Rubrik4efterram"/>
      </w:pPr>
      <w:r>
        <w:t>Remissinstanserna</w:t>
      </w:r>
    </w:p>
    <w:p w14:paraId="35AEABA2" w14:textId="77777777" w:rsidR="006973D1" w:rsidRDefault="006973D1" w:rsidP="006973D1">
      <w:pPr>
        <w:pStyle w:val="Brdtext"/>
      </w:pPr>
      <w:r>
        <w:t xml:space="preserve">De flesta remissinstanser har ingen invändning mot eller yttrar sig inte särskilt över bedömningen. </w:t>
      </w:r>
    </w:p>
    <w:p w14:paraId="08FB25FE" w14:textId="77777777" w:rsidR="006973D1" w:rsidRDefault="006973D1" w:rsidP="006973D1">
      <w:pPr>
        <w:pStyle w:val="Brdtextmedindrag"/>
      </w:pPr>
      <w:r>
        <w:t xml:space="preserve">Några remissinstanser, </w:t>
      </w:r>
      <w:r w:rsidRPr="00DE059E">
        <w:t>bl.a.</w:t>
      </w:r>
      <w:r>
        <w:rPr>
          <w:i/>
          <w:iCs/>
        </w:rPr>
        <w:t xml:space="preserve"> Uppsala universitet (Nationellt centrum för kvinnofrid)</w:t>
      </w:r>
      <w:r>
        <w:t xml:space="preserve"> och </w:t>
      </w:r>
      <w:r>
        <w:rPr>
          <w:i/>
          <w:iCs/>
        </w:rPr>
        <w:t>Riksorganisationen för kvinnojourer och tjejjourer i Sverige</w:t>
      </w:r>
      <w:r>
        <w:t xml:space="preserve">, lyfter frågan om risk för diskriminering på så sätt att förslagen används mot vissa grupper av människor, framför allt minoriteter. </w:t>
      </w:r>
      <w:r w:rsidRPr="00DE059E">
        <w:t xml:space="preserve">Riksorganisationen </w:t>
      </w:r>
      <w:r>
        <w:t>anser vidare att det saknas stöd för att förslagen bidrar till syftet med de jämställdhets</w:t>
      </w:r>
      <w:r>
        <w:softHyphen/>
        <w:t xml:space="preserve">politiska delmålen. </w:t>
      </w:r>
    </w:p>
    <w:p w14:paraId="25ED4755" w14:textId="77777777" w:rsidR="006973D1" w:rsidRPr="00094D3D" w:rsidRDefault="006973D1" w:rsidP="006973D1">
      <w:pPr>
        <w:pStyle w:val="Rubrik4efterram"/>
      </w:pPr>
      <w:r>
        <w:t>Skälen för regeringens bedömning</w:t>
      </w:r>
    </w:p>
    <w:p w14:paraId="1AD65B5A" w14:textId="77777777" w:rsidR="006973D1" w:rsidRDefault="006973D1" w:rsidP="006973D1">
      <w:pPr>
        <w:pStyle w:val="Rubrik5efterram"/>
        <w:spacing w:before="0"/>
      </w:pPr>
      <w:r w:rsidRPr="00EE5035">
        <w:t xml:space="preserve">Konsekvenser för </w:t>
      </w:r>
      <w:r>
        <w:t>brottsligheten</w:t>
      </w:r>
      <w:r w:rsidRPr="00EE5035">
        <w:t xml:space="preserve"> </w:t>
      </w:r>
      <w:r>
        <w:t xml:space="preserve">och </w:t>
      </w:r>
      <w:r w:rsidRPr="00EE5035">
        <w:t>det brottsbekämpande arbetet</w:t>
      </w:r>
    </w:p>
    <w:p w14:paraId="2C7B4C83" w14:textId="77777777" w:rsidR="006973D1" w:rsidRPr="00427C6C" w:rsidRDefault="006973D1" w:rsidP="006973D1">
      <w:pPr>
        <w:pStyle w:val="Brdtext"/>
      </w:pPr>
      <w:r>
        <w:t>De förslag som lämnas om ett utvidgat tillämpningsområde för vissa hedersrelaterade brott och en skärpning av straffskalorna, tillsammans med det utvidgade området för hemliga tvångsmedel, kan antas leda till att fler döms för brott och att brotten leder till strängare påföljder. De brott som förslagen rör är ofta sådana brott som föregås av mer planering. Det kan därför antas att förslagen om att utvidga straff</w:t>
      </w:r>
      <w:r>
        <w:softHyphen/>
        <w:t>ansvaret för vissa hedersrelaterade brott kan ha viss betydelse för benägenheten att begå brott. Vidare kan de föreslagna höjningarna av straffskalorna bidra till att stärka det straffrättsliga skyddet för de personer som riskerar att utsättas för brotten. Förslaget om att hemliga tvångs</w:t>
      </w:r>
      <w:r>
        <w:softHyphen/>
        <w:t>medel ska få användas i utredningar om äktenskapstvång och barnäkten</w:t>
      </w:r>
      <w:r>
        <w:softHyphen/>
        <w:t xml:space="preserve">skapsbrott innebär att de brottsbekämpande myndigheterna kommer att ha ett viktigt verktyg i </w:t>
      </w:r>
      <w:r>
        <w:lastRenderedPageBreak/>
        <w:t>arbetet med att upptäcka, utreda och lagföra heders</w:t>
      </w:r>
      <w:r>
        <w:softHyphen/>
        <w:t>relaterad brottslighet. Genom att lagstiftningen blir mer heltäckande och ändamålsenlig ger den, tillsammans med andra åtgärder, bättre förutsätt</w:t>
      </w:r>
      <w:r>
        <w:softHyphen/>
        <w:t xml:space="preserve">ningar för att bekämpa hedersrelaterad brottslighet. Förslagen kan därmed förväntas ha viss positiv påverkan på brottsligheten. </w:t>
      </w:r>
    </w:p>
    <w:p w14:paraId="1132F5A4" w14:textId="77777777" w:rsidR="006973D1" w:rsidRDefault="006973D1" w:rsidP="006973D1">
      <w:pPr>
        <w:pStyle w:val="Rubrik5utannumrering"/>
      </w:pPr>
      <w:r>
        <w:t>Konsekvenser för enskilda</w:t>
      </w:r>
    </w:p>
    <w:p w14:paraId="6B0642F5" w14:textId="27072A7F" w:rsidR="006973D1" w:rsidRPr="00A81C84" w:rsidRDefault="006973D1" w:rsidP="006973D1">
      <w:pPr>
        <w:pStyle w:val="Brdtext"/>
      </w:pPr>
      <w:r w:rsidRPr="0062015B">
        <w:t>Förslaget om att hemliga tvångsmedel ska få användas i utredningar om</w:t>
      </w:r>
      <w:r>
        <w:t xml:space="preserve"> </w:t>
      </w:r>
      <w:r w:rsidRPr="0062015B">
        <w:t xml:space="preserve">äktenskapstvång och barnäktenskapsbrott innebär </w:t>
      </w:r>
      <w:r>
        <w:t xml:space="preserve">en ökad risk för </w:t>
      </w:r>
      <w:r w:rsidRPr="00A81C84">
        <w:t>intrång i den personliga integriteten</w:t>
      </w:r>
      <w:r>
        <w:t xml:space="preserve">. </w:t>
      </w:r>
      <w:r w:rsidRPr="0062015B">
        <w:t>Genom hemliga</w:t>
      </w:r>
      <w:r>
        <w:t xml:space="preserve"> </w:t>
      </w:r>
      <w:r w:rsidRPr="0062015B">
        <w:t>tvångsmedel kan bl.a. integritetskänsliga uppgifter hämtas in och</w:t>
      </w:r>
      <w:r>
        <w:t xml:space="preserve"> </w:t>
      </w:r>
      <w:r w:rsidRPr="0062015B">
        <w:t>enskildas personliga förhållan</w:t>
      </w:r>
      <w:r>
        <w:softHyphen/>
      </w:r>
      <w:r w:rsidRPr="0062015B">
        <w:t xml:space="preserve">den övervakas. </w:t>
      </w:r>
      <w:r>
        <w:t xml:space="preserve">Det utökade användningsområdet för hemliga tvångsmedel innebär samtidigt att </w:t>
      </w:r>
      <w:r w:rsidRPr="0062015B">
        <w:t>de</w:t>
      </w:r>
      <w:r>
        <w:t xml:space="preserve"> </w:t>
      </w:r>
      <w:r w:rsidRPr="0062015B">
        <w:t xml:space="preserve">brottsbekämpande myndigheterna kommer att ha ett viktigt verktyg </w:t>
      </w:r>
      <w:r>
        <w:t xml:space="preserve">i </w:t>
      </w:r>
      <w:r w:rsidRPr="0062015B">
        <w:t>arbetet med att upptäcka, utreda och lagföra heders</w:t>
      </w:r>
      <w:r>
        <w:softHyphen/>
      </w:r>
      <w:r w:rsidRPr="0062015B">
        <w:t>relaterad</w:t>
      </w:r>
      <w:r>
        <w:t xml:space="preserve"> </w:t>
      </w:r>
      <w:r w:rsidRPr="0062015B">
        <w:t>brotts</w:t>
      </w:r>
      <w:r>
        <w:t>l</w:t>
      </w:r>
      <w:r w:rsidRPr="0062015B">
        <w:t xml:space="preserve">ighet. </w:t>
      </w:r>
      <w:r>
        <w:t>Staten har ett ansvar att skydda enskilda från att utsättas för brott av andra. Användning av hemliga tvångsmedel i utred</w:t>
      </w:r>
      <w:r>
        <w:softHyphen/>
        <w:t xml:space="preserve">ningar om äktenskapstvång och barnäktenskapsbrott, tillsammans med det utvidgade straffbara området, kan antas bidra till att fler kan skyddas från att utsättas för brott. Regeringen gör i avsnitt </w:t>
      </w:r>
      <w:r w:rsidR="00EB5551">
        <w:t>6.4</w:t>
      </w:r>
      <w:r>
        <w:t xml:space="preserve"> bedöm</w:t>
      </w:r>
      <w:r>
        <w:softHyphen/>
        <w:t xml:space="preserve">ningen att förslagen </w:t>
      </w:r>
      <w:r w:rsidRPr="002007D0">
        <w:t>sammantaget innebär en rimlig avvägning mellan behovet av en effektiv brottsbekämpning och den</w:t>
      </w:r>
      <w:r>
        <w:t xml:space="preserve"> </w:t>
      </w:r>
      <w:r w:rsidRPr="002007D0">
        <w:t>enskildes rätt till skydd för sin personliga integritet.</w:t>
      </w:r>
      <w:r w:rsidRPr="00CD26A7">
        <w:t xml:space="preserve"> </w:t>
      </w:r>
    </w:p>
    <w:p w14:paraId="6A439B8D" w14:textId="316DFA83" w:rsidR="006973D1" w:rsidRDefault="006973D1" w:rsidP="006973D1">
      <w:pPr>
        <w:pStyle w:val="Brdtextmedindrag"/>
      </w:pPr>
      <w:r>
        <w:t xml:space="preserve">Några remissinstanser, bl.a. </w:t>
      </w:r>
      <w:r>
        <w:rPr>
          <w:i/>
          <w:iCs/>
        </w:rPr>
        <w:t xml:space="preserve">ECPAT </w:t>
      </w:r>
      <w:r>
        <w:t xml:space="preserve">och </w:t>
      </w:r>
      <w:r>
        <w:rPr>
          <w:i/>
          <w:iCs/>
        </w:rPr>
        <w:t>Brottsförebyggande rådet</w:t>
      </w:r>
      <w:r w:rsidRPr="00DE059E">
        <w:t>,</w:t>
      </w:r>
      <w:r>
        <w:rPr>
          <w:i/>
          <w:iCs/>
        </w:rPr>
        <w:t xml:space="preserve"> </w:t>
      </w:r>
      <w:r>
        <w:t>efterfrågar en mer genomgripande konsekvensanalys utifrån barnets rättig</w:t>
      </w:r>
      <w:r>
        <w:softHyphen/>
        <w:t xml:space="preserve">heter. </w:t>
      </w:r>
      <w:r w:rsidRPr="00EE5035">
        <w:t>Sedan</w:t>
      </w:r>
      <w:r w:rsidRPr="002007D0">
        <w:t xml:space="preserve"> den 1</w:t>
      </w:r>
      <w:r>
        <w:t> </w:t>
      </w:r>
      <w:r w:rsidRPr="002007D0">
        <w:t>januari</w:t>
      </w:r>
      <w:r>
        <w:t> </w:t>
      </w:r>
      <w:r w:rsidRPr="002007D0">
        <w:t>2020 gäller barnkonventionen som lag i Sverige. All</w:t>
      </w:r>
      <w:r>
        <w:rPr>
          <w:b/>
        </w:rPr>
        <w:t xml:space="preserve"> </w:t>
      </w:r>
      <w:r w:rsidRPr="002007D0">
        <w:t>lagstiftning som rör barn ska utformas i överensstämmelse med barnkonventionens bestämmelser (prop.</w:t>
      </w:r>
      <w:r>
        <w:t> </w:t>
      </w:r>
      <w:r w:rsidRPr="002007D0">
        <w:t>2017/18:186 s.</w:t>
      </w:r>
      <w:r>
        <w:t> </w:t>
      </w:r>
      <w:r w:rsidRPr="002007D0">
        <w:t xml:space="preserve">94). För svenskt vidkommande räknas enligt artikel 1 varje människa under 18 år som barn. </w:t>
      </w:r>
      <w:r>
        <w:t>Av artikel 2 framgår</w:t>
      </w:r>
      <w:r w:rsidRPr="002E0C14">
        <w:t xml:space="preserve"> </w:t>
      </w:r>
      <w:r>
        <w:t>att varje barn ska respekteras och tillför</w:t>
      </w:r>
      <w:r>
        <w:softHyphen/>
        <w:t xml:space="preserve">säkras de rättigheter som anges i konventionen </w:t>
      </w:r>
      <w:r w:rsidRPr="002E0C14">
        <w:t>utan åtskillnad av något slag.</w:t>
      </w:r>
      <w:r>
        <w:t xml:space="preserve"> Vidare framgår att </w:t>
      </w:r>
      <w:r w:rsidRPr="0076215E">
        <w:t>alla lämpliga åtgärder</w:t>
      </w:r>
      <w:r>
        <w:t xml:space="preserve"> ska vidtas</w:t>
      </w:r>
      <w:r w:rsidRPr="0076215E">
        <w:t xml:space="preserve"> för att säkerställa att barnet skyddas mot alla former av diskriminering eller bestraffning på grund av föräldrars, vårdnadshavares eller familjemedlemmars ställning, verksamhet, uttryckta åsikter eller tro</w:t>
      </w:r>
      <w:r>
        <w:t>.</w:t>
      </w:r>
      <w:r w:rsidRPr="0076215E">
        <w:t xml:space="preserve"> </w:t>
      </w:r>
      <w:r w:rsidRPr="002007D0">
        <w:t>Av artikel 3 följer att vid alla åtgärder som rör barn, vare sig de vidtas av</w:t>
      </w:r>
      <w:r>
        <w:rPr>
          <w:b/>
        </w:rPr>
        <w:t xml:space="preserve"> </w:t>
      </w:r>
      <w:r w:rsidRPr="002007D0">
        <w:t>offentliga eller privata sociala välfärdsinstitutioner, domstolar,</w:t>
      </w:r>
      <w:r>
        <w:rPr>
          <w:b/>
        </w:rPr>
        <w:t xml:space="preserve"> </w:t>
      </w:r>
      <w:r w:rsidRPr="002007D0">
        <w:t>administrativa myndigheter eller lag</w:t>
      </w:r>
      <w:r>
        <w:softHyphen/>
      </w:r>
      <w:r w:rsidRPr="002007D0">
        <w:t xml:space="preserve">stiftande organ, ska i första hand beaktas vad som bedöms vara barnets bästa. Vid en bedömning av vad </w:t>
      </w:r>
      <w:r w:rsidR="00F04D4C">
        <w:t>s</w:t>
      </w:r>
      <w:r w:rsidRPr="002007D0">
        <w:t xml:space="preserve">om är barnets bästa ingår att ta hänsyn till samtliga grundläggande principer och barnkonventionen i sin helhet. </w:t>
      </w:r>
      <w:r w:rsidR="004944BC">
        <w:t xml:space="preserve">Det går t.ex. inte att tillämpa artikel 3 korrekt om kravet i </w:t>
      </w:r>
      <w:r>
        <w:t xml:space="preserve">artikel 12 </w:t>
      </w:r>
      <w:r w:rsidR="004944BC">
        <w:t>om</w:t>
      </w:r>
      <w:r>
        <w:t xml:space="preserve"> barnets rätt att uttrycka sina åsikter och bli hörd</w:t>
      </w:r>
      <w:r w:rsidR="004944BC">
        <w:t xml:space="preserve"> inte uppfyllts i frågor som rör barnet</w:t>
      </w:r>
      <w:r>
        <w:t xml:space="preserve">. </w:t>
      </w:r>
      <w:r w:rsidRPr="002007D0">
        <w:t>Genom artikel</w:t>
      </w:r>
      <w:r>
        <w:t> </w:t>
      </w:r>
      <w:r w:rsidRPr="002007D0">
        <w:t xml:space="preserve">16 slås vidare </w:t>
      </w:r>
      <w:r w:rsidR="003836AC">
        <w:t xml:space="preserve">fast </w:t>
      </w:r>
      <w:r w:rsidRPr="002007D0">
        <w:t>att</w:t>
      </w:r>
      <w:r>
        <w:t xml:space="preserve"> </w:t>
      </w:r>
      <w:r w:rsidRPr="002007D0">
        <w:t>inget barn får utsättas för god</w:t>
      </w:r>
      <w:r w:rsidR="000F5788">
        <w:softHyphen/>
      </w:r>
      <w:r w:rsidRPr="002007D0">
        <w:t xml:space="preserve">tyckliga ingripanden i bl.a. sitt privatliv. </w:t>
      </w:r>
      <w:r w:rsidRPr="00CD26A7">
        <w:t>Av</w:t>
      </w:r>
      <w:r w:rsidRPr="002007D0">
        <w:t xml:space="preserve"> artikel</w:t>
      </w:r>
      <w:r>
        <w:t> </w:t>
      </w:r>
      <w:r w:rsidRPr="00CD26A7">
        <w:t>19 framgår bl.a. att barn ska skyddas mot alla former av våld.</w:t>
      </w:r>
      <w:r w:rsidRPr="002007D0">
        <w:t xml:space="preserve"> </w:t>
      </w:r>
      <w:r>
        <w:t>Enligt FN:s kommitté för barnets rättigheter (barnrättskommittén) innebär rättigheten i artikel 19 bl.a. att det måste säkerställas att barn som är brottsoffer och vittnen till brott får skydd samt tillgång till upprättelse och gottgörelse (se barnrätts</w:t>
      </w:r>
      <w:r>
        <w:softHyphen/>
        <w:t>kom</w:t>
      </w:r>
      <w:r>
        <w:softHyphen/>
        <w:t xml:space="preserve">mitténs allmänna kommentar nr 13, 2011, Barnets rätt till frihet från alla former av våld). </w:t>
      </w:r>
    </w:p>
    <w:p w14:paraId="3EB35574" w14:textId="1467047A" w:rsidR="006973D1" w:rsidRDefault="006973D1" w:rsidP="006973D1">
      <w:pPr>
        <w:pStyle w:val="Brdtextmedindrag"/>
      </w:pPr>
      <w:r>
        <w:lastRenderedPageBreak/>
        <w:t xml:space="preserve">Regeringen konstaterar att förslagen i </w:t>
      </w:r>
      <w:r w:rsidR="001C25BF">
        <w:t xml:space="preserve">propositionen </w:t>
      </w:r>
      <w:r>
        <w:t>kommer att påverka såväl barn som utsätts för brott som barn som misstänks för brott.</w:t>
      </w:r>
      <w:r w:rsidRPr="00F264E1">
        <w:t xml:space="preserve"> Även barn vars föräldrar begår brott</w:t>
      </w:r>
      <w:r>
        <w:t xml:space="preserve"> och barn som är anhöriga till någon som utsätts för brott </w:t>
      </w:r>
      <w:r w:rsidRPr="00F264E1">
        <w:t>kan komma att påverkas av förslagen</w:t>
      </w:r>
      <w:r>
        <w:t>. Barn</w:t>
      </w:r>
      <w:r w:rsidDel="00006FDA">
        <w:t xml:space="preserve"> </w:t>
      </w:r>
      <w:r>
        <w:t xml:space="preserve">är särskilt utsatta när det gäller den typen av brottslighet som det nu är fråga om. Det är </w:t>
      </w:r>
      <w:r w:rsidRPr="002007D0">
        <w:t xml:space="preserve">också </w:t>
      </w:r>
      <w:r>
        <w:t>fråga om brott som ofta involverar familj eller nära släkt. Barn kommer därmed att påverkas såväl direkt i egenskap av brottsoffer, som indirekt i de fall någon i deras närhet är utsatt för brott, misstänkt för brott eller föremål för hemliga tvångsmedel i någon form. Som</w:t>
      </w:r>
      <w:r>
        <w:rPr>
          <w:i/>
          <w:iCs/>
        </w:rPr>
        <w:t xml:space="preserve"> </w:t>
      </w:r>
      <w:r>
        <w:t xml:space="preserve">bl.a. </w:t>
      </w:r>
      <w:r w:rsidRPr="00A37B08">
        <w:rPr>
          <w:i/>
          <w:iCs/>
        </w:rPr>
        <w:t>Myndig</w:t>
      </w:r>
      <w:r>
        <w:rPr>
          <w:i/>
          <w:iCs/>
        </w:rPr>
        <w:softHyphen/>
      </w:r>
      <w:r w:rsidRPr="00A37B08">
        <w:rPr>
          <w:i/>
          <w:iCs/>
        </w:rPr>
        <w:t>heten för del</w:t>
      </w:r>
      <w:r>
        <w:rPr>
          <w:i/>
          <w:iCs/>
        </w:rPr>
        <w:t>aktighet</w:t>
      </w:r>
      <w:r>
        <w:t xml:space="preserve"> och </w:t>
      </w:r>
      <w:r>
        <w:rPr>
          <w:i/>
          <w:iCs/>
        </w:rPr>
        <w:t>Riksföreningen för skolsköterskor</w:t>
      </w:r>
      <w:r>
        <w:t xml:space="preserve"> lyfter måste barnets rättigheter och rätt till privatliv beaktas vid bedömningen av de åtgärder som ska vidtas</w:t>
      </w:r>
      <w:r w:rsidRPr="00AE67F7">
        <w:t>.</w:t>
      </w:r>
      <w:r>
        <w:t xml:space="preserve"> Regeringen bedömer att de förslag som lämnas i denna </w:t>
      </w:r>
      <w:r w:rsidR="001C25BF">
        <w:t xml:space="preserve">proposition </w:t>
      </w:r>
      <w:r>
        <w:t>är förenliga med de krav som ställs enligt barn</w:t>
      </w:r>
      <w:r>
        <w:softHyphen/>
        <w:t>konven</w:t>
      </w:r>
      <w:r>
        <w:softHyphen/>
        <w:t xml:space="preserve">tionen. </w:t>
      </w:r>
      <w:r w:rsidDel="00E0253B">
        <w:t>G</w:t>
      </w:r>
      <w:r>
        <w:t>enom att de brottsutredande myndigheterna får tillgång till verktyg som kan antas vara effektiva vid utredning</w:t>
      </w:r>
      <w:r w:rsidR="00BB36B0">
        <w:t>ar</w:t>
      </w:r>
      <w:r>
        <w:t xml:space="preserve"> </w:t>
      </w:r>
      <w:r w:rsidR="00BB36B0">
        <w:t>om</w:t>
      </w:r>
      <w:r>
        <w:t xml:space="preserve"> äktenskaps</w:t>
      </w:r>
      <w:r>
        <w:softHyphen/>
        <w:t xml:space="preserve">tvång och barnäktenskapsbrott kan skyddet för barn stärkas. Även det utvidgade straffbelagda området bidrar till att stärka skyddet för barn som riskerar att utsättas för den aktuella typen av brottslighet. </w:t>
      </w:r>
    </w:p>
    <w:p w14:paraId="00E205D5" w14:textId="77777777" w:rsidR="006973D1" w:rsidRDefault="006973D1" w:rsidP="006973D1">
      <w:pPr>
        <w:pStyle w:val="Brdtextmedindrag"/>
      </w:pPr>
      <w:r>
        <w:t xml:space="preserve">Som </w:t>
      </w:r>
      <w:r>
        <w:rPr>
          <w:i/>
          <w:iCs/>
        </w:rPr>
        <w:t xml:space="preserve">Brottsoffermyndigheten </w:t>
      </w:r>
      <w:r>
        <w:t>påtalar bidrar också förslagen till en ökad möjlighet för brottsoffer, såväl barn som vuxna, att få upprättelse i form av ekonomisk kompensation.</w:t>
      </w:r>
    </w:p>
    <w:p w14:paraId="7A0662D0" w14:textId="77777777" w:rsidR="006973D1" w:rsidRDefault="006973D1" w:rsidP="006973D1">
      <w:pPr>
        <w:pStyle w:val="Brdtextmedindrag"/>
      </w:pPr>
      <w:r>
        <w:t xml:space="preserve">När det gäller förslagen om ändringar i regelverket om erkännande av utländska äktenskap berörs närmast den som ingått ett sådant äktenskap och vill att det gäller i Sverige. Vilka konsekvenser som ett nekat erkännande kan få berörs ovan i avsnitt 7. </w:t>
      </w:r>
    </w:p>
    <w:p w14:paraId="6209CCBC" w14:textId="77777777" w:rsidR="006973D1" w:rsidRDefault="006973D1" w:rsidP="006973D1">
      <w:pPr>
        <w:pStyle w:val="Rubrik5efterram"/>
      </w:pPr>
      <w:r>
        <w:t>Övriga konsekvenser</w:t>
      </w:r>
    </w:p>
    <w:p w14:paraId="2D002163" w14:textId="77777777" w:rsidR="006973D1" w:rsidRDefault="006973D1" w:rsidP="006973D1">
      <w:pPr>
        <w:pStyle w:val="Brdtext"/>
      </w:pPr>
      <w:r w:rsidRPr="007C7250">
        <w:t>Tvångsäktenskap</w:t>
      </w:r>
      <w:r>
        <w:t xml:space="preserve"> och</w:t>
      </w:r>
      <w:r w:rsidRPr="007C7250">
        <w:t xml:space="preserve"> barnäktenskap drabbar framför allt flickor och kvinnor. Det är också </w:t>
      </w:r>
      <w:r>
        <w:t xml:space="preserve">flickor och </w:t>
      </w:r>
      <w:r w:rsidRPr="007C7250">
        <w:t>kvinnor som drabbas av den diskrimi</w:t>
      </w:r>
      <w:r>
        <w:softHyphen/>
      </w:r>
      <w:r w:rsidRPr="007C7250">
        <w:t xml:space="preserve">nering som ett </w:t>
      </w:r>
      <w:r>
        <w:t>månggifte</w:t>
      </w:r>
      <w:r w:rsidRPr="007C7250">
        <w:t xml:space="preserve"> innebär. </w:t>
      </w:r>
      <w:r>
        <w:t xml:space="preserve">Förslagen bedöms bidra till att förbättra situationen för flickor, </w:t>
      </w:r>
      <w:r w:rsidRPr="007C7250">
        <w:t>kvinnor</w:t>
      </w:r>
      <w:r>
        <w:t>, pojkar och män</w:t>
      </w:r>
      <w:r w:rsidRPr="007C7250">
        <w:t xml:space="preserve"> </w:t>
      </w:r>
      <w:r>
        <w:t>men även för</w:t>
      </w:r>
      <w:r w:rsidRPr="00EF5051">
        <w:t xml:space="preserve"> hbtqi-personer och personer med funktionsnedsättning</w:t>
      </w:r>
      <w:r>
        <w:t>, som kan vara särskilt utsatta för</w:t>
      </w:r>
      <w:r w:rsidRPr="00EF5051">
        <w:t xml:space="preserve"> hedersrelaterad brottslighet.</w:t>
      </w:r>
      <w:r w:rsidRPr="00076B6F">
        <w:t xml:space="preserve"> </w:t>
      </w:r>
      <w:bookmarkStart w:id="135" w:name="_Hlk216180096"/>
      <w:r>
        <w:t xml:space="preserve">Förslagen bedöms därmed bidra till det övergripande jämställdhetspolitiska målet om </w:t>
      </w:r>
      <w:r w:rsidRPr="00645DC7">
        <w:t>att kvinnor och män ska ha samma makt att forma samhället och sina egna liv</w:t>
      </w:r>
      <w:r>
        <w:t xml:space="preserve"> och delmålet att hedersrelaterat våld och förtryck ska upphöra</w:t>
      </w:r>
      <w:r w:rsidRPr="00645DC7">
        <w:t>.</w:t>
      </w:r>
      <w:r w:rsidRPr="00D45F22">
        <w:t xml:space="preserve"> </w:t>
      </w:r>
      <w:bookmarkEnd w:id="135"/>
      <w:r>
        <w:t>Förslagen ligger också i linje med Sveriges internationella åtaganden om bl.a. avskaffande av diskriminering mot kvinnor samt bekämpning av våld mot kvinnor och skadliga sedvänjor (se Istanbulkonventionen och CEDAW).</w:t>
      </w:r>
    </w:p>
    <w:p w14:paraId="790DABAD" w14:textId="34293BF8" w:rsidR="006973D1" w:rsidRPr="00094D3D" w:rsidRDefault="006973D1" w:rsidP="006973D1">
      <w:pPr>
        <w:pStyle w:val="Brdtextmedindrag"/>
      </w:pPr>
      <w:r w:rsidRPr="00EF5051">
        <w:t>Även när det gäller möjligheterna att nå de integrationspolitiska målen</w:t>
      </w:r>
      <w:r>
        <w:t xml:space="preserve"> </w:t>
      </w:r>
      <w:r w:rsidRPr="00EF5051">
        <w:t>kan förslag</w:t>
      </w:r>
      <w:r w:rsidR="00751382">
        <w:t>en</w:t>
      </w:r>
      <w:r w:rsidRPr="00EF5051">
        <w:t xml:space="preserve"> förväntas få positiva effekter. Ett långsiktigt arbete på många områden mot tvångsäktenskap och barnäktenskap samt andra former av hedersrelaterat våld och förtryck riktas i hög grad mot problem som är integrationspolitiskt centrala.</w:t>
      </w:r>
      <w:r w:rsidRPr="009866B7">
        <w:t xml:space="preserve"> </w:t>
      </w:r>
    </w:p>
    <w:p w14:paraId="1C800E73" w14:textId="4A505475" w:rsidR="006973D1" w:rsidRPr="00094D3D" w:rsidRDefault="006973D1" w:rsidP="006973D1">
      <w:pPr>
        <w:pStyle w:val="Brdtextmedindrag"/>
      </w:pPr>
      <w:r>
        <w:t>Några remissinstanser lyfter att de ser risker med att förslagen används mot vissa grupper, särskilt minoriteter, och att det kan leda till diskrimi</w:t>
      </w:r>
      <w:r>
        <w:softHyphen/>
        <w:t xml:space="preserve">nering och stigmatisering. Det bör i detta sammanhang betonas att förslag som lämnas i denna </w:t>
      </w:r>
      <w:r w:rsidR="001C25BF">
        <w:t xml:space="preserve">proposition </w:t>
      </w:r>
      <w:r>
        <w:t>berör företeelser som kan förekomma i olika typer av sammanhang. Det är viktigt att reglerna tillämpas korrekt och att ingen missgynnas enbart på grund av etnisk tillhörighet, religions</w:t>
      </w:r>
      <w:r>
        <w:softHyphen/>
      </w:r>
      <w:r>
        <w:lastRenderedPageBreak/>
        <w:t xml:space="preserve">tillhörighet </w:t>
      </w:r>
      <w:r w:rsidR="00BB36B0">
        <w:t>elle</w:t>
      </w:r>
      <w:r w:rsidR="00F04D4C">
        <w:t>r</w:t>
      </w:r>
      <w:r>
        <w:t xml:space="preserve"> annan trosuppfattning.</w:t>
      </w:r>
      <w:r w:rsidRPr="00196C31">
        <w:t> </w:t>
      </w:r>
      <w:r>
        <w:t xml:space="preserve">Regeringens bedömning är att förslagen i denna </w:t>
      </w:r>
      <w:r w:rsidR="001C25BF">
        <w:t xml:space="preserve">proposition </w:t>
      </w:r>
      <w:r>
        <w:t xml:space="preserve">inte bör öka risken för diskriminering av enskilda individer. Som redogörs för i avsnitt </w:t>
      </w:r>
      <w:r w:rsidR="00EB5551">
        <w:t>4.3</w:t>
      </w:r>
      <w:r>
        <w:t xml:space="preserve"> är det samtidigt viktigt att vidta andra åtgärder än ändringar av lagstiftning</w:t>
      </w:r>
      <w:r w:rsidDel="00344C19">
        <w:t>en</w:t>
      </w:r>
      <w:r>
        <w:t>, bl.a. i form av kunskapshöjande insatser för att myndig</w:t>
      </w:r>
      <w:r>
        <w:softHyphen/>
        <w:t xml:space="preserve">heter ska ha tillgång till rätt kunskap och bättre verktyg i sitt arbete mot hedersrelaterat våld och förtryck. Regeringen driver också ett omfattande arbete på bred front mot hedersrelaterat våld och förtryck. </w:t>
      </w:r>
    </w:p>
    <w:p w14:paraId="77B71C54" w14:textId="77777777" w:rsidR="006973D1" w:rsidRPr="00545C7E" w:rsidRDefault="006973D1" w:rsidP="006973D1">
      <w:pPr>
        <w:pStyle w:val="Rubrik2"/>
      </w:pPr>
      <w:bookmarkStart w:id="136" w:name="_Toc221561265"/>
      <w:bookmarkStart w:id="137" w:name="_Toc224807617"/>
      <w:r>
        <w:t>Ekonomiska konsekvenser</w:t>
      </w:r>
      <w:bookmarkEnd w:id="136"/>
      <w:bookmarkEnd w:id="137"/>
    </w:p>
    <w:p w14:paraId="46C6B874" w14:textId="77777777" w:rsidR="006973D1" w:rsidRDefault="006973D1" w:rsidP="006973D1">
      <w:pPr>
        <w:pStyle w:val="Rubrik4ram"/>
      </w:pPr>
      <w:r>
        <w:t>Regeringens bedömning</w:t>
      </w:r>
    </w:p>
    <w:p w14:paraId="509F1062" w14:textId="77777777" w:rsidR="006973D1" w:rsidRDefault="006973D1" w:rsidP="006973D1">
      <w:pPr>
        <w:pStyle w:val="Brdtextram"/>
      </w:pPr>
      <w:bookmarkStart w:id="138" w:name="_Hlk216179975"/>
      <w:r>
        <w:t xml:space="preserve">Förslagen medför ökade kostnader för Kriminalvården och anslaget Rättsliga biträden m.m. I enlighet med budgetpropositionen </w:t>
      </w:r>
      <w:r w:rsidRPr="00E40A0B">
        <w:t>för 2026 har medel tillför</w:t>
      </w:r>
      <w:r>
        <w:t>t</w:t>
      </w:r>
      <w:r w:rsidRPr="00E40A0B">
        <w:t>s för att finansiera</w:t>
      </w:r>
      <w:r>
        <w:t xml:space="preserve"> dessa kostnader</w:t>
      </w:r>
      <w:r w:rsidRPr="00E40A0B">
        <w:t>.</w:t>
      </w:r>
      <w:r>
        <w:t xml:space="preserve"> </w:t>
      </w:r>
      <w:r w:rsidRPr="00E40A0B">
        <w:t xml:space="preserve">För övriga berörda myndigheter ryms </w:t>
      </w:r>
      <w:r>
        <w:t xml:space="preserve">kostnadsökningarna </w:t>
      </w:r>
      <w:r w:rsidRPr="00E40A0B">
        <w:t>inom myndigheternas befintliga ekonomiska anslag.</w:t>
      </w:r>
      <w:r w:rsidRPr="00D942FC">
        <w:rPr>
          <w:rFonts w:asciiTheme="minorHAnsi" w:hAnsiTheme="minorHAnsi"/>
          <w:sz w:val="22"/>
        </w:rPr>
        <w:t xml:space="preserve"> </w:t>
      </w:r>
    </w:p>
    <w:bookmarkEnd w:id="138"/>
    <w:p w14:paraId="01445C11" w14:textId="77777777" w:rsidR="006973D1" w:rsidRDefault="006973D1" w:rsidP="006973D1">
      <w:pPr>
        <w:pStyle w:val="Rubrik4efterram"/>
      </w:pPr>
      <w:r>
        <w:t xml:space="preserve">Utredningens bedömning </w:t>
      </w:r>
    </w:p>
    <w:p w14:paraId="368CB132" w14:textId="77777777" w:rsidR="006973D1" w:rsidRDefault="006973D1" w:rsidP="006973D1">
      <w:pPr>
        <w:pStyle w:val="Brdtextmedindrag"/>
        <w:ind w:firstLine="0"/>
      </w:pPr>
      <w:r>
        <w:t xml:space="preserve">Utredningens bedömning </w:t>
      </w:r>
      <w:r w:rsidRPr="00545C7E">
        <w:t>överensstämmer i huvudsak med regeringens</w:t>
      </w:r>
      <w:r>
        <w:t>. Utredningen gör bedömningen att även Polismyndigheten och Skatte</w:t>
      </w:r>
      <w:r>
        <w:softHyphen/>
        <w:t xml:space="preserve">verket behöver tilldelas mer resurser på grund av förslagen. </w:t>
      </w:r>
    </w:p>
    <w:p w14:paraId="4E76ADC5" w14:textId="77777777" w:rsidR="006973D1" w:rsidRDefault="006973D1" w:rsidP="006973D1">
      <w:pPr>
        <w:pStyle w:val="Rubrik4utannumrering"/>
      </w:pPr>
      <w:r>
        <w:t>Remissinstanserna</w:t>
      </w:r>
    </w:p>
    <w:p w14:paraId="39F5455E" w14:textId="77777777" w:rsidR="006973D1" w:rsidRDefault="006973D1" w:rsidP="006973D1">
      <w:pPr>
        <w:pStyle w:val="Brdtext"/>
      </w:pPr>
      <w:r>
        <w:t xml:space="preserve">De flesta av remissinstanserna yttrar sig inte särskilt om utredningens bedömning av de ekonomiska konsekvenserna av förslagen. </w:t>
      </w:r>
    </w:p>
    <w:p w14:paraId="11730915" w14:textId="77777777" w:rsidR="006973D1" w:rsidRPr="00713E92" w:rsidRDefault="006973D1" w:rsidP="006973D1">
      <w:pPr>
        <w:pStyle w:val="Brdtextmedindrag"/>
      </w:pPr>
      <w:r>
        <w:rPr>
          <w:i/>
          <w:iCs/>
        </w:rPr>
        <w:t xml:space="preserve">Kriminalvården </w:t>
      </w:r>
      <w:r w:rsidRPr="00713E92">
        <w:t>noterar att utredningen inte har räknat med kostnader för övervakning under villkorlig frigivning, vilket gör att kostnaden kan vara något underskattad</w:t>
      </w:r>
      <w:r>
        <w:t xml:space="preserve"> och påpekar att kostnaderna för myndigheten kan komma att öka något med anledning av förslagen om skärpta regler för villkorlig frigivning. </w:t>
      </w:r>
    </w:p>
    <w:p w14:paraId="05302D9E" w14:textId="77777777" w:rsidR="006973D1" w:rsidRDefault="006973D1" w:rsidP="006973D1">
      <w:pPr>
        <w:pStyle w:val="Brdtextmedindrag"/>
      </w:pPr>
      <w:r>
        <w:rPr>
          <w:i/>
          <w:iCs/>
        </w:rPr>
        <w:t>Justitiekanslern</w:t>
      </w:r>
      <w:r>
        <w:t xml:space="preserve"> påpekar att ökad användning av hemliga tvångsmedel får stor påverkan på myndigheten. </w:t>
      </w:r>
    </w:p>
    <w:p w14:paraId="2452C8B6" w14:textId="77777777" w:rsidR="006973D1" w:rsidRDefault="006973D1" w:rsidP="006973D1">
      <w:pPr>
        <w:pStyle w:val="Brdtextmedindrag"/>
      </w:pPr>
      <w:r w:rsidRPr="006012CD">
        <w:rPr>
          <w:i/>
          <w:iCs/>
        </w:rPr>
        <w:t>Skatteverket</w:t>
      </w:r>
      <w:r>
        <w:t xml:space="preserve"> delar utredningens bedömning att kostnaderna för myndig</w:t>
      </w:r>
      <w:r>
        <w:softHyphen/>
        <w:t xml:space="preserve">heten av att </w:t>
      </w:r>
      <w:bookmarkStart w:id="139" w:name="_Hlk215263569"/>
      <w:r>
        <w:t>ett absolut erkännandeförbud ska gälla även för registrerade månggiften inte kan hanteras inom verkets befintliga ekonomiska ramar</w:t>
      </w:r>
      <w:bookmarkEnd w:id="139"/>
      <w:r>
        <w:t>.</w:t>
      </w:r>
    </w:p>
    <w:p w14:paraId="16EABE71" w14:textId="77777777" w:rsidR="006973D1" w:rsidRDefault="006973D1" w:rsidP="006973D1">
      <w:pPr>
        <w:pStyle w:val="Brdtextmedindrag"/>
      </w:pPr>
      <w:r w:rsidRPr="008849A2">
        <w:rPr>
          <w:i/>
          <w:iCs/>
        </w:rPr>
        <w:t xml:space="preserve">Migrationsverket </w:t>
      </w:r>
      <w:r>
        <w:t>bedömer att ändringarna inte kommer att få någon större påverkan på myndighetens handläggning och inte innebära några kostnadsökningar.</w:t>
      </w:r>
    </w:p>
    <w:p w14:paraId="4698C41A" w14:textId="77777777" w:rsidR="006973D1" w:rsidRDefault="006973D1" w:rsidP="006973D1">
      <w:pPr>
        <w:pStyle w:val="Brdtextmedindrag"/>
      </w:pPr>
      <w:r>
        <w:rPr>
          <w:i/>
          <w:iCs/>
        </w:rPr>
        <w:t>Polismyndigheten</w:t>
      </w:r>
      <w:r>
        <w:t xml:space="preserve"> delar utredningens analys av de ekonomiska konse</w:t>
      </w:r>
      <w:r>
        <w:softHyphen/>
        <w:t xml:space="preserve">kvenserna men påpekar att en uppskattning på förhand är förenad med svårigheter. </w:t>
      </w:r>
    </w:p>
    <w:p w14:paraId="6DA7E51F" w14:textId="77777777" w:rsidR="006973D1" w:rsidRPr="008849A2" w:rsidRDefault="006973D1" w:rsidP="006973D1">
      <w:pPr>
        <w:pStyle w:val="Brdtextmedindrag"/>
        <w:rPr>
          <w:i/>
          <w:iCs/>
        </w:rPr>
      </w:pPr>
      <w:r>
        <w:rPr>
          <w:i/>
          <w:iCs/>
        </w:rPr>
        <w:t>Domstolsverket</w:t>
      </w:r>
      <w:r>
        <w:t xml:space="preserve"> delar preliminärt utredningens bedömning men påpekar att förändringarna inom straffrätten i stort föranleder behov av att framöver följa upp de samlade effekterna för bl.a. Sveriges Domstolar. </w:t>
      </w:r>
      <w:r>
        <w:rPr>
          <w:i/>
          <w:iCs/>
        </w:rPr>
        <w:t>Sveriges Domareförbund</w:t>
      </w:r>
      <w:r>
        <w:t xml:space="preserve"> framför liknande synpunkter. </w:t>
      </w:r>
      <w:r>
        <w:rPr>
          <w:i/>
          <w:iCs/>
        </w:rPr>
        <w:t xml:space="preserve"> </w:t>
      </w:r>
    </w:p>
    <w:p w14:paraId="5D0DC1A2" w14:textId="77777777" w:rsidR="006973D1" w:rsidRDefault="006973D1" w:rsidP="006973D1">
      <w:pPr>
        <w:pStyle w:val="Rubrik4utannumrering"/>
      </w:pPr>
      <w:r>
        <w:lastRenderedPageBreak/>
        <w:t>Skälen för regeringens bedömning</w:t>
      </w:r>
    </w:p>
    <w:p w14:paraId="73CA48ED" w14:textId="77777777" w:rsidR="006973D1" w:rsidRDefault="006973D1" w:rsidP="006973D1">
      <w:pPr>
        <w:pStyle w:val="Rubrik5efterram"/>
        <w:spacing w:before="0"/>
      </w:pPr>
      <w:r>
        <w:t>Förslagen antas leda till fler ärenden och lagföringar</w:t>
      </w:r>
    </w:p>
    <w:p w14:paraId="325CAD93" w14:textId="77777777" w:rsidR="006973D1" w:rsidRPr="00427C6C" w:rsidRDefault="006973D1" w:rsidP="006973D1">
      <w:pPr>
        <w:pStyle w:val="Brdtextmedindrag"/>
        <w:ind w:firstLine="0"/>
      </w:pPr>
      <w:r w:rsidRPr="00487B86">
        <w:t>Det är inte möjligt att med någon större säkerhet uppskatta hur många fler förundersökningar, åtal, domstolsförhandlingar och slutligen</w:t>
      </w:r>
      <w:r>
        <w:rPr>
          <w:i/>
        </w:rPr>
        <w:t xml:space="preserve"> </w:t>
      </w:r>
      <w:r w:rsidRPr="00487B86">
        <w:t>lagföringar som kommer att bli resultatet av utvidgningen av bestämmelsernas tillämpningsområden. Det är även svårt att uppskatta i vilken utsträckning påföljderna kommer att öka i längd och omfattning. Det beror inte bara på hur många som anmäler brott, hur</w:t>
      </w:r>
      <w:r>
        <w:rPr>
          <w:i/>
        </w:rPr>
        <w:t xml:space="preserve"> </w:t>
      </w:r>
      <w:r w:rsidRPr="00487B86">
        <w:t>myndigheterna prioriterar och hur domstolarna tillämpar de föreslagna bestämmelserna</w:t>
      </w:r>
      <w:r>
        <w:t>,</w:t>
      </w:r>
      <w:r>
        <w:rPr>
          <w:i/>
        </w:rPr>
        <w:t xml:space="preserve"> </w:t>
      </w:r>
      <w:r w:rsidRPr="00487B86">
        <w:t>utan också antalet brott som begås och hur stor andel av dessa brott som klaras upp och kan lagföras.</w:t>
      </w:r>
    </w:p>
    <w:p w14:paraId="287BB573" w14:textId="756F2833" w:rsidR="006973D1" w:rsidRDefault="006973D1" w:rsidP="006973D1">
      <w:pPr>
        <w:pStyle w:val="Rubrik5efterram"/>
      </w:pPr>
      <w:r>
        <w:t>Konsekvenser för de allmänna domstolarna och för anslaget Rättsliga biträden</w:t>
      </w:r>
      <w:r w:rsidR="00F04D4C">
        <w:t xml:space="preserve"> m.m.</w:t>
      </w:r>
    </w:p>
    <w:p w14:paraId="2CECB679" w14:textId="77777777" w:rsidR="006973D1" w:rsidRDefault="006973D1" w:rsidP="006973D1">
      <w:pPr>
        <w:pStyle w:val="Brdtext"/>
      </w:pPr>
      <w:r>
        <w:t>Utvidgningen av det straffbara området för äktenskapstvång och äkten</w:t>
      </w:r>
      <w:r>
        <w:softHyphen/>
        <w:t>skaps</w:t>
      </w:r>
      <w:r>
        <w:softHyphen/>
        <w:t>resebrott och införandet av det nya brottet äktenskapsresebrott mot barn, i kombination med möjligheten att använda hemliga tvångsmedel i förundersökningar om de två förstnämnda brotten, kan antas leda till uppskattningsvis ytter</w:t>
      </w:r>
      <w:r>
        <w:softHyphen/>
        <w:t>ligare 20 lagföringar per år. Kostnads</w:t>
      </w:r>
      <w:r>
        <w:softHyphen/>
        <w:t>ökningarna för de allmänna dom</w:t>
      </w:r>
      <w:r>
        <w:softHyphen/>
        <w:t xml:space="preserve">stolarna är inte större än att de ryms inom befintliga ekonomiska ramar. </w:t>
      </w:r>
    </w:p>
    <w:p w14:paraId="1021148E" w14:textId="661053A4" w:rsidR="006973D1" w:rsidRPr="003F61FF" w:rsidRDefault="006973D1" w:rsidP="006973D1">
      <w:pPr>
        <w:pStyle w:val="Brdtextmedindrag"/>
      </w:pPr>
      <w:r>
        <w:t>Det kan antas att offentlig försvarare och målsägandebiträde kommer att anlitas i fler ärenden än de som kommer att gå vidare till domstol. Uppskattningsvis kan det röra sig om ca 80 ärenden per år. Regeringen</w:t>
      </w:r>
      <w:r w:rsidRPr="00E031CE">
        <w:t xml:space="preserve"> bedömer att anslaget Rättsliga biträden m</w:t>
      </w:r>
      <w:r w:rsidR="00F04D4C">
        <w:t>.</w:t>
      </w:r>
      <w:r w:rsidRPr="00E031CE">
        <w:t xml:space="preserve">m. behöver tillföras medel för att täcka de ökade kostnaderna. </w:t>
      </w:r>
      <w:r>
        <w:t>I enlighet med</w:t>
      </w:r>
      <w:r w:rsidRPr="00E031CE">
        <w:t xml:space="preserve"> </w:t>
      </w:r>
      <w:r w:rsidRPr="001B31FE">
        <w:t xml:space="preserve">budgetpropositionen för 2026 (prop. 2025/26:1 utg.omr. 4 avsnitt 3.9.11) </w:t>
      </w:r>
      <w:r>
        <w:t>har</w:t>
      </w:r>
      <w:r w:rsidRPr="001B31FE">
        <w:t xml:space="preserve"> anslaget Rättsliga biträden</w:t>
      </w:r>
      <w:r w:rsidR="00F04D4C">
        <w:t xml:space="preserve"> m.m.</w:t>
      </w:r>
      <w:r w:rsidRPr="001B31FE">
        <w:t xml:space="preserve"> tillför</w:t>
      </w:r>
      <w:r>
        <w:t>t</w:t>
      </w:r>
      <w:r w:rsidRPr="001B31FE">
        <w:t>s ytterligare 4,3 miljoner kr för 2026</w:t>
      </w:r>
      <w:r>
        <w:t>. A</w:t>
      </w:r>
      <w:r w:rsidRPr="001B31FE">
        <w:t xml:space="preserve">nslaget </w:t>
      </w:r>
      <w:r w:rsidRPr="00F04D4C">
        <w:rPr>
          <w:spacing w:val="-2"/>
        </w:rPr>
        <w:t>beräk</w:t>
      </w:r>
      <w:r w:rsidR="00F04D4C" w:rsidRPr="00F04D4C">
        <w:rPr>
          <w:spacing w:val="-2"/>
        </w:rPr>
        <w:softHyphen/>
      </w:r>
      <w:r w:rsidRPr="00F04D4C">
        <w:rPr>
          <w:spacing w:val="-2"/>
        </w:rPr>
        <w:t>nas öka med 14,7 miljoner kr 2027 och 15,2 miljoner kr från och med 2028</w:t>
      </w:r>
      <w:r w:rsidRPr="001B31FE">
        <w:t>.</w:t>
      </w:r>
      <w:r w:rsidRPr="00E031CE">
        <w:t xml:space="preserve"> </w:t>
      </w:r>
    </w:p>
    <w:p w14:paraId="601E41D5" w14:textId="77777777" w:rsidR="006973D1" w:rsidRDefault="006973D1" w:rsidP="006973D1">
      <w:pPr>
        <w:pStyle w:val="Rubrik5utannumrering"/>
      </w:pPr>
      <w:r>
        <w:t>Konsekvenser för Kriminalvården</w:t>
      </w:r>
    </w:p>
    <w:p w14:paraId="03D075B4" w14:textId="77777777" w:rsidR="006973D1" w:rsidRDefault="006973D1" w:rsidP="006973D1">
      <w:pPr>
        <w:pStyle w:val="Brdtext"/>
      </w:pPr>
      <w:r>
        <w:t>Även Kriminalvården kommer att påverkas av förslagen. Förslagen om utvidgning av det straffbara området för äktenskapstvång och äktenskaps</w:t>
      </w:r>
      <w:r>
        <w:softHyphen/>
        <w:t>resebrott, införandet av det nya brottet äktenskaps</w:t>
      </w:r>
      <w:r>
        <w:softHyphen/>
        <w:t>resebrott mot barn, och förslagen om höjda straffskalor för de nämnda brotten och för barnäkten</w:t>
      </w:r>
      <w:r>
        <w:softHyphen/>
        <w:t>skapsbrott, kan antas leda till att längre straff kommer att dömas ut. En rimlig uppskattning bedöms vara att påföljden i de flesta fall kommer att leda till 1–2 års fängelse för brotten äktenskapstvång och barnäktenskaps</w:t>
      </w:r>
      <w:r>
        <w:softHyphen/>
        <w:t>brott. För äkten</w:t>
      </w:r>
      <w:r>
        <w:softHyphen/>
        <w:t>skapsresebrott och äktenskapsresebrott mot barn kan antas att en frivårdspåföljd kommer att dömas ut i fler fall. Uppskattningsvis kan antas att påföljderna i två fall av tio kommer att leda till fängelse och i resterande fall till en frivårdspåföljd.</w:t>
      </w:r>
    </w:p>
    <w:p w14:paraId="6F402E63" w14:textId="77777777" w:rsidR="006973D1" w:rsidRPr="00BB191F" w:rsidRDefault="006973D1" w:rsidP="006973D1">
      <w:pPr>
        <w:pStyle w:val="Brdtextmedindrag"/>
      </w:pPr>
      <w:r>
        <w:t>R</w:t>
      </w:r>
      <w:r w:rsidRPr="00E031CE">
        <w:t>egeringen</w:t>
      </w:r>
      <w:r>
        <w:t xml:space="preserve"> bedömer</w:t>
      </w:r>
      <w:r w:rsidRPr="00E031CE">
        <w:t xml:space="preserve"> att </w:t>
      </w:r>
      <w:r>
        <w:t xml:space="preserve">Kriminalvårdens anslag </w:t>
      </w:r>
      <w:r w:rsidRPr="00E031CE">
        <w:t xml:space="preserve">behöver tillföras medel för att täcka de ökade kostnaderna. </w:t>
      </w:r>
      <w:r>
        <w:t xml:space="preserve">I enlighet med </w:t>
      </w:r>
      <w:r w:rsidRPr="00E031CE">
        <w:t>budgetpropositionen för 2026 (prop.</w:t>
      </w:r>
      <w:r>
        <w:t> </w:t>
      </w:r>
      <w:r w:rsidRPr="00E031CE">
        <w:t>2025/26:1 utg.omr. 4 avsnitt 3.9.</w:t>
      </w:r>
      <w:r>
        <w:t>6</w:t>
      </w:r>
      <w:r w:rsidRPr="00E031CE">
        <w:t xml:space="preserve">) </w:t>
      </w:r>
      <w:r>
        <w:t>har</w:t>
      </w:r>
      <w:r w:rsidRPr="00E031CE">
        <w:t xml:space="preserve"> anslaget</w:t>
      </w:r>
      <w:r>
        <w:t xml:space="preserve"> för Kriminal</w:t>
      </w:r>
      <w:r>
        <w:softHyphen/>
        <w:t>vården</w:t>
      </w:r>
      <w:r w:rsidRPr="00E031CE">
        <w:t xml:space="preserve"> tillför</w:t>
      </w:r>
      <w:r>
        <w:t>t</w:t>
      </w:r>
      <w:r w:rsidRPr="00E031CE">
        <w:t xml:space="preserve">s ytterligare </w:t>
      </w:r>
      <w:r>
        <w:t>3,3</w:t>
      </w:r>
      <w:r w:rsidRPr="00E031CE">
        <w:t xml:space="preserve"> miljoner</w:t>
      </w:r>
      <w:r>
        <w:t> kr</w:t>
      </w:r>
      <w:r w:rsidRPr="00E031CE">
        <w:t xml:space="preserve"> för 2026</w:t>
      </w:r>
      <w:r>
        <w:t>. Anslaget</w:t>
      </w:r>
      <w:r w:rsidRPr="00E031CE">
        <w:t xml:space="preserve"> beräknas öka med </w:t>
      </w:r>
      <w:r>
        <w:t>16,4</w:t>
      </w:r>
      <w:r w:rsidRPr="00E031CE">
        <w:t xml:space="preserve"> miljoner kr 2027 </w:t>
      </w:r>
      <w:r>
        <w:t>och 32,7 </w:t>
      </w:r>
      <w:r w:rsidRPr="00E031CE">
        <w:t>miljoner kr från och med 2028.</w:t>
      </w:r>
      <w:r w:rsidRPr="00C17935">
        <w:t xml:space="preserve"> </w:t>
      </w:r>
      <w:r>
        <w:t xml:space="preserve">I den kostnaden ingår kostnaden för övervakning under villkorlig frigivning vilket, som </w:t>
      </w:r>
      <w:r w:rsidRPr="00307665">
        <w:rPr>
          <w:i/>
          <w:iCs/>
        </w:rPr>
        <w:t>Kriminalvården</w:t>
      </w:r>
      <w:r>
        <w:t xml:space="preserve"> påpekar, ska ingå i beräk</w:t>
      </w:r>
      <w:r>
        <w:softHyphen/>
        <w:t>ningen.</w:t>
      </w:r>
    </w:p>
    <w:p w14:paraId="0C408E6B" w14:textId="77777777" w:rsidR="006973D1" w:rsidRDefault="006973D1" w:rsidP="006973D1">
      <w:pPr>
        <w:pStyle w:val="Rubrik5efterram"/>
      </w:pPr>
      <w:r>
        <w:lastRenderedPageBreak/>
        <w:t>Konsekvenser för Polismyndigheten och Åklagarmyndigheten</w:t>
      </w:r>
    </w:p>
    <w:p w14:paraId="23A45B7D" w14:textId="77777777" w:rsidR="006973D1" w:rsidRDefault="006973D1" w:rsidP="006973D1">
      <w:pPr>
        <w:pStyle w:val="Brdtextmedindrag"/>
        <w:ind w:firstLine="0"/>
      </w:pPr>
      <w:r>
        <w:t xml:space="preserve">Antalet ärenden hos Polismyndigheten och Åklagarmyndigheten kommer att vara fler än antalet lagföringar. Precis som för offentliga försvarare och målsägandebiträden kan antalet ärenden uppskattas till ca åttio per år. </w:t>
      </w:r>
    </w:p>
    <w:p w14:paraId="7356A239" w14:textId="77777777" w:rsidR="006973D1" w:rsidRPr="00487B86" w:rsidRDefault="006973D1" w:rsidP="006973D1">
      <w:pPr>
        <w:pStyle w:val="Brdtextmedindrag"/>
      </w:pPr>
      <w:r>
        <w:t>Även det utvidgade användningsområdet för hemliga tvångsmedel kommer att innebära kostnadsökningar för myndigheterna. Hemliga tvångsmedel kan uppskattningsvis komma att användas i ca 40 ärenden per år. Kostnaderna för Polismyndigheten består i kostnader för hemliga tvångsmedel och för tolkkostnader.</w:t>
      </w:r>
      <w:r w:rsidRPr="000F57F1">
        <w:t xml:space="preserve"> </w:t>
      </w:r>
      <w:r>
        <w:t>K</w:t>
      </w:r>
      <w:r w:rsidRPr="00AB3110">
        <w:t xml:space="preserve">ostnaderna för användningen av hemliga tvångsmedel </w:t>
      </w:r>
      <w:r>
        <w:t>kommer att</w:t>
      </w:r>
      <w:r w:rsidRPr="00AB3110">
        <w:t xml:space="preserve"> bl.a. bero på antalet personer som blir föremål för </w:t>
      </w:r>
      <w:r>
        <w:t>åtgärderna</w:t>
      </w:r>
      <w:r w:rsidRPr="00AB3110">
        <w:t xml:space="preserve"> och under vilken tidsperiod som </w:t>
      </w:r>
      <w:r>
        <w:t>dessa</w:t>
      </w:r>
      <w:r w:rsidRPr="00AB3110">
        <w:t xml:space="preserve"> ska pågå.</w:t>
      </w:r>
      <w:r>
        <w:t xml:space="preserve"> De kostnadsökningar som förslagen innebär för Polismyndigheten och Åklagarmyndigheten bedöms kunna tas inom myndig</w:t>
      </w:r>
      <w:r>
        <w:softHyphen/>
        <w:t xml:space="preserve">heternas befintliga ekonomiska ramar. </w:t>
      </w:r>
    </w:p>
    <w:p w14:paraId="5D9A606A" w14:textId="77777777" w:rsidR="006973D1" w:rsidRDefault="006973D1" w:rsidP="006973D1">
      <w:pPr>
        <w:pStyle w:val="Rubrik5efterram"/>
      </w:pPr>
      <w:r>
        <w:t xml:space="preserve">Konsekvenser för övriga myndigheter </w:t>
      </w:r>
    </w:p>
    <w:p w14:paraId="06719828" w14:textId="532A354D" w:rsidR="006973D1" w:rsidRDefault="0078629E" w:rsidP="006973D1">
      <w:pPr>
        <w:pStyle w:val="Brdtext"/>
      </w:pPr>
      <w:r>
        <w:t>Säkerhets- och integritetsskyddsnämnden</w:t>
      </w:r>
      <w:r w:rsidRPr="005255DA">
        <w:t xml:space="preserve"> </w:t>
      </w:r>
      <w:r>
        <w:t xml:space="preserve">vid </w:t>
      </w:r>
      <w:r w:rsidR="005255DA" w:rsidRPr="005255DA">
        <w:t>Myndigheten för säkerhet och integritetsskydd</w:t>
      </w:r>
      <w:r w:rsidR="008B06CB">
        <w:t xml:space="preserve"> </w:t>
      </w:r>
      <w:r w:rsidR="006973D1">
        <w:t>utövar tillsyn över bl.a. brotts</w:t>
      </w:r>
      <w:r w:rsidR="006973D1">
        <w:softHyphen/>
        <w:t>be</w:t>
      </w:r>
      <w:r w:rsidR="006973D1">
        <w:softHyphen/>
        <w:t>kämpande myndig</w:t>
      </w:r>
      <w:r w:rsidR="00BF204E">
        <w:softHyphen/>
      </w:r>
      <w:r w:rsidR="006973D1">
        <w:t>heters användning av hemliga tvångsmedel (1 § lagen [</w:t>
      </w:r>
      <w:r w:rsidR="006973D1" w:rsidRPr="00E17A1D">
        <w:t>2007:980</w:t>
      </w:r>
      <w:r w:rsidR="006973D1">
        <w:t>]</w:t>
      </w:r>
      <w:r w:rsidR="006973D1" w:rsidRPr="00E17A1D">
        <w:t xml:space="preserve"> om tillsyn över viss brottsbekämpande verksamhet</w:t>
      </w:r>
      <w:r w:rsidR="006973D1">
        <w:t>). Justitiekanslern har vidare ett generellt tillsynsansvar över de brotts</w:t>
      </w:r>
      <w:r w:rsidR="006973D1">
        <w:softHyphen/>
        <w:t>bekämpande myndig</w:t>
      </w:r>
      <w:r w:rsidR="00BF204E">
        <w:softHyphen/>
      </w:r>
      <w:r w:rsidR="006973D1">
        <w:t>heterna. Justitiekanslern företräder också staten i mål om statens skade</w:t>
      </w:r>
      <w:r w:rsidR="00BF204E">
        <w:softHyphen/>
      </w:r>
      <w:r w:rsidR="006973D1">
        <w:t>ståndsansvar och är mottagare av anmälningar från Säkerhets- och integritets</w:t>
      </w:r>
      <w:r w:rsidR="00BF204E">
        <w:softHyphen/>
      </w:r>
      <w:r w:rsidR="006973D1">
        <w:t>skyddsnämnden i de fall nämnden u</w:t>
      </w:r>
      <w:r w:rsidR="006973D1" w:rsidRPr="00E17A1D">
        <w:t>ppmärk</w:t>
      </w:r>
      <w:r w:rsidR="006973D1">
        <w:softHyphen/>
      </w:r>
      <w:r w:rsidR="006973D1" w:rsidRPr="00E17A1D">
        <w:t>sammar felaktig</w:t>
      </w:r>
      <w:r w:rsidR="00BF204E">
        <w:softHyphen/>
      </w:r>
      <w:r w:rsidR="006973D1" w:rsidRPr="00E17A1D">
        <w:t>heter som kan medföra skadeståndsansvar för staten gentemot en fysisk eller juridisk person</w:t>
      </w:r>
      <w:r w:rsidR="006973D1">
        <w:t xml:space="preserve"> (</w:t>
      </w:r>
      <w:r w:rsidR="00F04D4C">
        <w:t>12</w:t>
      </w:r>
      <w:r w:rsidR="006973D1">
        <w:t> § förordningen [</w:t>
      </w:r>
      <w:r w:rsidR="006973D1" w:rsidRPr="00E17A1D">
        <w:t>20</w:t>
      </w:r>
      <w:r w:rsidR="00F04D4C">
        <w:t>25:1484</w:t>
      </w:r>
      <w:r w:rsidR="006973D1">
        <w:t>]</w:t>
      </w:r>
      <w:r w:rsidR="006973D1" w:rsidRPr="00E17A1D">
        <w:t xml:space="preserve"> med instruktion för </w:t>
      </w:r>
      <w:r w:rsidR="00F04D4C" w:rsidRPr="005255DA">
        <w:t>Myndigheten för säkerhet och integritetsskydd</w:t>
      </w:r>
      <w:r w:rsidR="006973D1">
        <w:t>)</w:t>
      </w:r>
      <w:r w:rsidR="006973D1" w:rsidRPr="00E17A1D">
        <w:t>.</w:t>
      </w:r>
      <w:r w:rsidR="006973D1">
        <w:t xml:space="preserve"> Enligt </w:t>
      </w:r>
      <w:r w:rsidR="006973D1" w:rsidRPr="00E17A1D">
        <w:rPr>
          <w:i/>
          <w:iCs/>
        </w:rPr>
        <w:t>Justitiekanslern</w:t>
      </w:r>
      <w:r w:rsidR="006973D1">
        <w:t xml:space="preserve"> har utökad användning av hemliga tvångsmedel stor påverkan på myndig</w:t>
      </w:r>
      <w:r w:rsidR="00BF204E">
        <w:softHyphen/>
      </w:r>
      <w:r w:rsidR="006973D1">
        <w:t xml:space="preserve">hetens verksamhet. Utökat användningsområde för hemliga tvångsmedel bedöms kunna leda till fler ärenden hos </w:t>
      </w:r>
      <w:r>
        <w:t>Säkerhets- och integritetsskydds</w:t>
      </w:r>
      <w:r>
        <w:softHyphen/>
        <w:t>nämnden</w:t>
      </w:r>
      <w:r w:rsidRPr="005255DA">
        <w:t xml:space="preserve"> </w:t>
      </w:r>
      <w:r w:rsidR="006973D1">
        <w:t xml:space="preserve">och hos Justitiekanslern. Regeringen bedömer dock att de eventuella kostnadsökningar som förslagen medför för nämnden respektive myndigheten inte är större än de kan tas inom befintliga ekonomiska ramar. </w:t>
      </w:r>
    </w:p>
    <w:p w14:paraId="4EE6DB3F" w14:textId="77777777" w:rsidR="006973D1" w:rsidRDefault="006973D1" w:rsidP="006973D1">
      <w:pPr>
        <w:pStyle w:val="Brdtextmedindrag"/>
      </w:pPr>
      <w:r>
        <w:t xml:space="preserve">Förslaget om att otillåtna utländska äktenskap aldrig ska erkännas utan i stället i undantagsfall kunna tillerkännas vissa rättsverkningar innebär inte någon ny uppgift för myndigheterna och kan inte heller förväntas medföra några kostnadsökningar. Redan i dag bedömer till exempel Skatteverket, Migrationsverket och domstolarna om äktenskapen bör beaktas inom ramen för en viss prövning. Utredningen bedömer att förslaget innebär mer tydliga och förutsebara regler, vilket kan förväntas underlätta och effektivisera myndigheternas handläggning. </w:t>
      </w:r>
      <w:r w:rsidRPr="00BF1631">
        <w:rPr>
          <w:i/>
          <w:iCs/>
        </w:rPr>
        <w:t>Migrations</w:t>
      </w:r>
      <w:r>
        <w:rPr>
          <w:i/>
          <w:iCs/>
        </w:rPr>
        <w:softHyphen/>
      </w:r>
      <w:r w:rsidRPr="00BF1631">
        <w:rPr>
          <w:i/>
          <w:iCs/>
        </w:rPr>
        <w:t>verket</w:t>
      </w:r>
      <w:r>
        <w:t xml:space="preserve"> motsätter sig den bedömningen och anser i stället att ändringarna inte kommer få någon större påverkan på myndighetens handläggning. När det gäller andra myndigheter än Skatteverket bör förslaget enligt regeringens bedömning ha endast en begränsad påverkan på handlägg</w:t>
      </w:r>
      <w:r>
        <w:softHyphen/>
        <w:t xml:space="preserve">ningen. För Skatteverkets folkbokföringsverksamhet kan förslaget dock medföra en viss effektivisering eftersom de ifrågavarande utländska äktenskapen aldrig erkänns och någon prövning av om det finns synnerliga skäl aldrig kan bli aktuell. </w:t>
      </w:r>
    </w:p>
    <w:p w14:paraId="0975D9E1" w14:textId="234FB630" w:rsidR="006973D1" w:rsidRDefault="006973D1" w:rsidP="006973D1">
      <w:pPr>
        <w:pStyle w:val="Brdtextmedindrag"/>
      </w:pPr>
      <w:r>
        <w:lastRenderedPageBreak/>
        <w:t>När det gäller förslaget om att det absoluta erkännandeförbudet ska gälla retroaktivt för registrerade månggiften har utredningen bedömt att Skatteverket bör få ett uppdrag om att ändra redan fattade beslut om registrering så att uppgifterna om månggiften tas bort från folkbok</w:t>
      </w:r>
      <w:r>
        <w:softHyphen/>
        <w:t>föringen. Även Skatteverket anser att ett uppdrag behövs för att ompröv</w:t>
      </w:r>
      <w:r>
        <w:softHyphen/>
        <w:t xml:space="preserve">ningen ska kunna ske på ett systematiskt sätt för samtliga pågående registrerade månggiften. Kostnaderna för omprövningen har av såväl utredningen som Skatteverket angetts till 6 miljoner kronor, vilka utredningen anser inte kan hanteras inom Skatteverkets befintliga ramar. </w:t>
      </w:r>
    </w:p>
    <w:p w14:paraId="093445FD" w14:textId="77777777" w:rsidR="006973D1" w:rsidRDefault="006973D1" w:rsidP="006973D1">
      <w:pPr>
        <w:pStyle w:val="Brdtextmedindrag"/>
      </w:pPr>
      <w:r w:rsidRPr="00B654D3">
        <w:t>Skatteverket får ändra redan fattade registreringsbeslut i enskilda ärenden när det finns skäl till det (jfr 34</w:t>
      </w:r>
      <w:r>
        <w:t> §</w:t>
      </w:r>
      <w:r w:rsidRPr="00B654D3">
        <w:t xml:space="preserve"> folkbokföringslagen [1991:481])</w:t>
      </w:r>
      <w:r>
        <w:t>. Eftersom det redan ingår i Skatteverkets ansvar att upp</w:t>
      </w:r>
      <w:r>
        <w:softHyphen/>
        <w:t xml:space="preserve">gifterna i folkbokföringen speglar befolkningens bosättning, identitet och familjerättsliga förhållanden, behöver något sådant uppdrag inte ges. </w:t>
      </w:r>
      <w:r w:rsidRPr="002E2961">
        <w:t>De kostnadsökningar som förslaget innebär för Skatteverket kan hanteras inom myndighetens befintliga ekonomiska ramar.</w:t>
      </w:r>
      <w:r>
        <w:t xml:space="preserve"> </w:t>
      </w:r>
    </w:p>
    <w:p w14:paraId="356DA5B2" w14:textId="77777777" w:rsidR="006973D1" w:rsidRDefault="006973D1" w:rsidP="006973D1">
      <w:pPr>
        <w:pStyle w:val="Rubrik1"/>
      </w:pPr>
      <w:bookmarkStart w:id="140" w:name="_Toc221561266"/>
      <w:bookmarkStart w:id="141" w:name="_Toc224807618"/>
      <w:r>
        <w:t>Författningskommentar</w:t>
      </w:r>
      <w:bookmarkEnd w:id="140"/>
      <w:bookmarkEnd w:id="141"/>
    </w:p>
    <w:p w14:paraId="4A7A6CA3" w14:textId="77777777" w:rsidR="006973D1" w:rsidRDefault="006973D1" w:rsidP="006973D1">
      <w:pPr>
        <w:pStyle w:val="Rubrik2"/>
        <w:spacing w:before="0"/>
      </w:pPr>
      <w:bookmarkStart w:id="142" w:name="_Toc197669550"/>
      <w:bookmarkStart w:id="143" w:name="_Toc221561267"/>
      <w:bookmarkStart w:id="144" w:name="_Toc224807619"/>
      <w:r>
        <w:t>Förslaget till lag om ändring i rättegångsbalken</w:t>
      </w:r>
      <w:bookmarkEnd w:id="142"/>
      <w:bookmarkEnd w:id="143"/>
      <w:bookmarkEnd w:id="144"/>
    </w:p>
    <w:p w14:paraId="55A69449" w14:textId="17242F24" w:rsidR="006973D1" w:rsidRDefault="006973D1" w:rsidP="00C967B5">
      <w:pPr>
        <w:pStyle w:val="Rubrik3utannumrering"/>
        <w:spacing w:before="0"/>
      </w:pPr>
      <w:r w:rsidRPr="00B6337D">
        <w:t>27 kap.</w:t>
      </w:r>
      <w:r w:rsidR="005F4DD9" w:rsidRPr="005F4DD9">
        <w:t xml:space="preserve"> Om beslag, penningbeslag, kopiering, biometrisk autentisering och hemliga tvångsmedel</w:t>
      </w:r>
    </w:p>
    <w:p w14:paraId="33AA7C03" w14:textId="37682BB0" w:rsidR="00493FDA" w:rsidRPr="00493FDA" w:rsidRDefault="00493FDA" w:rsidP="00493FDA">
      <w:pPr>
        <w:pStyle w:val="Rubrik4utannumrering"/>
        <w:spacing w:before="0"/>
      </w:pPr>
      <w:r>
        <w:t>Hemliga tvångsmedel</w:t>
      </w:r>
    </w:p>
    <w:p w14:paraId="518AC369" w14:textId="7A5B53FF" w:rsidR="005F4DD9" w:rsidRPr="005F4DD9" w:rsidRDefault="005F4DD9" w:rsidP="00BF204E">
      <w:pPr>
        <w:pStyle w:val="Rubrik5utannumrering"/>
        <w:spacing w:before="0"/>
      </w:pPr>
      <w:r>
        <w:t>Hemlig avlyssning av elektronisk kommunikation</w:t>
      </w:r>
    </w:p>
    <w:p w14:paraId="7293A403" w14:textId="77777777" w:rsidR="006973D1" w:rsidRPr="006167D9" w:rsidRDefault="006973D1" w:rsidP="006973D1">
      <w:pPr>
        <w:pStyle w:val="Brdtext"/>
        <w:rPr>
          <w:sz w:val="18"/>
          <w:szCs w:val="18"/>
        </w:rPr>
      </w:pPr>
      <w:r w:rsidRPr="006167D9">
        <w:rPr>
          <w:b/>
          <w:bCs/>
          <w:sz w:val="18"/>
          <w:szCs w:val="18"/>
        </w:rPr>
        <w:t>18 a §    </w:t>
      </w:r>
      <w:r w:rsidRPr="006167D9">
        <w:rPr>
          <w:sz w:val="18"/>
          <w:szCs w:val="18"/>
        </w:rPr>
        <w:t>Hemlig avlyssning av elektronisk kommunikation får användas om någon är skäligen misstänkt för brott som avses i andra stycket och åtgärden är av synner</w:t>
      </w:r>
      <w:r>
        <w:rPr>
          <w:sz w:val="18"/>
          <w:szCs w:val="18"/>
        </w:rPr>
        <w:softHyphen/>
      </w:r>
      <w:r w:rsidRPr="006167D9">
        <w:rPr>
          <w:sz w:val="18"/>
          <w:szCs w:val="18"/>
        </w:rPr>
        <w:t>lig vikt för utredningen.</w:t>
      </w:r>
    </w:p>
    <w:p w14:paraId="2507EBB8" w14:textId="77777777" w:rsidR="006973D1" w:rsidRPr="006167D9" w:rsidRDefault="006973D1" w:rsidP="006973D1">
      <w:pPr>
        <w:pStyle w:val="Brdtextmedindrag"/>
        <w:spacing w:line="220" w:lineRule="exact"/>
        <w:rPr>
          <w:sz w:val="18"/>
          <w:szCs w:val="18"/>
        </w:rPr>
      </w:pPr>
      <w:r w:rsidRPr="006167D9">
        <w:rPr>
          <w:spacing w:val="-2"/>
          <w:sz w:val="18"/>
          <w:szCs w:val="18"/>
        </w:rPr>
        <w:t>Hemlig avlyssning av elektronisk kommunikation enligt denna paragraf</w:t>
      </w:r>
      <w:r w:rsidRPr="006167D9">
        <w:rPr>
          <w:sz w:val="18"/>
          <w:szCs w:val="18"/>
        </w:rPr>
        <w:t xml:space="preserve"> får användas vid en förundersökning om </w:t>
      </w:r>
    </w:p>
    <w:p w14:paraId="3BEAC996" w14:textId="77777777" w:rsidR="006973D1" w:rsidRPr="006167D9" w:rsidRDefault="006973D1" w:rsidP="006973D1">
      <w:pPr>
        <w:pStyle w:val="Brdtextmedindrag"/>
        <w:spacing w:line="220" w:lineRule="exact"/>
        <w:rPr>
          <w:sz w:val="18"/>
          <w:szCs w:val="18"/>
        </w:rPr>
      </w:pPr>
      <w:r w:rsidRPr="006167D9">
        <w:rPr>
          <w:sz w:val="18"/>
          <w:szCs w:val="18"/>
        </w:rPr>
        <w:t>1. ett brott för vilket det inte är föreskrivet lindrigare straff än fängelse i två år,</w:t>
      </w:r>
    </w:p>
    <w:p w14:paraId="39444DDE" w14:textId="77777777" w:rsidR="006973D1" w:rsidRPr="006167D9" w:rsidRDefault="006973D1" w:rsidP="006973D1">
      <w:pPr>
        <w:pStyle w:val="Brdtextmedindrag"/>
        <w:spacing w:line="220" w:lineRule="exact"/>
        <w:rPr>
          <w:i/>
          <w:iCs/>
          <w:sz w:val="18"/>
          <w:szCs w:val="18"/>
        </w:rPr>
      </w:pPr>
      <w:r w:rsidRPr="006167D9">
        <w:rPr>
          <w:sz w:val="18"/>
          <w:szCs w:val="18"/>
        </w:rPr>
        <w:t>2. </w:t>
      </w:r>
      <w:r w:rsidRPr="006167D9">
        <w:rPr>
          <w:i/>
          <w:iCs/>
          <w:sz w:val="18"/>
          <w:szCs w:val="18"/>
        </w:rPr>
        <w:t xml:space="preserve">äktenskapstvång, barnäktenskapsbrott eller </w:t>
      </w:r>
      <w:r w:rsidRPr="006167D9">
        <w:rPr>
          <w:sz w:val="18"/>
          <w:szCs w:val="18"/>
        </w:rPr>
        <w:t xml:space="preserve">grovt dataintrång enligt 4 kap. </w:t>
      </w:r>
      <w:r w:rsidRPr="006167D9">
        <w:rPr>
          <w:i/>
          <w:iCs/>
          <w:sz w:val="18"/>
          <w:szCs w:val="18"/>
        </w:rPr>
        <w:t xml:space="preserve">4 c § eller </w:t>
      </w:r>
      <w:r w:rsidRPr="006167D9">
        <w:rPr>
          <w:sz w:val="18"/>
          <w:szCs w:val="18"/>
        </w:rPr>
        <w:t>9 c § andra stycket brottsbalken,</w:t>
      </w:r>
    </w:p>
    <w:p w14:paraId="0C6C1757" w14:textId="77777777" w:rsidR="006973D1" w:rsidRPr="006167D9" w:rsidRDefault="006973D1" w:rsidP="006973D1">
      <w:pPr>
        <w:pStyle w:val="Brdtextmedindrag"/>
        <w:spacing w:line="220" w:lineRule="exact"/>
        <w:rPr>
          <w:sz w:val="18"/>
          <w:szCs w:val="18"/>
        </w:rPr>
      </w:pPr>
      <w:r w:rsidRPr="006167D9">
        <w:rPr>
          <w:sz w:val="18"/>
          <w:szCs w:val="18"/>
        </w:rPr>
        <w:t>3</w:t>
      </w:r>
      <w:r w:rsidRPr="006167D9">
        <w:rPr>
          <w:i/>
          <w:iCs/>
          <w:sz w:val="18"/>
          <w:szCs w:val="18"/>
        </w:rPr>
        <w:t>. </w:t>
      </w:r>
      <w:r w:rsidRPr="006167D9">
        <w:rPr>
          <w:sz w:val="18"/>
          <w:szCs w:val="18"/>
        </w:rPr>
        <w:t>grovt sexuellt övergrepp, sexuellt utnyttjande av barn, sexuellt över</w:t>
      </w:r>
      <w:r w:rsidRPr="006167D9">
        <w:rPr>
          <w:sz w:val="18"/>
          <w:szCs w:val="18"/>
        </w:rPr>
        <w:softHyphen/>
        <w:t xml:space="preserve">grepp mot barn, grovt sexuellt övergrepp mot barn, utnyttjande av barn </w:t>
      </w:r>
      <w:r w:rsidRPr="006167D9">
        <w:rPr>
          <w:spacing w:val="-2"/>
          <w:sz w:val="18"/>
          <w:szCs w:val="18"/>
        </w:rPr>
        <w:t>för sexuell posering, grovt utnyttjande av barn för sexuell posering, utnytt</w:t>
      </w:r>
      <w:r w:rsidRPr="006167D9">
        <w:rPr>
          <w:spacing w:val="-2"/>
          <w:sz w:val="18"/>
          <w:szCs w:val="18"/>
        </w:rPr>
        <w:softHyphen/>
        <w:t>jande</w:t>
      </w:r>
      <w:r w:rsidRPr="006167D9">
        <w:rPr>
          <w:sz w:val="18"/>
          <w:szCs w:val="18"/>
        </w:rPr>
        <w:t xml:space="preserve"> av barn genom köp av sexuell handling, sexuellt ofredande mot barn eller grovt sexuellt ofredande mot barn enligt 6 kap. 2 § tredje stycket, 5 §, 6 §, 8</w:t>
      </w:r>
      <w:r>
        <w:rPr>
          <w:sz w:val="18"/>
          <w:szCs w:val="18"/>
        </w:rPr>
        <w:t> §</w:t>
      </w:r>
      <w:r w:rsidRPr="006167D9">
        <w:rPr>
          <w:sz w:val="18"/>
          <w:szCs w:val="18"/>
        </w:rPr>
        <w:t>, 9 § eller 10 § första eller tredje stycket brottsbalken,</w:t>
      </w:r>
    </w:p>
    <w:p w14:paraId="29C82858" w14:textId="77777777" w:rsidR="006973D1" w:rsidRPr="006167D9" w:rsidRDefault="006973D1" w:rsidP="006973D1">
      <w:pPr>
        <w:pStyle w:val="Brdtextmedindrag"/>
        <w:spacing w:line="220" w:lineRule="exact"/>
        <w:rPr>
          <w:i/>
          <w:iCs/>
          <w:sz w:val="18"/>
          <w:szCs w:val="18"/>
        </w:rPr>
      </w:pPr>
      <w:r w:rsidRPr="006167D9">
        <w:rPr>
          <w:spacing w:val="-4"/>
          <w:sz w:val="18"/>
          <w:szCs w:val="18"/>
        </w:rPr>
        <w:t>4</w:t>
      </w:r>
      <w:r w:rsidRPr="006167D9">
        <w:rPr>
          <w:i/>
          <w:iCs/>
          <w:spacing w:val="-4"/>
          <w:sz w:val="18"/>
          <w:szCs w:val="18"/>
        </w:rPr>
        <w:t>. </w:t>
      </w:r>
      <w:r w:rsidRPr="006167D9">
        <w:rPr>
          <w:spacing w:val="-4"/>
          <w:sz w:val="18"/>
          <w:szCs w:val="18"/>
        </w:rPr>
        <w:t>kontakt för att träffa ett barn i sexuellt syfte enligt 6</w:t>
      </w:r>
      <w:r>
        <w:rPr>
          <w:spacing w:val="-4"/>
          <w:sz w:val="18"/>
          <w:szCs w:val="18"/>
        </w:rPr>
        <w:t> kap.</w:t>
      </w:r>
      <w:r w:rsidRPr="006167D9">
        <w:rPr>
          <w:spacing w:val="-4"/>
          <w:sz w:val="18"/>
          <w:szCs w:val="18"/>
        </w:rPr>
        <w:t xml:space="preserve"> 10 a</w:t>
      </w:r>
      <w:r>
        <w:rPr>
          <w:spacing w:val="-4"/>
          <w:sz w:val="18"/>
          <w:szCs w:val="18"/>
        </w:rPr>
        <w:t> §</w:t>
      </w:r>
      <w:r w:rsidRPr="006167D9">
        <w:rPr>
          <w:spacing w:val="-4"/>
          <w:sz w:val="18"/>
          <w:szCs w:val="18"/>
        </w:rPr>
        <w:t xml:space="preserve"> brotts</w:t>
      </w:r>
      <w:r w:rsidRPr="006167D9">
        <w:rPr>
          <w:spacing w:val="-4"/>
          <w:sz w:val="18"/>
          <w:szCs w:val="18"/>
        </w:rPr>
        <w:softHyphen/>
        <w:t>balken</w:t>
      </w:r>
      <w:r w:rsidRPr="006167D9">
        <w:rPr>
          <w:sz w:val="18"/>
          <w:szCs w:val="18"/>
        </w:rPr>
        <w:t>, om det kan antas att brottet inte leder till endast böter,</w:t>
      </w:r>
    </w:p>
    <w:p w14:paraId="7EC0733C" w14:textId="77777777" w:rsidR="006973D1" w:rsidRPr="006167D9" w:rsidRDefault="006973D1" w:rsidP="006973D1">
      <w:pPr>
        <w:pStyle w:val="Brdtextmedindrag"/>
        <w:spacing w:line="220" w:lineRule="exact"/>
        <w:rPr>
          <w:sz w:val="18"/>
          <w:szCs w:val="18"/>
        </w:rPr>
      </w:pPr>
      <w:r w:rsidRPr="006167D9">
        <w:rPr>
          <w:sz w:val="18"/>
          <w:szCs w:val="18"/>
        </w:rPr>
        <w:t>5</w:t>
      </w:r>
      <w:r w:rsidRPr="006167D9">
        <w:rPr>
          <w:i/>
          <w:iCs/>
          <w:sz w:val="18"/>
          <w:szCs w:val="18"/>
        </w:rPr>
        <w:t>. </w:t>
      </w:r>
      <w:r w:rsidRPr="006167D9">
        <w:rPr>
          <w:sz w:val="18"/>
          <w:szCs w:val="18"/>
        </w:rPr>
        <w:t>grovt bedrägeri enligt 9 kap. 3 § brottsbalken, om gärningen har be</w:t>
      </w:r>
      <w:r w:rsidRPr="006167D9">
        <w:rPr>
          <w:sz w:val="18"/>
          <w:szCs w:val="18"/>
        </w:rPr>
        <w:softHyphen/>
        <w:t>gåtts med hjälp av elektronisk kommunikation,</w:t>
      </w:r>
    </w:p>
    <w:p w14:paraId="3811B8A3" w14:textId="77777777" w:rsidR="006973D1" w:rsidRPr="006167D9" w:rsidRDefault="006973D1" w:rsidP="006973D1">
      <w:pPr>
        <w:pStyle w:val="Brdtextmedindrag"/>
        <w:spacing w:line="220" w:lineRule="exact"/>
        <w:rPr>
          <w:i/>
          <w:iCs/>
          <w:sz w:val="18"/>
          <w:szCs w:val="18"/>
        </w:rPr>
      </w:pPr>
      <w:r w:rsidRPr="006167D9">
        <w:rPr>
          <w:sz w:val="18"/>
          <w:szCs w:val="18"/>
        </w:rPr>
        <w:t>6</w:t>
      </w:r>
      <w:r w:rsidRPr="006167D9">
        <w:rPr>
          <w:i/>
          <w:iCs/>
          <w:sz w:val="18"/>
          <w:szCs w:val="18"/>
        </w:rPr>
        <w:t>. </w:t>
      </w:r>
      <w:r w:rsidRPr="006167D9">
        <w:rPr>
          <w:sz w:val="18"/>
          <w:szCs w:val="18"/>
        </w:rPr>
        <w:t>utpressning enligt 9 kap. 4 § första stycket brottsbalken, om det kan antas att brottets straffvärde överstiger fängelse i tre månader,</w:t>
      </w:r>
    </w:p>
    <w:p w14:paraId="1AE5182A" w14:textId="77777777" w:rsidR="006973D1" w:rsidRPr="006167D9" w:rsidRDefault="006973D1" w:rsidP="006973D1">
      <w:pPr>
        <w:pStyle w:val="Brdtextmedindrag"/>
        <w:spacing w:line="220" w:lineRule="exact"/>
        <w:rPr>
          <w:i/>
          <w:iCs/>
          <w:sz w:val="18"/>
          <w:szCs w:val="18"/>
        </w:rPr>
      </w:pPr>
      <w:r w:rsidRPr="006167D9">
        <w:rPr>
          <w:sz w:val="18"/>
          <w:szCs w:val="18"/>
        </w:rPr>
        <w:t>7</w:t>
      </w:r>
      <w:r w:rsidRPr="006167D9">
        <w:rPr>
          <w:i/>
          <w:iCs/>
          <w:sz w:val="18"/>
          <w:szCs w:val="18"/>
        </w:rPr>
        <w:t>. </w:t>
      </w:r>
      <w:r w:rsidRPr="006167D9">
        <w:rPr>
          <w:sz w:val="18"/>
          <w:szCs w:val="18"/>
        </w:rPr>
        <w:t>sabotage enligt 13 kap. 4 § brottsbalken,</w:t>
      </w:r>
    </w:p>
    <w:p w14:paraId="61DCB9A7" w14:textId="77777777" w:rsidR="006973D1" w:rsidRPr="006167D9" w:rsidRDefault="006973D1" w:rsidP="006973D1">
      <w:pPr>
        <w:pStyle w:val="Brdtextmedindrag"/>
        <w:spacing w:line="220" w:lineRule="exact"/>
        <w:rPr>
          <w:i/>
          <w:iCs/>
          <w:sz w:val="18"/>
          <w:szCs w:val="18"/>
        </w:rPr>
      </w:pPr>
      <w:r w:rsidRPr="006167D9">
        <w:rPr>
          <w:spacing w:val="-2"/>
          <w:sz w:val="18"/>
          <w:szCs w:val="18"/>
        </w:rPr>
        <w:lastRenderedPageBreak/>
        <w:t>8</w:t>
      </w:r>
      <w:r w:rsidRPr="006167D9">
        <w:rPr>
          <w:i/>
          <w:iCs/>
          <w:spacing w:val="-2"/>
          <w:sz w:val="18"/>
          <w:szCs w:val="18"/>
        </w:rPr>
        <w:t>. </w:t>
      </w:r>
      <w:r w:rsidRPr="006167D9">
        <w:rPr>
          <w:spacing w:val="-2"/>
          <w:sz w:val="18"/>
          <w:szCs w:val="18"/>
        </w:rPr>
        <w:t>mordbrand, allmänfarlig ödeläggelse, kapning, sjö- eller luftfarts</w:t>
      </w:r>
      <w:r w:rsidRPr="006167D9">
        <w:rPr>
          <w:spacing w:val="-2"/>
          <w:sz w:val="18"/>
          <w:szCs w:val="18"/>
        </w:rPr>
        <w:softHyphen/>
        <w:t>sabo</w:t>
      </w:r>
      <w:r w:rsidRPr="006167D9">
        <w:rPr>
          <w:spacing w:val="-2"/>
          <w:sz w:val="18"/>
          <w:szCs w:val="18"/>
        </w:rPr>
        <w:softHyphen/>
        <w:t>tage</w:t>
      </w:r>
      <w:r w:rsidRPr="006167D9">
        <w:rPr>
          <w:sz w:val="18"/>
          <w:szCs w:val="18"/>
        </w:rPr>
        <w:t xml:space="preserve"> eller flygplatssabotage enligt 13 kap. 1 §, 3 § första eller andra stycket, </w:t>
      </w:r>
      <w:r w:rsidRPr="006167D9">
        <w:rPr>
          <w:spacing w:val="-4"/>
          <w:sz w:val="18"/>
          <w:szCs w:val="18"/>
        </w:rPr>
        <w:t>5 a § eller 5 b § brottsbalken, om brottet innefattar sabotage enligt 4 § samma</w:t>
      </w:r>
      <w:r w:rsidRPr="006167D9">
        <w:rPr>
          <w:sz w:val="18"/>
          <w:szCs w:val="18"/>
        </w:rPr>
        <w:t xml:space="preserve"> kapitel,</w:t>
      </w:r>
    </w:p>
    <w:p w14:paraId="6BCB36EC" w14:textId="77777777" w:rsidR="006973D1" w:rsidRPr="006167D9" w:rsidRDefault="006973D1" w:rsidP="006973D1">
      <w:pPr>
        <w:pStyle w:val="Brdtextmedindrag"/>
        <w:spacing w:line="220" w:lineRule="exact"/>
        <w:rPr>
          <w:i/>
          <w:iCs/>
          <w:sz w:val="18"/>
          <w:szCs w:val="18"/>
        </w:rPr>
      </w:pPr>
      <w:r w:rsidRPr="006167D9">
        <w:rPr>
          <w:spacing w:val="-2"/>
          <w:sz w:val="18"/>
          <w:szCs w:val="18"/>
        </w:rPr>
        <w:t>9</w:t>
      </w:r>
      <w:r w:rsidRPr="006167D9">
        <w:rPr>
          <w:i/>
          <w:iCs/>
          <w:spacing w:val="-2"/>
          <w:sz w:val="18"/>
          <w:szCs w:val="18"/>
        </w:rPr>
        <w:t>. </w:t>
      </w:r>
      <w:r w:rsidRPr="006167D9">
        <w:rPr>
          <w:spacing w:val="-2"/>
          <w:sz w:val="18"/>
          <w:szCs w:val="18"/>
        </w:rPr>
        <w:t>mened enligt 15 kap. 1 § första stycket brottsbalken, om det kan antas</w:t>
      </w:r>
      <w:r w:rsidRPr="006167D9">
        <w:rPr>
          <w:sz w:val="18"/>
          <w:szCs w:val="18"/>
        </w:rPr>
        <w:t xml:space="preserve"> att brottets straffvärde överstiger fängelse i tre månader,</w:t>
      </w:r>
      <w:r w:rsidRPr="006167D9">
        <w:rPr>
          <w:i/>
          <w:iCs/>
          <w:sz w:val="18"/>
          <w:szCs w:val="18"/>
        </w:rPr>
        <w:t xml:space="preserve"> </w:t>
      </w:r>
    </w:p>
    <w:p w14:paraId="6E06F437" w14:textId="77777777" w:rsidR="006973D1" w:rsidRPr="006167D9" w:rsidRDefault="006973D1" w:rsidP="006973D1">
      <w:pPr>
        <w:pStyle w:val="Brdtextmedindrag"/>
        <w:spacing w:line="220" w:lineRule="exact"/>
        <w:rPr>
          <w:i/>
          <w:iCs/>
          <w:sz w:val="18"/>
          <w:szCs w:val="18"/>
        </w:rPr>
      </w:pPr>
      <w:r w:rsidRPr="006167D9">
        <w:rPr>
          <w:sz w:val="18"/>
          <w:szCs w:val="18"/>
        </w:rPr>
        <w:t>1</w:t>
      </w:r>
      <w:r w:rsidRPr="006167D9">
        <w:rPr>
          <w:spacing w:val="-4"/>
          <w:sz w:val="18"/>
          <w:szCs w:val="18"/>
        </w:rPr>
        <w:t>0</w:t>
      </w:r>
      <w:r w:rsidRPr="006167D9">
        <w:rPr>
          <w:i/>
          <w:iCs/>
          <w:spacing w:val="-4"/>
          <w:sz w:val="18"/>
          <w:szCs w:val="18"/>
        </w:rPr>
        <w:t>. </w:t>
      </w:r>
      <w:r w:rsidRPr="006167D9">
        <w:rPr>
          <w:spacing w:val="-4"/>
          <w:sz w:val="18"/>
          <w:szCs w:val="18"/>
        </w:rPr>
        <w:t>grovt barnpornografibrott eller barnpornografibrott som inte är ringa</w:t>
      </w:r>
      <w:r w:rsidRPr="006167D9">
        <w:rPr>
          <w:sz w:val="18"/>
          <w:szCs w:val="18"/>
        </w:rPr>
        <w:t xml:space="preserve"> enligt 16 kap. 10 a § brottsbalken,</w:t>
      </w:r>
    </w:p>
    <w:p w14:paraId="1BD3E52F" w14:textId="77777777" w:rsidR="006973D1" w:rsidRPr="006167D9" w:rsidRDefault="006973D1" w:rsidP="006973D1">
      <w:pPr>
        <w:pStyle w:val="Brdtextmedindrag"/>
        <w:spacing w:line="220" w:lineRule="exact"/>
        <w:rPr>
          <w:i/>
          <w:iCs/>
          <w:sz w:val="18"/>
          <w:szCs w:val="18"/>
        </w:rPr>
      </w:pPr>
      <w:r w:rsidRPr="006167D9">
        <w:rPr>
          <w:sz w:val="18"/>
          <w:szCs w:val="18"/>
        </w:rPr>
        <w:t>11</w:t>
      </w:r>
      <w:r w:rsidRPr="006167D9">
        <w:rPr>
          <w:i/>
          <w:iCs/>
          <w:sz w:val="18"/>
          <w:szCs w:val="18"/>
        </w:rPr>
        <w:t>.</w:t>
      </w:r>
      <w:r w:rsidRPr="006167D9">
        <w:rPr>
          <w:sz w:val="18"/>
          <w:szCs w:val="18"/>
        </w:rPr>
        <w:t> </w:t>
      </w:r>
      <w:r w:rsidRPr="006167D9">
        <w:rPr>
          <w:spacing w:val="-2"/>
          <w:sz w:val="18"/>
          <w:szCs w:val="18"/>
        </w:rPr>
        <w:t>övergrepp i rättssak eller skyddande av brottsling enligt 17 kap. 10 §</w:t>
      </w:r>
      <w:r w:rsidRPr="006167D9">
        <w:rPr>
          <w:sz w:val="18"/>
          <w:szCs w:val="18"/>
        </w:rPr>
        <w:t xml:space="preserve"> första eller fjärde stycket eller 11</w:t>
      </w:r>
      <w:r>
        <w:rPr>
          <w:sz w:val="18"/>
          <w:szCs w:val="18"/>
        </w:rPr>
        <w:t> §</w:t>
      </w:r>
      <w:r w:rsidRPr="006167D9">
        <w:rPr>
          <w:sz w:val="18"/>
          <w:szCs w:val="18"/>
        </w:rPr>
        <w:t xml:space="preserve"> första eller andra stycket brottsbalken, om det kan antas att brottets straffvärde överstiger fängelse i tre månader,</w:t>
      </w:r>
    </w:p>
    <w:p w14:paraId="2B0BF1A6" w14:textId="77777777" w:rsidR="006973D1" w:rsidRPr="006167D9" w:rsidRDefault="006973D1" w:rsidP="006973D1">
      <w:pPr>
        <w:pStyle w:val="Brdtextmedindrag"/>
        <w:spacing w:line="220" w:lineRule="exact"/>
        <w:rPr>
          <w:i/>
          <w:iCs/>
          <w:sz w:val="18"/>
          <w:szCs w:val="18"/>
        </w:rPr>
      </w:pPr>
      <w:r w:rsidRPr="006167D9">
        <w:rPr>
          <w:sz w:val="18"/>
          <w:szCs w:val="18"/>
        </w:rPr>
        <w:t>12</w:t>
      </w:r>
      <w:r w:rsidRPr="006167D9">
        <w:rPr>
          <w:i/>
          <w:iCs/>
          <w:spacing w:val="-4"/>
          <w:sz w:val="18"/>
          <w:szCs w:val="18"/>
        </w:rPr>
        <w:t xml:space="preserve">. </w:t>
      </w:r>
      <w:r w:rsidRPr="006167D9">
        <w:rPr>
          <w:spacing w:val="-4"/>
          <w:sz w:val="18"/>
          <w:szCs w:val="18"/>
        </w:rPr>
        <w:t>grovt skyddande av brottsling enligt 17 kap. 11 § tredje stycket brotts</w:t>
      </w:r>
      <w:r w:rsidRPr="006167D9">
        <w:rPr>
          <w:spacing w:val="-4"/>
          <w:sz w:val="18"/>
          <w:szCs w:val="18"/>
        </w:rPr>
        <w:softHyphen/>
        <w:t>balken</w:t>
      </w:r>
      <w:r w:rsidRPr="006167D9">
        <w:rPr>
          <w:sz w:val="18"/>
          <w:szCs w:val="18"/>
        </w:rPr>
        <w:t>,</w:t>
      </w:r>
    </w:p>
    <w:p w14:paraId="04424247" w14:textId="77777777" w:rsidR="006973D1" w:rsidRPr="006167D9" w:rsidRDefault="006973D1" w:rsidP="006973D1">
      <w:pPr>
        <w:pStyle w:val="Brdtextmedindrag"/>
        <w:spacing w:line="220" w:lineRule="exact"/>
        <w:rPr>
          <w:i/>
          <w:iCs/>
          <w:sz w:val="18"/>
          <w:szCs w:val="18"/>
        </w:rPr>
      </w:pPr>
      <w:r w:rsidRPr="006167D9">
        <w:rPr>
          <w:sz w:val="18"/>
          <w:szCs w:val="18"/>
        </w:rPr>
        <w:t>13</w:t>
      </w:r>
      <w:r w:rsidRPr="006167D9">
        <w:rPr>
          <w:i/>
          <w:iCs/>
          <w:sz w:val="18"/>
          <w:szCs w:val="18"/>
        </w:rPr>
        <w:t xml:space="preserve">. </w:t>
      </w:r>
      <w:r w:rsidRPr="006167D9">
        <w:rPr>
          <w:sz w:val="18"/>
          <w:szCs w:val="18"/>
        </w:rPr>
        <w:t>brott mot medborgerlig frihet enligt 18 kap. 5 § brottsbalken,</w:t>
      </w:r>
    </w:p>
    <w:p w14:paraId="7CF55084" w14:textId="77777777" w:rsidR="006973D1" w:rsidRPr="006167D9" w:rsidRDefault="006973D1" w:rsidP="006973D1">
      <w:pPr>
        <w:pStyle w:val="Brdtextmedindrag"/>
        <w:spacing w:line="220" w:lineRule="exact"/>
        <w:rPr>
          <w:i/>
          <w:iCs/>
          <w:sz w:val="18"/>
          <w:szCs w:val="18"/>
        </w:rPr>
      </w:pPr>
      <w:r w:rsidRPr="006167D9">
        <w:rPr>
          <w:sz w:val="18"/>
          <w:szCs w:val="18"/>
        </w:rPr>
        <w:t>14</w:t>
      </w:r>
      <w:r w:rsidRPr="006167D9">
        <w:rPr>
          <w:i/>
          <w:iCs/>
          <w:sz w:val="18"/>
          <w:szCs w:val="18"/>
        </w:rPr>
        <w:t>.</w:t>
      </w:r>
      <w:r>
        <w:rPr>
          <w:sz w:val="18"/>
          <w:szCs w:val="18"/>
        </w:rPr>
        <w:t> </w:t>
      </w:r>
      <w:r w:rsidRPr="006167D9">
        <w:rPr>
          <w:sz w:val="18"/>
          <w:szCs w:val="18"/>
        </w:rPr>
        <w:t>spioneri, utlandsspioneri, obehörig befattning med hemlig uppgift, grov obehörig befattning med hemlig uppgift eller olovlig underrättelse</w:t>
      </w:r>
      <w:r w:rsidRPr="006167D9">
        <w:rPr>
          <w:sz w:val="18"/>
          <w:szCs w:val="18"/>
        </w:rPr>
        <w:softHyphen/>
        <w:t>verksamhet mot Sverige, mot främmande makt eller mot person enligt 19 kap. 5, 6 a, 7, 8, 10, 10</w:t>
      </w:r>
      <w:r>
        <w:rPr>
          <w:sz w:val="18"/>
          <w:szCs w:val="18"/>
        </w:rPr>
        <w:t> </w:t>
      </w:r>
      <w:r w:rsidRPr="006167D9">
        <w:rPr>
          <w:sz w:val="18"/>
          <w:szCs w:val="18"/>
        </w:rPr>
        <w:t>a eller 10 b § brottsbalken,</w:t>
      </w:r>
    </w:p>
    <w:p w14:paraId="6A1ED707" w14:textId="77777777" w:rsidR="006973D1" w:rsidRPr="006167D9" w:rsidRDefault="006973D1" w:rsidP="006973D1">
      <w:pPr>
        <w:pStyle w:val="Brdtextmedindrag"/>
        <w:spacing w:line="220" w:lineRule="exact"/>
        <w:rPr>
          <w:i/>
          <w:iCs/>
          <w:sz w:val="18"/>
          <w:szCs w:val="18"/>
        </w:rPr>
      </w:pPr>
      <w:r w:rsidRPr="006167D9">
        <w:rPr>
          <w:sz w:val="18"/>
          <w:szCs w:val="18"/>
        </w:rPr>
        <w:t>15</w:t>
      </w:r>
      <w:r w:rsidRPr="006167D9">
        <w:rPr>
          <w:i/>
          <w:iCs/>
          <w:sz w:val="18"/>
          <w:szCs w:val="18"/>
        </w:rPr>
        <w:t>.</w:t>
      </w:r>
      <w:r>
        <w:rPr>
          <w:sz w:val="18"/>
          <w:szCs w:val="18"/>
        </w:rPr>
        <w:t> </w:t>
      </w:r>
      <w:r w:rsidRPr="006167D9">
        <w:rPr>
          <w:sz w:val="18"/>
          <w:szCs w:val="18"/>
        </w:rPr>
        <w:t>grovt penningtvättsbrott eller näringspenningtvätt, grovt brott, enligt 5</w:t>
      </w:r>
      <w:r>
        <w:rPr>
          <w:sz w:val="18"/>
          <w:szCs w:val="18"/>
        </w:rPr>
        <w:t> §</w:t>
      </w:r>
      <w:r w:rsidRPr="006167D9">
        <w:rPr>
          <w:sz w:val="18"/>
          <w:szCs w:val="18"/>
        </w:rPr>
        <w:t xml:space="preserve"> eller 7</w:t>
      </w:r>
      <w:r>
        <w:rPr>
          <w:sz w:val="18"/>
          <w:szCs w:val="18"/>
        </w:rPr>
        <w:t> §</w:t>
      </w:r>
      <w:r w:rsidRPr="006167D9">
        <w:rPr>
          <w:sz w:val="18"/>
          <w:szCs w:val="18"/>
        </w:rPr>
        <w:t xml:space="preserve"> andra stycket lagen (2014:307) om straff för penning</w:t>
      </w:r>
      <w:r w:rsidRPr="006167D9">
        <w:rPr>
          <w:sz w:val="18"/>
          <w:szCs w:val="18"/>
        </w:rPr>
        <w:softHyphen/>
        <w:t>tvättsbrott,</w:t>
      </w:r>
    </w:p>
    <w:p w14:paraId="3C2C2A25" w14:textId="77777777" w:rsidR="006973D1" w:rsidRPr="006167D9" w:rsidRDefault="006973D1" w:rsidP="006973D1">
      <w:pPr>
        <w:pStyle w:val="Brdtextmedindrag"/>
        <w:spacing w:line="220" w:lineRule="exact"/>
        <w:rPr>
          <w:i/>
          <w:iCs/>
          <w:sz w:val="18"/>
          <w:szCs w:val="18"/>
        </w:rPr>
      </w:pPr>
      <w:r w:rsidRPr="006167D9">
        <w:rPr>
          <w:sz w:val="18"/>
          <w:szCs w:val="18"/>
        </w:rPr>
        <w:t>16</w:t>
      </w:r>
      <w:r w:rsidRPr="006167D9">
        <w:rPr>
          <w:i/>
          <w:iCs/>
          <w:sz w:val="18"/>
          <w:szCs w:val="18"/>
        </w:rPr>
        <w:t>.</w:t>
      </w:r>
      <w:r>
        <w:rPr>
          <w:sz w:val="18"/>
          <w:szCs w:val="18"/>
        </w:rPr>
        <w:t> </w:t>
      </w:r>
      <w:r w:rsidRPr="006167D9">
        <w:rPr>
          <w:sz w:val="18"/>
          <w:szCs w:val="18"/>
        </w:rPr>
        <w:t>grovt insiderbrott enligt 2</w:t>
      </w:r>
      <w:r>
        <w:rPr>
          <w:sz w:val="18"/>
          <w:szCs w:val="18"/>
        </w:rPr>
        <w:t> kap.</w:t>
      </w:r>
      <w:r w:rsidRPr="006167D9">
        <w:rPr>
          <w:sz w:val="18"/>
          <w:szCs w:val="18"/>
        </w:rPr>
        <w:t xml:space="preserve"> 1</w:t>
      </w:r>
      <w:r>
        <w:rPr>
          <w:sz w:val="18"/>
          <w:szCs w:val="18"/>
        </w:rPr>
        <w:t> §</w:t>
      </w:r>
      <w:r w:rsidRPr="006167D9">
        <w:rPr>
          <w:sz w:val="18"/>
          <w:szCs w:val="18"/>
        </w:rPr>
        <w:t xml:space="preserve"> tredje stycket lagen (2016:1307) om straff för marknadsmissbruk på värdepappersmarknaden,</w:t>
      </w:r>
    </w:p>
    <w:p w14:paraId="055997ED" w14:textId="77777777" w:rsidR="006973D1" w:rsidRPr="006167D9" w:rsidRDefault="006973D1" w:rsidP="006973D1">
      <w:pPr>
        <w:pStyle w:val="Brdtextmedindrag"/>
        <w:spacing w:line="220" w:lineRule="exact"/>
        <w:rPr>
          <w:i/>
          <w:iCs/>
          <w:sz w:val="18"/>
          <w:szCs w:val="18"/>
        </w:rPr>
      </w:pPr>
      <w:r w:rsidRPr="006167D9">
        <w:rPr>
          <w:sz w:val="18"/>
          <w:szCs w:val="18"/>
        </w:rPr>
        <w:t>17</w:t>
      </w:r>
      <w:r w:rsidRPr="006167D9">
        <w:rPr>
          <w:i/>
          <w:iCs/>
          <w:sz w:val="18"/>
          <w:szCs w:val="18"/>
        </w:rPr>
        <w:t>.</w:t>
      </w:r>
      <w:r>
        <w:rPr>
          <w:sz w:val="18"/>
          <w:szCs w:val="18"/>
        </w:rPr>
        <w:t> </w:t>
      </w:r>
      <w:r w:rsidRPr="006167D9">
        <w:rPr>
          <w:sz w:val="18"/>
          <w:szCs w:val="18"/>
        </w:rPr>
        <w:t xml:space="preserve">företagsspioneri </w:t>
      </w:r>
      <w:r w:rsidRPr="004638E0">
        <w:rPr>
          <w:sz w:val="18"/>
          <w:szCs w:val="18"/>
        </w:rPr>
        <w:t>eller olovligt röjande av teknisk företagshemlig</w:t>
      </w:r>
      <w:r>
        <w:rPr>
          <w:sz w:val="18"/>
          <w:szCs w:val="18"/>
        </w:rPr>
        <w:t xml:space="preserve">het </w:t>
      </w:r>
      <w:r w:rsidRPr="006167D9">
        <w:rPr>
          <w:sz w:val="18"/>
          <w:szCs w:val="18"/>
        </w:rPr>
        <w:t>enligt 26</w:t>
      </w:r>
      <w:r>
        <w:rPr>
          <w:sz w:val="18"/>
          <w:szCs w:val="18"/>
        </w:rPr>
        <w:t xml:space="preserve"> eller 26 a </w:t>
      </w:r>
      <w:r w:rsidRPr="006167D9">
        <w:rPr>
          <w:sz w:val="18"/>
          <w:szCs w:val="18"/>
        </w:rPr>
        <w:t>§ lagen (2018:558) om företagshem</w:t>
      </w:r>
      <w:r w:rsidRPr="006167D9">
        <w:rPr>
          <w:sz w:val="18"/>
          <w:szCs w:val="18"/>
        </w:rPr>
        <w:softHyphen/>
        <w:t>lig</w:t>
      </w:r>
      <w:r w:rsidRPr="006167D9">
        <w:rPr>
          <w:sz w:val="18"/>
          <w:szCs w:val="18"/>
        </w:rPr>
        <w:softHyphen/>
      </w:r>
      <w:r w:rsidRPr="006167D9">
        <w:rPr>
          <w:spacing w:val="-2"/>
          <w:sz w:val="18"/>
          <w:szCs w:val="18"/>
        </w:rPr>
        <w:t>heter, om det finns anledning att anta att gärningen har begåtts på uppdrag</w:t>
      </w:r>
      <w:r w:rsidRPr="006167D9">
        <w:rPr>
          <w:sz w:val="18"/>
          <w:szCs w:val="18"/>
        </w:rPr>
        <w:t xml:space="preserve"> </w:t>
      </w:r>
      <w:r w:rsidRPr="006167D9">
        <w:rPr>
          <w:spacing w:val="-4"/>
          <w:sz w:val="18"/>
          <w:szCs w:val="18"/>
        </w:rPr>
        <w:t>av eller har under</w:t>
      </w:r>
      <w:r>
        <w:rPr>
          <w:spacing w:val="-4"/>
          <w:sz w:val="18"/>
          <w:szCs w:val="18"/>
        </w:rPr>
        <w:softHyphen/>
      </w:r>
      <w:r w:rsidRPr="006167D9">
        <w:rPr>
          <w:spacing w:val="-4"/>
          <w:sz w:val="18"/>
          <w:szCs w:val="18"/>
        </w:rPr>
        <w:t>stötts av en främmande makt eller av någon som har agerat</w:t>
      </w:r>
      <w:r w:rsidRPr="006167D9">
        <w:rPr>
          <w:sz w:val="18"/>
          <w:szCs w:val="18"/>
        </w:rPr>
        <w:t xml:space="preserve"> för en främmande makts räkning,</w:t>
      </w:r>
    </w:p>
    <w:p w14:paraId="59260157" w14:textId="77777777" w:rsidR="006973D1" w:rsidRPr="006167D9" w:rsidRDefault="006973D1" w:rsidP="006973D1">
      <w:pPr>
        <w:pStyle w:val="Brdtextmedindrag"/>
        <w:spacing w:line="220" w:lineRule="exact"/>
        <w:rPr>
          <w:i/>
          <w:iCs/>
          <w:sz w:val="18"/>
          <w:szCs w:val="18"/>
        </w:rPr>
      </w:pPr>
      <w:r w:rsidRPr="006167D9">
        <w:rPr>
          <w:sz w:val="18"/>
          <w:szCs w:val="18"/>
        </w:rPr>
        <w:t>18</w:t>
      </w:r>
      <w:r w:rsidRPr="006167D9">
        <w:rPr>
          <w:i/>
          <w:iCs/>
          <w:sz w:val="18"/>
          <w:szCs w:val="18"/>
        </w:rPr>
        <w:t>.</w:t>
      </w:r>
      <w:r>
        <w:rPr>
          <w:sz w:val="18"/>
          <w:szCs w:val="18"/>
        </w:rPr>
        <w:t> </w:t>
      </w:r>
      <w:r w:rsidRPr="006167D9">
        <w:rPr>
          <w:sz w:val="18"/>
          <w:szCs w:val="18"/>
        </w:rPr>
        <w:t>deltagande i en terroristorganisation, samröre med en terrorist</w:t>
      </w:r>
      <w:r w:rsidRPr="006167D9">
        <w:rPr>
          <w:sz w:val="18"/>
          <w:szCs w:val="18"/>
        </w:rPr>
        <w:softHyphen/>
        <w:t xml:space="preserve">organisation, finansiering av terrorism eller särskilt allvarlig brottslighet, </w:t>
      </w:r>
      <w:r w:rsidRPr="006167D9">
        <w:rPr>
          <w:spacing w:val="-2"/>
          <w:sz w:val="18"/>
          <w:szCs w:val="18"/>
        </w:rPr>
        <w:t>offentlig uppmaning till terrorism eller särskilt allvarlig brottslighet, rekry</w:t>
      </w:r>
      <w:r w:rsidRPr="006167D9">
        <w:rPr>
          <w:spacing w:val="-2"/>
          <w:sz w:val="18"/>
          <w:szCs w:val="18"/>
        </w:rPr>
        <w:softHyphen/>
        <w:t>tering</w:t>
      </w:r>
      <w:r w:rsidRPr="006167D9">
        <w:rPr>
          <w:sz w:val="18"/>
          <w:szCs w:val="18"/>
        </w:rPr>
        <w:t xml:space="preserve"> till terrorism eller särskilt allvarlig brottslighet, utbildning för ter</w:t>
      </w:r>
      <w:r w:rsidRPr="006167D9">
        <w:rPr>
          <w:sz w:val="18"/>
          <w:szCs w:val="18"/>
        </w:rPr>
        <w:softHyphen/>
      </w:r>
      <w:r w:rsidRPr="006167D9">
        <w:rPr>
          <w:spacing w:val="-4"/>
          <w:sz w:val="18"/>
          <w:szCs w:val="18"/>
        </w:rPr>
        <w:t>rorism eller särskilt allvarlig brottslighet eller resa för terrorism eller särskilt</w:t>
      </w:r>
      <w:r w:rsidRPr="006167D9">
        <w:rPr>
          <w:sz w:val="18"/>
          <w:szCs w:val="18"/>
        </w:rPr>
        <w:t xml:space="preserve"> allvarlig brottslighet enligt 4 a, 5, 6, 7, 8, 9 eller 10</w:t>
      </w:r>
      <w:r>
        <w:rPr>
          <w:sz w:val="18"/>
          <w:szCs w:val="18"/>
        </w:rPr>
        <w:t> §</w:t>
      </w:r>
      <w:r w:rsidRPr="006167D9">
        <w:rPr>
          <w:sz w:val="18"/>
          <w:szCs w:val="18"/>
        </w:rPr>
        <w:t xml:space="preserve"> terroristbrottslagen (2022:666),</w:t>
      </w:r>
    </w:p>
    <w:p w14:paraId="220E40D2" w14:textId="77777777" w:rsidR="006973D1" w:rsidRPr="006167D9" w:rsidRDefault="006973D1" w:rsidP="006973D1">
      <w:pPr>
        <w:pStyle w:val="Brdtextmedindrag"/>
        <w:spacing w:line="220" w:lineRule="exact"/>
        <w:rPr>
          <w:i/>
          <w:iCs/>
          <w:sz w:val="18"/>
          <w:szCs w:val="18"/>
        </w:rPr>
      </w:pPr>
      <w:r w:rsidRPr="006167D9">
        <w:rPr>
          <w:sz w:val="18"/>
          <w:szCs w:val="18"/>
        </w:rPr>
        <w:t>19</w:t>
      </w:r>
      <w:r w:rsidRPr="006167D9">
        <w:rPr>
          <w:i/>
          <w:iCs/>
          <w:sz w:val="18"/>
          <w:szCs w:val="18"/>
        </w:rPr>
        <w:t>.</w:t>
      </w:r>
      <w:r>
        <w:rPr>
          <w:sz w:val="18"/>
          <w:szCs w:val="18"/>
        </w:rPr>
        <w:t> </w:t>
      </w:r>
      <w:r w:rsidRPr="006167D9">
        <w:rPr>
          <w:sz w:val="18"/>
          <w:szCs w:val="18"/>
        </w:rPr>
        <w:t xml:space="preserve">försök, förberedelse eller stämpling till ett brott som avses i </w:t>
      </w:r>
      <w:r w:rsidRPr="00E43099">
        <w:rPr>
          <w:sz w:val="18"/>
          <w:szCs w:val="18"/>
        </w:rPr>
        <w:t>1–</w:t>
      </w:r>
      <w:r>
        <w:rPr>
          <w:sz w:val="18"/>
          <w:szCs w:val="18"/>
        </w:rPr>
        <w:t>5</w:t>
      </w:r>
      <w:r w:rsidRPr="00E43099">
        <w:rPr>
          <w:sz w:val="18"/>
          <w:szCs w:val="18"/>
        </w:rPr>
        <w:t xml:space="preserve">, </w:t>
      </w:r>
      <w:r>
        <w:rPr>
          <w:sz w:val="18"/>
          <w:szCs w:val="18"/>
        </w:rPr>
        <w:t>7</w:t>
      </w:r>
      <w:r w:rsidRPr="00E43099">
        <w:rPr>
          <w:sz w:val="18"/>
          <w:szCs w:val="18"/>
        </w:rPr>
        <w:t xml:space="preserve">, </w:t>
      </w:r>
      <w:r>
        <w:rPr>
          <w:sz w:val="18"/>
          <w:szCs w:val="18"/>
        </w:rPr>
        <w:t>8</w:t>
      </w:r>
      <w:r w:rsidRPr="006167D9">
        <w:rPr>
          <w:sz w:val="18"/>
          <w:szCs w:val="18"/>
        </w:rPr>
        <w:t xml:space="preserve">, </w:t>
      </w:r>
      <w:r>
        <w:rPr>
          <w:sz w:val="18"/>
          <w:szCs w:val="18"/>
        </w:rPr>
        <w:t>10</w:t>
      </w:r>
      <w:r w:rsidRPr="006167D9">
        <w:rPr>
          <w:sz w:val="18"/>
          <w:szCs w:val="18"/>
        </w:rPr>
        <w:t xml:space="preserve"> eller </w:t>
      </w:r>
      <w:r w:rsidRPr="00E43099">
        <w:rPr>
          <w:sz w:val="18"/>
          <w:szCs w:val="18"/>
        </w:rPr>
        <w:t>1</w:t>
      </w:r>
      <w:r>
        <w:rPr>
          <w:sz w:val="18"/>
          <w:szCs w:val="18"/>
        </w:rPr>
        <w:t>2–18</w:t>
      </w:r>
      <w:r w:rsidRPr="006167D9">
        <w:rPr>
          <w:sz w:val="18"/>
          <w:szCs w:val="18"/>
        </w:rPr>
        <w:t>, om en sådan gärning är belagd med straff,</w:t>
      </w:r>
    </w:p>
    <w:p w14:paraId="17D98671" w14:textId="77777777" w:rsidR="006973D1" w:rsidRPr="006167D9" w:rsidRDefault="006973D1" w:rsidP="006973D1">
      <w:pPr>
        <w:pStyle w:val="Brdtextmedindrag"/>
        <w:spacing w:line="220" w:lineRule="exact"/>
        <w:rPr>
          <w:i/>
          <w:iCs/>
          <w:sz w:val="18"/>
          <w:szCs w:val="18"/>
        </w:rPr>
      </w:pPr>
      <w:r w:rsidRPr="006167D9">
        <w:rPr>
          <w:sz w:val="18"/>
          <w:szCs w:val="18"/>
        </w:rPr>
        <w:t>20</w:t>
      </w:r>
      <w:r w:rsidRPr="006167D9">
        <w:rPr>
          <w:i/>
          <w:iCs/>
          <w:sz w:val="18"/>
          <w:szCs w:val="18"/>
        </w:rPr>
        <w:t>.</w:t>
      </w:r>
      <w:r>
        <w:rPr>
          <w:sz w:val="18"/>
          <w:szCs w:val="18"/>
        </w:rPr>
        <w:t> </w:t>
      </w:r>
      <w:r w:rsidRPr="006167D9">
        <w:rPr>
          <w:sz w:val="18"/>
          <w:szCs w:val="18"/>
        </w:rPr>
        <w:t xml:space="preserve">försök, förberedelse eller stämpling till ett brott som avses i </w:t>
      </w:r>
      <w:r>
        <w:rPr>
          <w:sz w:val="18"/>
          <w:szCs w:val="18"/>
        </w:rPr>
        <w:t>6</w:t>
      </w:r>
      <w:r w:rsidRPr="00E43099">
        <w:rPr>
          <w:sz w:val="18"/>
          <w:szCs w:val="18"/>
        </w:rPr>
        <w:t xml:space="preserve">, </w:t>
      </w:r>
      <w:r>
        <w:rPr>
          <w:sz w:val="18"/>
          <w:szCs w:val="18"/>
        </w:rPr>
        <w:t>9</w:t>
      </w:r>
      <w:r w:rsidRPr="006167D9">
        <w:rPr>
          <w:sz w:val="18"/>
          <w:szCs w:val="18"/>
        </w:rPr>
        <w:t xml:space="preserve"> eller </w:t>
      </w:r>
      <w:r w:rsidRPr="00E43099">
        <w:rPr>
          <w:sz w:val="18"/>
          <w:szCs w:val="18"/>
        </w:rPr>
        <w:t>1</w:t>
      </w:r>
      <w:r>
        <w:rPr>
          <w:sz w:val="18"/>
          <w:szCs w:val="18"/>
        </w:rPr>
        <w:t>1</w:t>
      </w:r>
      <w:r w:rsidRPr="006167D9">
        <w:rPr>
          <w:sz w:val="18"/>
          <w:szCs w:val="18"/>
        </w:rPr>
        <w:t>, om en sådan gärning är belagd med straff och det kan</w:t>
      </w:r>
      <w:r w:rsidRPr="006167D9">
        <w:rPr>
          <w:i/>
          <w:iCs/>
          <w:sz w:val="18"/>
          <w:szCs w:val="18"/>
        </w:rPr>
        <w:t xml:space="preserve"> </w:t>
      </w:r>
      <w:r w:rsidRPr="006167D9">
        <w:rPr>
          <w:sz w:val="18"/>
          <w:szCs w:val="18"/>
        </w:rPr>
        <w:t>antas att gärningens straff</w:t>
      </w:r>
      <w:r>
        <w:rPr>
          <w:sz w:val="18"/>
          <w:szCs w:val="18"/>
        </w:rPr>
        <w:softHyphen/>
      </w:r>
      <w:r w:rsidRPr="006167D9">
        <w:rPr>
          <w:sz w:val="18"/>
          <w:szCs w:val="18"/>
        </w:rPr>
        <w:t>värde överstiger fängelse i tre månader,</w:t>
      </w:r>
    </w:p>
    <w:p w14:paraId="0F0761D7" w14:textId="77777777" w:rsidR="006973D1" w:rsidRPr="006167D9" w:rsidRDefault="006973D1" w:rsidP="006973D1">
      <w:pPr>
        <w:pStyle w:val="Brdtextmedindrag"/>
        <w:spacing w:line="220" w:lineRule="exact"/>
        <w:rPr>
          <w:i/>
          <w:iCs/>
          <w:sz w:val="18"/>
          <w:szCs w:val="18"/>
        </w:rPr>
      </w:pPr>
      <w:r w:rsidRPr="006167D9">
        <w:rPr>
          <w:sz w:val="18"/>
          <w:szCs w:val="18"/>
        </w:rPr>
        <w:t>21</w:t>
      </w:r>
      <w:r w:rsidRPr="006167D9">
        <w:rPr>
          <w:i/>
          <w:iCs/>
          <w:sz w:val="18"/>
          <w:szCs w:val="18"/>
        </w:rPr>
        <w:t>.</w:t>
      </w:r>
      <w:r>
        <w:rPr>
          <w:sz w:val="18"/>
          <w:szCs w:val="18"/>
        </w:rPr>
        <w:t> </w:t>
      </w:r>
      <w:r w:rsidRPr="006167D9">
        <w:rPr>
          <w:sz w:val="18"/>
          <w:szCs w:val="18"/>
        </w:rPr>
        <w:t>ett annat brott, om det kan antas att brottets straffvärde överstiger fängelse i två år, eller</w:t>
      </w:r>
    </w:p>
    <w:p w14:paraId="29411ED8" w14:textId="77777777" w:rsidR="006973D1" w:rsidRPr="006167D9" w:rsidRDefault="006973D1" w:rsidP="006973D1">
      <w:pPr>
        <w:pStyle w:val="Brdtextmedindrag"/>
        <w:spacing w:line="220" w:lineRule="exact"/>
        <w:rPr>
          <w:sz w:val="18"/>
          <w:szCs w:val="18"/>
        </w:rPr>
      </w:pPr>
      <w:r w:rsidRPr="006167D9">
        <w:rPr>
          <w:sz w:val="18"/>
          <w:szCs w:val="18"/>
        </w:rPr>
        <w:t>22</w:t>
      </w:r>
      <w:r w:rsidRPr="006167D9">
        <w:rPr>
          <w:i/>
          <w:iCs/>
          <w:sz w:val="18"/>
          <w:szCs w:val="18"/>
        </w:rPr>
        <w:t xml:space="preserve">. </w:t>
      </w:r>
      <w:r w:rsidRPr="006167D9">
        <w:rPr>
          <w:sz w:val="18"/>
          <w:szCs w:val="18"/>
        </w:rPr>
        <w:t xml:space="preserve">flera brott, om </w:t>
      </w:r>
    </w:p>
    <w:p w14:paraId="4248FE9D" w14:textId="77777777" w:rsidR="006973D1" w:rsidRPr="006167D9" w:rsidRDefault="006973D1" w:rsidP="006973D1">
      <w:pPr>
        <w:pStyle w:val="Brdtextmedindrag"/>
        <w:spacing w:line="220" w:lineRule="exact"/>
        <w:rPr>
          <w:sz w:val="18"/>
          <w:szCs w:val="18"/>
        </w:rPr>
      </w:pPr>
      <w:r w:rsidRPr="006167D9">
        <w:rPr>
          <w:sz w:val="18"/>
          <w:szCs w:val="18"/>
        </w:rPr>
        <w:t>a) en och samma person är skäligen misstänkt för samtliga brott,</w:t>
      </w:r>
    </w:p>
    <w:p w14:paraId="055CA514" w14:textId="77777777" w:rsidR="006973D1" w:rsidRPr="006167D9" w:rsidRDefault="006973D1" w:rsidP="006973D1">
      <w:pPr>
        <w:pStyle w:val="Brdtextmedindrag"/>
        <w:spacing w:line="220" w:lineRule="exact"/>
        <w:rPr>
          <w:sz w:val="18"/>
          <w:szCs w:val="18"/>
        </w:rPr>
      </w:pPr>
      <w:r w:rsidRPr="006167D9">
        <w:rPr>
          <w:sz w:val="18"/>
          <w:szCs w:val="18"/>
        </w:rPr>
        <w:t>b)</w:t>
      </w:r>
      <w:r>
        <w:rPr>
          <w:sz w:val="18"/>
          <w:szCs w:val="18"/>
        </w:rPr>
        <w:t> </w:t>
      </w:r>
      <w:r w:rsidRPr="006167D9">
        <w:rPr>
          <w:sz w:val="18"/>
          <w:szCs w:val="18"/>
        </w:rPr>
        <w:t>det kan antas att den samlade brottslighetens straffvärde överstiger fängelse i två år,</w:t>
      </w:r>
    </w:p>
    <w:p w14:paraId="4E35B426" w14:textId="77777777" w:rsidR="006973D1" w:rsidRPr="006167D9" w:rsidRDefault="006973D1" w:rsidP="006973D1">
      <w:pPr>
        <w:pStyle w:val="Brdtextmedindrag"/>
        <w:spacing w:line="220" w:lineRule="exact"/>
        <w:rPr>
          <w:sz w:val="18"/>
          <w:szCs w:val="18"/>
        </w:rPr>
      </w:pPr>
      <w:r w:rsidRPr="006167D9">
        <w:rPr>
          <w:sz w:val="18"/>
          <w:szCs w:val="18"/>
        </w:rPr>
        <w:t>c)</w:t>
      </w:r>
      <w:r>
        <w:rPr>
          <w:sz w:val="18"/>
          <w:szCs w:val="18"/>
        </w:rPr>
        <w:t> </w:t>
      </w:r>
      <w:r w:rsidRPr="006167D9">
        <w:rPr>
          <w:spacing w:val="-2"/>
          <w:sz w:val="18"/>
          <w:szCs w:val="18"/>
        </w:rPr>
        <w:t>det kan antas att vart och ett av brotten har utgjort ett led i en brotts</w:t>
      </w:r>
      <w:r w:rsidRPr="006167D9">
        <w:rPr>
          <w:spacing w:val="-2"/>
          <w:sz w:val="18"/>
          <w:szCs w:val="18"/>
        </w:rPr>
        <w:softHyphen/>
        <w:t>lighet</w:t>
      </w:r>
      <w:r w:rsidRPr="006167D9">
        <w:rPr>
          <w:sz w:val="18"/>
          <w:szCs w:val="18"/>
        </w:rPr>
        <w:t xml:space="preserve"> som har utövats i organiserad form eller systematiskt, och</w:t>
      </w:r>
    </w:p>
    <w:p w14:paraId="7D4D055F" w14:textId="77777777" w:rsidR="006973D1" w:rsidRPr="006167D9" w:rsidRDefault="006973D1" w:rsidP="006973D1">
      <w:pPr>
        <w:pStyle w:val="Brdtextmedindrag"/>
        <w:spacing w:line="220" w:lineRule="exact"/>
        <w:rPr>
          <w:sz w:val="18"/>
          <w:szCs w:val="18"/>
        </w:rPr>
      </w:pPr>
      <w:r w:rsidRPr="006167D9">
        <w:rPr>
          <w:sz w:val="18"/>
          <w:szCs w:val="18"/>
        </w:rPr>
        <w:t>d)</w:t>
      </w:r>
      <w:r>
        <w:rPr>
          <w:spacing w:val="-2"/>
          <w:sz w:val="18"/>
          <w:szCs w:val="18"/>
        </w:rPr>
        <w:t> </w:t>
      </w:r>
      <w:r w:rsidRPr="006167D9">
        <w:rPr>
          <w:spacing w:val="-2"/>
          <w:sz w:val="18"/>
          <w:szCs w:val="18"/>
        </w:rPr>
        <w:t>det för vart och ett av brotten är föreskrivet fängelse i ett år eller mer.</w:t>
      </w:r>
    </w:p>
    <w:p w14:paraId="0ED3F91D" w14:textId="77777777" w:rsidR="006973D1" w:rsidRPr="006167D9" w:rsidRDefault="006973D1" w:rsidP="006973D1">
      <w:pPr>
        <w:pStyle w:val="Brdtextmedindrag"/>
        <w:spacing w:line="220" w:lineRule="exact"/>
        <w:rPr>
          <w:sz w:val="18"/>
          <w:szCs w:val="18"/>
        </w:rPr>
      </w:pPr>
      <w:r w:rsidRPr="006167D9">
        <w:rPr>
          <w:sz w:val="18"/>
          <w:szCs w:val="18"/>
        </w:rPr>
        <w:t>Hemlig avlyssning av elektronisk kommunikation enligt denna para</w:t>
      </w:r>
      <w:r w:rsidRPr="006167D9">
        <w:rPr>
          <w:sz w:val="18"/>
          <w:szCs w:val="18"/>
        </w:rPr>
        <w:softHyphen/>
        <w:t>graf får endast avse ett telefonnummer eller en annan adress eller en viss elektronisk kommunikationsutrustning som</w:t>
      </w:r>
    </w:p>
    <w:p w14:paraId="75087AB7" w14:textId="77777777" w:rsidR="006973D1" w:rsidRPr="006167D9" w:rsidRDefault="006973D1" w:rsidP="006973D1">
      <w:pPr>
        <w:pStyle w:val="Brdtextmedindrag"/>
        <w:spacing w:line="220" w:lineRule="exact"/>
        <w:rPr>
          <w:sz w:val="18"/>
          <w:szCs w:val="18"/>
        </w:rPr>
      </w:pPr>
      <w:r w:rsidRPr="006167D9">
        <w:rPr>
          <w:sz w:val="18"/>
          <w:szCs w:val="18"/>
        </w:rPr>
        <w:t>1.</w:t>
      </w:r>
      <w:r>
        <w:rPr>
          <w:sz w:val="18"/>
          <w:szCs w:val="18"/>
        </w:rPr>
        <w:t> </w:t>
      </w:r>
      <w:r w:rsidRPr="006167D9">
        <w:rPr>
          <w:sz w:val="18"/>
          <w:szCs w:val="18"/>
        </w:rPr>
        <w:t>under den tid som tillståndet avser innehas eller har innehafts av den misstänkte eller annars kan antas ha använts eller komma att användas av den misstänkte, eller</w:t>
      </w:r>
    </w:p>
    <w:p w14:paraId="6158ACA0" w14:textId="77777777" w:rsidR="006973D1" w:rsidRPr="006167D9" w:rsidRDefault="006973D1" w:rsidP="006973D1">
      <w:pPr>
        <w:pStyle w:val="Brdtextmedindrag"/>
        <w:spacing w:line="220" w:lineRule="exact"/>
        <w:rPr>
          <w:sz w:val="18"/>
          <w:szCs w:val="18"/>
        </w:rPr>
      </w:pPr>
      <w:r w:rsidRPr="006167D9">
        <w:rPr>
          <w:sz w:val="18"/>
          <w:szCs w:val="18"/>
        </w:rPr>
        <w:t>2.</w:t>
      </w:r>
      <w:r>
        <w:rPr>
          <w:sz w:val="18"/>
          <w:szCs w:val="18"/>
        </w:rPr>
        <w:t> </w:t>
      </w:r>
      <w:r w:rsidRPr="006167D9">
        <w:rPr>
          <w:sz w:val="18"/>
          <w:szCs w:val="18"/>
        </w:rPr>
        <w:t>det finns synnerlig anledning att anta att den misstänkte under den tid som tillståndet avser har kontaktat eller kommer att kontakta.</w:t>
      </w:r>
    </w:p>
    <w:p w14:paraId="21E35091" w14:textId="77777777" w:rsidR="006973D1" w:rsidRDefault="006973D1" w:rsidP="006973D1">
      <w:pPr>
        <w:pStyle w:val="Brdtext"/>
        <w:jc w:val="left"/>
      </w:pPr>
    </w:p>
    <w:p w14:paraId="2896875F" w14:textId="72F86322" w:rsidR="006973D1" w:rsidRDefault="006973D1" w:rsidP="006973D1">
      <w:pPr>
        <w:pStyle w:val="Brdtext"/>
      </w:pPr>
      <w:r>
        <w:lastRenderedPageBreak/>
        <w:t>Paragrafen innehåller bestämmelser om användning av hemlig av</w:t>
      </w:r>
      <w:r>
        <w:softHyphen/>
        <w:t>lyssning av elektronisk kommunikation när någon är skäligen miss</w:t>
      </w:r>
      <w:r>
        <w:softHyphen/>
        <w:t>tänkt för brott. Övervägandena finns i avsnitt </w:t>
      </w:r>
      <w:r w:rsidR="00EB5551">
        <w:t>6.4</w:t>
      </w:r>
      <w:r>
        <w:t xml:space="preserve">. </w:t>
      </w:r>
    </w:p>
    <w:p w14:paraId="31D3FFEF" w14:textId="58A55AAB" w:rsidR="006973D1" w:rsidRDefault="006973D1" w:rsidP="006973D1">
      <w:pPr>
        <w:pStyle w:val="Brdtextmedindrag"/>
      </w:pPr>
      <w:r w:rsidRPr="00E22CD2">
        <w:rPr>
          <w:i/>
          <w:iCs/>
        </w:rPr>
        <w:t>Andra stycket</w:t>
      </w:r>
      <w:r w:rsidRPr="00E22CD2">
        <w:t xml:space="preserve"> ändras på så sätt att brotten äktenskapstvång och barn</w:t>
      </w:r>
      <w:r>
        <w:softHyphen/>
      </w:r>
      <w:r w:rsidRPr="00E22CD2">
        <w:t>äktenskapsbrott (4 kap. 4 c § brotts</w:t>
      </w:r>
      <w:r w:rsidRPr="00E22CD2">
        <w:softHyphen/>
        <w:t xml:space="preserve">balken) läggs till i punkten 2, vilket innebär att hemlig avlyssning </w:t>
      </w:r>
      <w:r w:rsidRPr="00E22CD2">
        <w:rPr>
          <w:spacing w:val="-4"/>
        </w:rPr>
        <w:t xml:space="preserve">av elektronisk kommunikation får användas </w:t>
      </w:r>
      <w:r>
        <w:rPr>
          <w:spacing w:val="-4"/>
        </w:rPr>
        <w:t>vid en förundersökning om</w:t>
      </w:r>
      <w:r w:rsidRPr="00E22CD2">
        <w:rPr>
          <w:spacing w:val="-4"/>
        </w:rPr>
        <w:t xml:space="preserve"> dessa brott.</w:t>
      </w:r>
      <w:r w:rsidRPr="00E22CD2">
        <w:t xml:space="preserve"> </w:t>
      </w:r>
      <w:r>
        <w:t>Ändringen innebär också – på grund av hänvisningar till förevarande paragraf i 19 b § andra stycket, 20 b § första stycket och 20 c § andra stycket – att hemlig övervakning av elektro</w:t>
      </w:r>
      <w:r>
        <w:softHyphen/>
        <w:t>nisk kommunikation får användas i syfte att utreda vem som skäligen kan misstänkas för brotten och att hemlig kameraövervakning får användas både mot den som är skäligen misstänkt för brotten och i syfte att utreda vem som skäligen kan misstänkas för brotten. Ändringen</w:t>
      </w:r>
      <w:r w:rsidDel="0029292E">
        <w:t xml:space="preserve"> </w:t>
      </w:r>
      <w:r>
        <w:t>medför även – på grund av hänvisningar i 4, 5 a</w:t>
      </w:r>
      <w:r w:rsidDel="00344C19">
        <w:t xml:space="preserve"> </w:t>
      </w:r>
      <w:r>
        <w:t>och 6 c §</w:t>
      </w:r>
      <w:r w:rsidR="00766CDE">
        <w:t>§</w:t>
      </w:r>
      <w:r>
        <w:t xml:space="preserve"> lagen (2020:62) om hemlig dataavläsning och 4 § lagen </w:t>
      </w:r>
      <w:r w:rsidRPr="000973D8">
        <w:t>(2024:326) om hemliga tvångsmedel i syfte att verkställa frihetsberövande påföljder</w:t>
      </w:r>
      <w:r>
        <w:t xml:space="preserve"> – att viss hemlig data</w:t>
      </w:r>
      <w:r>
        <w:softHyphen/>
        <w:t>av</w:t>
      </w:r>
      <w:r>
        <w:softHyphen/>
        <w:t>läs</w:t>
      </w:r>
      <w:r>
        <w:softHyphen/>
        <w:t xml:space="preserve">ning kan användas. </w:t>
      </w:r>
    </w:p>
    <w:p w14:paraId="2D0E450C" w14:textId="77777777" w:rsidR="006973D1" w:rsidRDefault="006973D1" w:rsidP="006973D1">
      <w:pPr>
        <w:pStyle w:val="Brdtextmedindrag"/>
      </w:pPr>
    </w:p>
    <w:p w14:paraId="177BB34E" w14:textId="77777777" w:rsidR="006973D1" w:rsidRPr="006B6503" w:rsidRDefault="006973D1" w:rsidP="006973D1">
      <w:pPr>
        <w:pStyle w:val="Brdtext"/>
        <w:rPr>
          <w:sz w:val="18"/>
          <w:szCs w:val="18"/>
        </w:rPr>
      </w:pPr>
      <w:r w:rsidRPr="006B6503">
        <w:rPr>
          <w:b/>
          <w:bCs/>
          <w:sz w:val="18"/>
          <w:szCs w:val="18"/>
        </w:rPr>
        <w:t>18</w:t>
      </w:r>
      <w:r>
        <w:rPr>
          <w:b/>
          <w:bCs/>
          <w:sz w:val="18"/>
          <w:szCs w:val="18"/>
        </w:rPr>
        <w:t> </w:t>
      </w:r>
      <w:r w:rsidRPr="006B6503">
        <w:rPr>
          <w:b/>
          <w:bCs/>
          <w:sz w:val="18"/>
          <w:szCs w:val="18"/>
        </w:rPr>
        <w:t>b</w:t>
      </w:r>
      <w:r>
        <w:rPr>
          <w:b/>
          <w:bCs/>
          <w:sz w:val="18"/>
          <w:szCs w:val="18"/>
        </w:rPr>
        <w:t> §</w:t>
      </w:r>
      <w:r>
        <w:rPr>
          <w:sz w:val="18"/>
          <w:szCs w:val="18"/>
        </w:rPr>
        <w:t>    </w:t>
      </w:r>
      <w:r w:rsidRPr="006B6503">
        <w:rPr>
          <w:sz w:val="18"/>
          <w:szCs w:val="18"/>
        </w:rPr>
        <w:t>Hemlig avlyssning av elektronisk kommunikation får även användas i syfte att utreda vem som skäligen kan misstänkas för brott som avses i andra stycket, om åtgärden är av synnerlig vikt för utredningen.</w:t>
      </w:r>
    </w:p>
    <w:p w14:paraId="7F9A77EC" w14:textId="77777777" w:rsidR="006973D1" w:rsidRPr="006B6503" w:rsidRDefault="006973D1" w:rsidP="006973D1">
      <w:pPr>
        <w:pStyle w:val="Brdtextmedindrag"/>
        <w:rPr>
          <w:sz w:val="18"/>
          <w:szCs w:val="18"/>
        </w:rPr>
      </w:pPr>
      <w:r w:rsidRPr="006B6503">
        <w:rPr>
          <w:sz w:val="18"/>
          <w:szCs w:val="18"/>
        </w:rPr>
        <w:t>Hemlig avlyssning av elektronisk kommunikation enligt denna paragraf får användas vid en förundersökning om</w:t>
      </w:r>
    </w:p>
    <w:p w14:paraId="63F7889A" w14:textId="77777777" w:rsidR="006973D1" w:rsidRPr="006B6503" w:rsidRDefault="006973D1" w:rsidP="006973D1">
      <w:pPr>
        <w:pStyle w:val="Brdtextmedindrag"/>
        <w:rPr>
          <w:sz w:val="18"/>
          <w:szCs w:val="18"/>
        </w:rPr>
      </w:pPr>
      <w:r w:rsidRPr="006B6503">
        <w:rPr>
          <w:sz w:val="18"/>
          <w:szCs w:val="18"/>
        </w:rPr>
        <w:t>1. ett brott för vilket det inte är föreskrivet lindrigare straff än fängelse i fyra år,</w:t>
      </w:r>
    </w:p>
    <w:p w14:paraId="2A405D21" w14:textId="77777777" w:rsidR="006973D1" w:rsidRPr="006B6503" w:rsidRDefault="006973D1" w:rsidP="006973D1">
      <w:pPr>
        <w:pStyle w:val="Brdtextmedindrag"/>
        <w:rPr>
          <w:sz w:val="18"/>
          <w:szCs w:val="18"/>
        </w:rPr>
      </w:pPr>
      <w:r w:rsidRPr="006B6503">
        <w:rPr>
          <w:sz w:val="18"/>
          <w:szCs w:val="18"/>
        </w:rPr>
        <w:t>2. </w:t>
      </w:r>
      <w:r w:rsidRPr="00F94B5E">
        <w:rPr>
          <w:i/>
          <w:sz w:val="18"/>
          <w:szCs w:val="18"/>
        </w:rPr>
        <w:t>äktenskapstvång, barn</w:t>
      </w:r>
      <w:r w:rsidRPr="00F94B5E">
        <w:rPr>
          <w:i/>
          <w:sz w:val="18"/>
          <w:szCs w:val="18"/>
        </w:rPr>
        <w:softHyphen/>
        <w:t>äkten</w:t>
      </w:r>
      <w:r w:rsidRPr="00F94B5E">
        <w:rPr>
          <w:i/>
          <w:sz w:val="18"/>
          <w:szCs w:val="18"/>
        </w:rPr>
        <w:softHyphen/>
        <w:t>skapsbrott</w:t>
      </w:r>
      <w:r w:rsidRPr="006B6503">
        <w:rPr>
          <w:sz w:val="18"/>
          <w:szCs w:val="18"/>
        </w:rPr>
        <w:t xml:space="preserve"> </w:t>
      </w:r>
      <w:r w:rsidRPr="00F94B5E">
        <w:rPr>
          <w:i/>
          <w:sz w:val="18"/>
          <w:szCs w:val="18"/>
        </w:rPr>
        <w:t>eller</w:t>
      </w:r>
      <w:r w:rsidRPr="006B6503">
        <w:rPr>
          <w:sz w:val="18"/>
          <w:szCs w:val="18"/>
        </w:rPr>
        <w:t xml:space="preserve"> grovt dataintrång </w:t>
      </w:r>
      <w:r>
        <w:rPr>
          <w:sz w:val="18"/>
          <w:szCs w:val="18"/>
        </w:rPr>
        <w:t xml:space="preserve">enligt </w:t>
      </w:r>
      <w:r w:rsidRPr="006B6503">
        <w:rPr>
          <w:sz w:val="18"/>
          <w:szCs w:val="18"/>
        </w:rPr>
        <w:t>4</w:t>
      </w:r>
      <w:r>
        <w:rPr>
          <w:sz w:val="18"/>
          <w:szCs w:val="18"/>
        </w:rPr>
        <w:t> kap.</w:t>
      </w:r>
      <w:r w:rsidRPr="006B6503">
        <w:rPr>
          <w:sz w:val="18"/>
          <w:szCs w:val="18"/>
        </w:rPr>
        <w:t xml:space="preserve"> </w:t>
      </w:r>
      <w:r w:rsidRPr="00F94B5E">
        <w:rPr>
          <w:i/>
          <w:sz w:val="18"/>
          <w:szCs w:val="18"/>
        </w:rPr>
        <w:t>4</w:t>
      </w:r>
      <w:r>
        <w:rPr>
          <w:i/>
          <w:sz w:val="18"/>
          <w:szCs w:val="18"/>
        </w:rPr>
        <w:t> </w:t>
      </w:r>
      <w:r w:rsidRPr="00F94B5E">
        <w:rPr>
          <w:i/>
          <w:sz w:val="18"/>
          <w:szCs w:val="18"/>
        </w:rPr>
        <w:t>c</w:t>
      </w:r>
      <w:r>
        <w:rPr>
          <w:i/>
          <w:sz w:val="18"/>
          <w:szCs w:val="18"/>
        </w:rPr>
        <w:t> §</w:t>
      </w:r>
      <w:r w:rsidRPr="00F94B5E" w:rsidDel="00344C19">
        <w:rPr>
          <w:i/>
          <w:sz w:val="18"/>
          <w:szCs w:val="18"/>
        </w:rPr>
        <w:t xml:space="preserve"> </w:t>
      </w:r>
      <w:r>
        <w:rPr>
          <w:i/>
          <w:sz w:val="18"/>
          <w:szCs w:val="18"/>
        </w:rPr>
        <w:t>eller</w:t>
      </w:r>
      <w:r>
        <w:rPr>
          <w:sz w:val="18"/>
          <w:szCs w:val="18"/>
        </w:rPr>
        <w:t xml:space="preserve"> </w:t>
      </w:r>
      <w:r w:rsidRPr="006B6503">
        <w:rPr>
          <w:sz w:val="18"/>
          <w:szCs w:val="18"/>
        </w:rPr>
        <w:t>9 c § andra stycket brotts</w:t>
      </w:r>
      <w:r w:rsidRPr="006B6503">
        <w:rPr>
          <w:sz w:val="18"/>
          <w:szCs w:val="18"/>
        </w:rPr>
        <w:softHyphen/>
        <w:t>balken, om det kan antas att brottets straffvärde överstiger fängelse i ett år,</w:t>
      </w:r>
    </w:p>
    <w:p w14:paraId="02418506" w14:textId="77777777" w:rsidR="006973D1" w:rsidRPr="006B6503" w:rsidRDefault="006973D1" w:rsidP="006973D1">
      <w:pPr>
        <w:pStyle w:val="Brdtextmedindrag"/>
        <w:rPr>
          <w:sz w:val="18"/>
          <w:szCs w:val="18"/>
        </w:rPr>
      </w:pPr>
      <w:r w:rsidRPr="006B6503">
        <w:rPr>
          <w:sz w:val="18"/>
          <w:szCs w:val="18"/>
        </w:rPr>
        <w:t>3.</w:t>
      </w:r>
      <w:r>
        <w:rPr>
          <w:sz w:val="18"/>
          <w:szCs w:val="18"/>
        </w:rPr>
        <w:t> </w:t>
      </w:r>
      <w:r w:rsidRPr="006B6503">
        <w:rPr>
          <w:sz w:val="18"/>
          <w:szCs w:val="18"/>
        </w:rPr>
        <w:t>våldtäkt eller våldtäkt mot barn enligt 6</w:t>
      </w:r>
      <w:r>
        <w:rPr>
          <w:sz w:val="18"/>
          <w:szCs w:val="18"/>
        </w:rPr>
        <w:t> kap.</w:t>
      </w:r>
      <w:r w:rsidRPr="006B6503">
        <w:rPr>
          <w:sz w:val="18"/>
          <w:szCs w:val="18"/>
        </w:rPr>
        <w:t xml:space="preserve"> 1</w:t>
      </w:r>
      <w:r>
        <w:rPr>
          <w:sz w:val="18"/>
          <w:szCs w:val="18"/>
        </w:rPr>
        <w:t> §</w:t>
      </w:r>
      <w:r w:rsidRPr="006B6503">
        <w:rPr>
          <w:sz w:val="18"/>
          <w:szCs w:val="18"/>
        </w:rPr>
        <w:t xml:space="preserve"> första stycket eller 4</w:t>
      </w:r>
      <w:r>
        <w:rPr>
          <w:sz w:val="18"/>
          <w:szCs w:val="18"/>
        </w:rPr>
        <w:t> §</w:t>
      </w:r>
      <w:r w:rsidRPr="006B6503">
        <w:rPr>
          <w:sz w:val="18"/>
          <w:szCs w:val="18"/>
        </w:rPr>
        <w:t xml:space="preserve"> första eller andra stycket brottsbalken,</w:t>
      </w:r>
    </w:p>
    <w:p w14:paraId="2698D5FA" w14:textId="77777777" w:rsidR="006973D1" w:rsidRPr="006B6503" w:rsidRDefault="006973D1" w:rsidP="006973D1">
      <w:pPr>
        <w:pStyle w:val="Brdtextmedindrag"/>
        <w:rPr>
          <w:sz w:val="18"/>
          <w:szCs w:val="18"/>
        </w:rPr>
      </w:pPr>
      <w:r w:rsidRPr="006B6503">
        <w:rPr>
          <w:sz w:val="18"/>
          <w:szCs w:val="18"/>
        </w:rPr>
        <w:t>4.</w:t>
      </w:r>
      <w:r>
        <w:rPr>
          <w:sz w:val="18"/>
          <w:szCs w:val="18"/>
        </w:rPr>
        <w:t> </w:t>
      </w:r>
      <w:r w:rsidRPr="006B6503">
        <w:rPr>
          <w:sz w:val="18"/>
          <w:szCs w:val="18"/>
        </w:rPr>
        <w:t>grovt bedrägeri enligt 9</w:t>
      </w:r>
      <w:r>
        <w:rPr>
          <w:sz w:val="18"/>
          <w:szCs w:val="18"/>
        </w:rPr>
        <w:t> kap.</w:t>
      </w:r>
      <w:r w:rsidRPr="006B6503">
        <w:rPr>
          <w:sz w:val="18"/>
          <w:szCs w:val="18"/>
        </w:rPr>
        <w:t xml:space="preserve"> 3</w:t>
      </w:r>
      <w:r>
        <w:rPr>
          <w:sz w:val="18"/>
          <w:szCs w:val="18"/>
        </w:rPr>
        <w:t> §</w:t>
      </w:r>
      <w:r w:rsidRPr="006B6503">
        <w:rPr>
          <w:sz w:val="18"/>
          <w:szCs w:val="18"/>
        </w:rPr>
        <w:t xml:space="preserve"> brottsbalken, om gärningen har begåtts med hjälp av elektronisk kommunikation och det kan antas att brottets straffvärde överstiger fängelse i ett år,</w:t>
      </w:r>
    </w:p>
    <w:p w14:paraId="5055A466" w14:textId="77777777" w:rsidR="006973D1" w:rsidRPr="006B6503" w:rsidRDefault="006973D1" w:rsidP="006973D1">
      <w:pPr>
        <w:pStyle w:val="Brdtextmedindrag"/>
        <w:rPr>
          <w:sz w:val="18"/>
          <w:szCs w:val="18"/>
        </w:rPr>
      </w:pPr>
      <w:r w:rsidRPr="006B6503">
        <w:rPr>
          <w:sz w:val="18"/>
          <w:szCs w:val="18"/>
        </w:rPr>
        <w:t>5.</w:t>
      </w:r>
      <w:r>
        <w:rPr>
          <w:sz w:val="18"/>
          <w:szCs w:val="18"/>
        </w:rPr>
        <w:t> </w:t>
      </w:r>
      <w:r w:rsidRPr="006B6503">
        <w:rPr>
          <w:sz w:val="18"/>
          <w:szCs w:val="18"/>
        </w:rPr>
        <w:t>utpressning enligt 9</w:t>
      </w:r>
      <w:r>
        <w:rPr>
          <w:sz w:val="18"/>
          <w:szCs w:val="18"/>
        </w:rPr>
        <w:t> kap.</w:t>
      </w:r>
      <w:r w:rsidRPr="006B6503">
        <w:rPr>
          <w:sz w:val="18"/>
          <w:szCs w:val="18"/>
        </w:rPr>
        <w:t xml:space="preserve"> 4</w:t>
      </w:r>
      <w:r>
        <w:rPr>
          <w:sz w:val="18"/>
          <w:szCs w:val="18"/>
        </w:rPr>
        <w:t> §</w:t>
      </w:r>
      <w:r w:rsidRPr="006B6503">
        <w:rPr>
          <w:sz w:val="18"/>
          <w:szCs w:val="18"/>
        </w:rPr>
        <w:t xml:space="preserve"> första stycket brottsbalken, om det kan antas att brottets straffvärde överstiger fängelse i ett år,</w:t>
      </w:r>
    </w:p>
    <w:p w14:paraId="0090BFF7" w14:textId="77777777" w:rsidR="006973D1" w:rsidRPr="006B6503" w:rsidRDefault="006973D1" w:rsidP="006973D1">
      <w:pPr>
        <w:pStyle w:val="Brdtextmedindrag"/>
        <w:rPr>
          <w:sz w:val="18"/>
          <w:szCs w:val="18"/>
        </w:rPr>
      </w:pPr>
      <w:r w:rsidRPr="006B6503">
        <w:rPr>
          <w:sz w:val="18"/>
          <w:szCs w:val="18"/>
        </w:rPr>
        <w:t>6. grov utpressning enligt 9</w:t>
      </w:r>
      <w:r>
        <w:rPr>
          <w:sz w:val="18"/>
          <w:szCs w:val="18"/>
        </w:rPr>
        <w:t> kap.</w:t>
      </w:r>
      <w:r w:rsidRPr="006B6503">
        <w:rPr>
          <w:sz w:val="18"/>
          <w:szCs w:val="18"/>
        </w:rPr>
        <w:t xml:space="preserve"> 4</w:t>
      </w:r>
      <w:r>
        <w:rPr>
          <w:sz w:val="18"/>
          <w:szCs w:val="18"/>
        </w:rPr>
        <w:t> §</w:t>
      </w:r>
      <w:r w:rsidRPr="006B6503">
        <w:rPr>
          <w:sz w:val="18"/>
          <w:szCs w:val="18"/>
        </w:rPr>
        <w:t xml:space="preserve"> andra stycket brottsbalken,</w:t>
      </w:r>
    </w:p>
    <w:p w14:paraId="4C211137" w14:textId="77777777" w:rsidR="006973D1" w:rsidRPr="006B6503" w:rsidRDefault="006973D1" w:rsidP="006973D1">
      <w:pPr>
        <w:pStyle w:val="Brdtextmedindrag"/>
        <w:rPr>
          <w:sz w:val="18"/>
          <w:szCs w:val="18"/>
        </w:rPr>
      </w:pPr>
      <w:r w:rsidRPr="006B6503">
        <w:rPr>
          <w:sz w:val="18"/>
          <w:szCs w:val="18"/>
        </w:rPr>
        <w:t>7.</w:t>
      </w:r>
      <w:r>
        <w:rPr>
          <w:sz w:val="18"/>
          <w:szCs w:val="18"/>
        </w:rPr>
        <w:t> </w:t>
      </w:r>
      <w:r w:rsidRPr="006B6503">
        <w:rPr>
          <w:sz w:val="18"/>
          <w:szCs w:val="18"/>
        </w:rPr>
        <w:t>allmänfarlig ödeläggelse eller grovt sabotage enligt 13</w:t>
      </w:r>
      <w:r>
        <w:rPr>
          <w:sz w:val="18"/>
          <w:szCs w:val="18"/>
        </w:rPr>
        <w:t> kap.</w:t>
      </w:r>
      <w:r w:rsidRPr="006B6503">
        <w:rPr>
          <w:sz w:val="18"/>
          <w:szCs w:val="18"/>
        </w:rPr>
        <w:t xml:space="preserve"> 3</w:t>
      </w:r>
      <w:r>
        <w:rPr>
          <w:sz w:val="18"/>
          <w:szCs w:val="18"/>
        </w:rPr>
        <w:t> §</w:t>
      </w:r>
      <w:r w:rsidRPr="006B6503">
        <w:rPr>
          <w:sz w:val="18"/>
          <w:szCs w:val="18"/>
        </w:rPr>
        <w:t xml:space="preserve"> första stycket eller 5</w:t>
      </w:r>
      <w:r>
        <w:rPr>
          <w:sz w:val="18"/>
          <w:szCs w:val="18"/>
        </w:rPr>
        <w:t> §</w:t>
      </w:r>
      <w:r w:rsidRPr="006B6503">
        <w:rPr>
          <w:sz w:val="18"/>
          <w:szCs w:val="18"/>
        </w:rPr>
        <w:t xml:space="preserve"> brottsbalken,</w:t>
      </w:r>
    </w:p>
    <w:p w14:paraId="2B9E4473" w14:textId="77777777" w:rsidR="006973D1" w:rsidRPr="006B6503" w:rsidRDefault="006973D1" w:rsidP="006973D1">
      <w:pPr>
        <w:pStyle w:val="Brdtextmedindrag"/>
        <w:rPr>
          <w:sz w:val="18"/>
          <w:szCs w:val="18"/>
        </w:rPr>
      </w:pPr>
      <w:r w:rsidRPr="006B6503">
        <w:rPr>
          <w:sz w:val="18"/>
          <w:szCs w:val="18"/>
        </w:rPr>
        <w:t>8.</w:t>
      </w:r>
      <w:r>
        <w:rPr>
          <w:sz w:val="18"/>
          <w:szCs w:val="18"/>
        </w:rPr>
        <w:t> </w:t>
      </w:r>
      <w:r w:rsidRPr="006B6503">
        <w:rPr>
          <w:sz w:val="18"/>
          <w:szCs w:val="18"/>
        </w:rPr>
        <w:t>krigsanstiftan eller grovt utlandsspioneri enligt 19</w:t>
      </w:r>
      <w:r>
        <w:rPr>
          <w:sz w:val="18"/>
          <w:szCs w:val="18"/>
        </w:rPr>
        <w:t> kap.</w:t>
      </w:r>
      <w:r w:rsidRPr="006B6503">
        <w:rPr>
          <w:sz w:val="18"/>
          <w:szCs w:val="18"/>
        </w:rPr>
        <w:t xml:space="preserve"> 2 eller 6</w:t>
      </w:r>
      <w:r>
        <w:rPr>
          <w:sz w:val="18"/>
          <w:szCs w:val="18"/>
        </w:rPr>
        <w:t> </w:t>
      </w:r>
      <w:r w:rsidRPr="006B6503">
        <w:rPr>
          <w:sz w:val="18"/>
          <w:szCs w:val="18"/>
        </w:rPr>
        <w:t>b</w:t>
      </w:r>
      <w:r>
        <w:rPr>
          <w:sz w:val="18"/>
          <w:szCs w:val="18"/>
        </w:rPr>
        <w:t> §</w:t>
      </w:r>
      <w:r w:rsidRPr="006B6503">
        <w:rPr>
          <w:sz w:val="18"/>
          <w:szCs w:val="18"/>
        </w:rPr>
        <w:t xml:space="preserve"> brotts</w:t>
      </w:r>
      <w:r>
        <w:rPr>
          <w:sz w:val="18"/>
          <w:szCs w:val="18"/>
        </w:rPr>
        <w:softHyphen/>
      </w:r>
      <w:r w:rsidRPr="006B6503">
        <w:rPr>
          <w:sz w:val="18"/>
          <w:szCs w:val="18"/>
        </w:rPr>
        <w:t>balken,</w:t>
      </w:r>
    </w:p>
    <w:p w14:paraId="71B4AA12" w14:textId="77777777" w:rsidR="006973D1" w:rsidRPr="006B6503" w:rsidRDefault="006973D1" w:rsidP="006973D1">
      <w:pPr>
        <w:pStyle w:val="Brdtextmedindrag"/>
        <w:rPr>
          <w:sz w:val="18"/>
          <w:szCs w:val="18"/>
        </w:rPr>
      </w:pPr>
      <w:r w:rsidRPr="006B6503">
        <w:rPr>
          <w:sz w:val="18"/>
          <w:szCs w:val="18"/>
        </w:rPr>
        <w:t>9. grovt narkotikabrott enligt 3</w:t>
      </w:r>
      <w:r>
        <w:rPr>
          <w:sz w:val="18"/>
          <w:szCs w:val="18"/>
        </w:rPr>
        <w:t> §</w:t>
      </w:r>
      <w:r w:rsidRPr="006B6503">
        <w:rPr>
          <w:sz w:val="18"/>
          <w:szCs w:val="18"/>
        </w:rPr>
        <w:t xml:space="preserve"> första stycket narkotikastrafflagen (1968:64),</w:t>
      </w:r>
    </w:p>
    <w:p w14:paraId="3AED5A84" w14:textId="77777777" w:rsidR="006973D1" w:rsidRPr="006B6503" w:rsidRDefault="006973D1" w:rsidP="006973D1">
      <w:pPr>
        <w:pStyle w:val="Brdtextmedindrag"/>
        <w:rPr>
          <w:sz w:val="18"/>
          <w:szCs w:val="18"/>
        </w:rPr>
      </w:pPr>
      <w:r w:rsidRPr="006B6503">
        <w:rPr>
          <w:sz w:val="18"/>
          <w:szCs w:val="18"/>
        </w:rPr>
        <w:t xml:space="preserve">10. grovt vapenbrott enligt </w:t>
      </w:r>
      <w:r>
        <w:rPr>
          <w:sz w:val="18"/>
          <w:szCs w:val="18"/>
        </w:rPr>
        <w:t>18 kap.</w:t>
      </w:r>
      <w:r w:rsidRPr="006B6503">
        <w:rPr>
          <w:sz w:val="18"/>
          <w:szCs w:val="18"/>
        </w:rPr>
        <w:t xml:space="preserve"> </w:t>
      </w:r>
      <w:r>
        <w:rPr>
          <w:sz w:val="18"/>
          <w:szCs w:val="18"/>
        </w:rPr>
        <w:t>2 §</w:t>
      </w:r>
      <w:r w:rsidRPr="006B6503">
        <w:rPr>
          <w:sz w:val="18"/>
          <w:szCs w:val="18"/>
        </w:rPr>
        <w:t xml:space="preserve"> första stycket vapenlagen (</w:t>
      </w:r>
      <w:r>
        <w:rPr>
          <w:sz w:val="18"/>
          <w:szCs w:val="18"/>
        </w:rPr>
        <w:t>2026:000</w:t>
      </w:r>
      <w:r w:rsidRPr="006B6503">
        <w:rPr>
          <w:sz w:val="18"/>
          <w:szCs w:val="18"/>
        </w:rPr>
        <w:t>),</w:t>
      </w:r>
    </w:p>
    <w:p w14:paraId="3EB65C09" w14:textId="77777777" w:rsidR="006973D1" w:rsidRPr="006B6503" w:rsidRDefault="006973D1" w:rsidP="006973D1">
      <w:pPr>
        <w:pStyle w:val="Brdtextmedindrag"/>
        <w:rPr>
          <w:sz w:val="18"/>
          <w:szCs w:val="18"/>
        </w:rPr>
      </w:pPr>
      <w:r w:rsidRPr="006B6503">
        <w:rPr>
          <w:sz w:val="18"/>
          <w:szCs w:val="18"/>
        </w:rPr>
        <w:t>11.</w:t>
      </w:r>
      <w:r>
        <w:rPr>
          <w:sz w:val="18"/>
          <w:szCs w:val="18"/>
        </w:rPr>
        <w:t> </w:t>
      </w:r>
      <w:r w:rsidRPr="006B6503">
        <w:rPr>
          <w:sz w:val="18"/>
          <w:szCs w:val="18"/>
        </w:rPr>
        <w:t>grov narkotikasmuggling, grov vapensmuggling eller grov smuggling av explosiv vara enligt 6</w:t>
      </w:r>
      <w:r>
        <w:rPr>
          <w:sz w:val="18"/>
          <w:szCs w:val="18"/>
        </w:rPr>
        <w:t> §</w:t>
      </w:r>
      <w:r w:rsidRPr="006B6503">
        <w:rPr>
          <w:sz w:val="18"/>
          <w:szCs w:val="18"/>
        </w:rPr>
        <w:t xml:space="preserve"> tredje stycket, 6</w:t>
      </w:r>
      <w:r>
        <w:rPr>
          <w:sz w:val="18"/>
          <w:szCs w:val="18"/>
        </w:rPr>
        <w:t> </w:t>
      </w:r>
      <w:r w:rsidRPr="006B6503">
        <w:rPr>
          <w:sz w:val="18"/>
          <w:szCs w:val="18"/>
        </w:rPr>
        <w:t>a</w:t>
      </w:r>
      <w:r>
        <w:rPr>
          <w:sz w:val="18"/>
          <w:szCs w:val="18"/>
        </w:rPr>
        <w:t> §</w:t>
      </w:r>
      <w:r w:rsidRPr="006B6503">
        <w:rPr>
          <w:sz w:val="18"/>
          <w:szCs w:val="18"/>
        </w:rPr>
        <w:t xml:space="preserve"> tredje stycket eller 6 b</w:t>
      </w:r>
      <w:r>
        <w:rPr>
          <w:sz w:val="18"/>
          <w:szCs w:val="18"/>
        </w:rPr>
        <w:t> §</w:t>
      </w:r>
      <w:r w:rsidRPr="006B6503">
        <w:rPr>
          <w:sz w:val="18"/>
          <w:szCs w:val="18"/>
        </w:rPr>
        <w:t xml:space="preserve"> tredje stycket lagen (2000:1225) om straff för smuggling,</w:t>
      </w:r>
    </w:p>
    <w:p w14:paraId="74F59630" w14:textId="77777777" w:rsidR="006973D1" w:rsidRPr="006B6503" w:rsidRDefault="006973D1" w:rsidP="006973D1">
      <w:pPr>
        <w:pStyle w:val="Brdtextmedindrag"/>
        <w:rPr>
          <w:sz w:val="18"/>
          <w:szCs w:val="18"/>
        </w:rPr>
      </w:pPr>
      <w:r w:rsidRPr="006B6503">
        <w:rPr>
          <w:sz w:val="18"/>
          <w:szCs w:val="18"/>
        </w:rPr>
        <w:t>12.</w:t>
      </w:r>
      <w:r>
        <w:rPr>
          <w:sz w:val="18"/>
          <w:szCs w:val="18"/>
        </w:rPr>
        <w:t> </w:t>
      </w:r>
      <w:r w:rsidRPr="006B6503">
        <w:rPr>
          <w:sz w:val="18"/>
          <w:szCs w:val="18"/>
        </w:rPr>
        <w:t>grovt brott enligt 29 a</w:t>
      </w:r>
      <w:r>
        <w:rPr>
          <w:sz w:val="18"/>
          <w:szCs w:val="18"/>
        </w:rPr>
        <w:t> §</w:t>
      </w:r>
      <w:r w:rsidRPr="006B6503">
        <w:rPr>
          <w:sz w:val="18"/>
          <w:szCs w:val="18"/>
        </w:rPr>
        <w:t xml:space="preserve"> första stycket lagen (2010:1011) om brandfarliga och explosiva varor,</w:t>
      </w:r>
    </w:p>
    <w:p w14:paraId="0C8FB63D" w14:textId="77777777" w:rsidR="006973D1" w:rsidRDefault="006973D1" w:rsidP="006973D1">
      <w:pPr>
        <w:pStyle w:val="Brdtextmedindrag"/>
        <w:rPr>
          <w:sz w:val="18"/>
          <w:szCs w:val="18"/>
        </w:rPr>
      </w:pPr>
      <w:r w:rsidRPr="006B6503">
        <w:rPr>
          <w:sz w:val="18"/>
          <w:szCs w:val="18"/>
        </w:rPr>
        <w:t>13.</w:t>
      </w:r>
      <w:r>
        <w:rPr>
          <w:sz w:val="18"/>
          <w:szCs w:val="18"/>
        </w:rPr>
        <w:t> </w:t>
      </w:r>
      <w:r w:rsidRPr="006B6503">
        <w:rPr>
          <w:sz w:val="18"/>
          <w:szCs w:val="18"/>
        </w:rPr>
        <w:t>grovt penningtvättsbrott eller näringspenningtvätt, grovt brott, enligt 5</w:t>
      </w:r>
      <w:r>
        <w:rPr>
          <w:sz w:val="18"/>
          <w:szCs w:val="18"/>
        </w:rPr>
        <w:t> §</w:t>
      </w:r>
      <w:r w:rsidRPr="006B6503">
        <w:rPr>
          <w:sz w:val="18"/>
          <w:szCs w:val="18"/>
        </w:rPr>
        <w:t xml:space="preserve"> eller 7</w:t>
      </w:r>
      <w:r>
        <w:rPr>
          <w:sz w:val="18"/>
          <w:szCs w:val="18"/>
        </w:rPr>
        <w:t> §</w:t>
      </w:r>
      <w:r w:rsidRPr="006B6503">
        <w:rPr>
          <w:sz w:val="18"/>
          <w:szCs w:val="18"/>
        </w:rPr>
        <w:t xml:space="preserve"> andra stycket lagen (2014:307) om straff för penningtvättsbrott, om det kan antas att brottets straffvärde överstiger fängelse i ett år,</w:t>
      </w:r>
    </w:p>
    <w:p w14:paraId="004EECF3" w14:textId="77777777" w:rsidR="006973D1" w:rsidRDefault="006973D1" w:rsidP="006973D1">
      <w:pPr>
        <w:pStyle w:val="Brdtextmedindrag"/>
        <w:rPr>
          <w:sz w:val="18"/>
          <w:szCs w:val="18"/>
        </w:rPr>
      </w:pPr>
      <w:r w:rsidRPr="006B6503">
        <w:rPr>
          <w:sz w:val="18"/>
          <w:szCs w:val="18"/>
        </w:rPr>
        <w:t>14. terroristbrott enligt 4</w:t>
      </w:r>
      <w:r>
        <w:rPr>
          <w:sz w:val="18"/>
          <w:szCs w:val="18"/>
        </w:rPr>
        <w:t> §</w:t>
      </w:r>
      <w:r w:rsidRPr="006B6503">
        <w:rPr>
          <w:sz w:val="18"/>
          <w:szCs w:val="18"/>
        </w:rPr>
        <w:t xml:space="preserve"> terroristbrottslagen (2022:666),</w:t>
      </w:r>
    </w:p>
    <w:p w14:paraId="6EE4CEE3" w14:textId="77777777" w:rsidR="006973D1" w:rsidRPr="006B6503" w:rsidRDefault="006973D1" w:rsidP="006973D1">
      <w:pPr>
        <w:pStyle w:val="Brdtextmedindrag"/>
        <w:rPr>
          <w:sz w:val="18"/>
          <w:szCs w:val="18"/>
        </w:rPr>
      </w:pPr>
      <w:r w:rsidRPr="006B6503">
        <w:rPr>
          <w:sz w:val="18"/>
          <w:szCs w:val="18"/>
        </w:rPr>
        <w:t>15. ett brott som avses i 18 a</w:t>
      </w:r>
      <w:r>
        <w:rPr>
          <w:sz w:val="18"/>
          <w:szCs w:val="18"/>
        </w:rPr>
        <w:t> §</w:t>
      </w:r>
      <w:r w:rsidRPr="006B6503">
        <w:rPr>
          <w:sz w:val="18"/>
          <w:szCs w:val="18"/>
        </w:rPr>
        <w:t xml:space="preserve"> andra stycket 3, 4, 7, 8, 10, 13, 14, 17 eller 18,</w:t>
      </w:r>
    </w:p>
    <w:p w14:paraId="5AE1C58A" w14:textId="77777777" w:rsidR="006973D1" w:rsidRPr="006B6503" w:rsidRDefault="006973D1" w:rsidP="006973D1">
      <w:pPr>
        <w:pStyle w:val="Brdtextmedindrag"/>
        <w:rPr>
          <w:sz w:val="18"/>
          <w:szCs w:val="18"/>
        </w:rPr>
      </w:pPr>
      <w:r w:rsidRPr="006B6503">
        <w:rPr>
          <w:sz w:val="18"/>
          <w:szCs w:val="18"/>
        </w:rPr>
        <w:t>16.</w:t>
      </w:r>
      <w:r>
        <w:rPr>
          <w:sz w:val="18"/>
          <w:szCs w:val="18"/>
        </w:rPr>
        <w:t> </w:t>
      </w:r>
      <w:r w:rsidRPr="006B6503">
        <w:rPr>
          <w:sz w:val="18"/>
          <w:szCs w:val="18"/>
        </w:rPr>
        <w:t>försök, förberedelse eller stämpling till ett brott som avses i 1, 3, 6–12, 14 eller 15, om en sådan gärning är belagd med straff,</w:t>
      </w:r>
    </w:p>
    <w:p w14:paraId="226416BA" w14:textId="77777777" w:rsidR="006973D1" w:rsidRPr="006B6503" w:rsidRDefault="006973D1" w:rsidP="006973D1">
      <w:pPr>
        <w:pStyle w:val="Brdtextmedindrag"/>
        <w:rPr>
          <w:sz w:val="18"/>
          <w:szCs w:val="18"/>
        </w:rPr>
      </w:pPr>
      <w:r w:rsidRPr="006B6503">
        <w:rPr>
          <w:sz w:val="18"/>
          <w:szCs w:val="18"/>
        </w:rPr>
        <w:lastRenderedPageBreak/>
        <w:t>17.</w:t>
      </w:r>
      <w:r>
        <w:rPr>
          <w:sz w:val="18"/>
          <w:szCs w:val="18"/>
        </w:rPr>
        <w:t> </w:t>
      </w:r>
      <w:r w:rsidRPr="006B6503">
        <w:rPr>
          <w:sz w:val="18"/>
          <w:szCs w:val="18"/>
        </w:rPr>
        <w:t>försök, förberedelse eller stämpling till ett brott som avses i 2, 4, 5 eller 13, om en sådan gärning är belagd med straff och det kan antas att gärningens straff</w:t>
      </w:r>
      <w:r>
        <w:rPr>
          <w:sz w:val="18"/>
          <w:szCs w:val="18"/>
        </w:rPr>
        <w:softHyphen/>
      </w:r>
      <w:r w:rsidRPr="006B6503">
        <w:rPr>
          <w:sz w:val="18"/>
          <w:szCs w:val="18"/>
        </w:rPr>
        <w:t>värde överstiger fängelse i ett år,</w:t>
      </w:r>
    </w:p>
    <w:p w14:paraId="74C89E01" w14:textId="77777777" w:rsidR="006973D1" w:rsidRDefault="006973D1" w:rsidP="006973D1">
      <w:pPr>
        <w:pStyle w:val="Brdtextmedindrag"/>
        <w:rPr>
          <w:sz w:val="18"/>
          <w:szCs w:val="18"/>
        </w:rPr>
      </w:pPr>
      <w:r w:rsidRPr="006B6503">
        <w:rPr>
          <w:sz w:val="18"/>
          <w:szCs w:val="18"/>
        </w:rPr>
        <w:t>18.</w:t>
      </w:r>
      <w:r>
        <w:rPr>
          <w:sz w:val="18"/>
          <w:szCs w:val="18"/>
        </w:rPr>
        <w:t> </w:t>
      </w:r>
      <w:r w:rsidRPr="006B6503">
        <w:rPr>
          <w:sz w:val="18"/>
          <w:szCs w:val="18"/>
        </w:rPr>
        <w:t>ett annat brott, om det kan antas att brottets straffvärde överstiger fängelse i fyra år, eller</w:t>
      </w:r>
    </w:p>
    <w:p w14:paraId="4F6294A8" w14:textId="77777777" w:rsidR="006973D1" w:rsidRDefault="006973D1" w:rsidP="006973D1">
      <w:pPr>
        <w:pStyle w:val="Brdtextmedindrag"/>
        <w:rPr>
          <w:sz w:val="18"/>
          <w:szCs w:val="18"/>
        </w:rPr>
      </w:pPr>
      <w:r w:rsidRPr="006B6503">
        <w:rPr>
          <w:sz w:val="18"/>
          <w:szCs w:val="18"/>
        </w:rPr>
        <w:t>19. flera brott, om</w:t>
      </w:r>
    </w:p>
    <w:p w14:paraId="13EDDA75" w14:textId="77777777" w:rsidR="006973D1" w:rsidRPr="006B6503" w:rsidRDefault="006973D1" w:rsidP="006973D1">
      <w:pPr>
        <w:pStyle w:val="Brdtextmedindrag"/>
        <w:rPr>
          <w:sz w:val="18"/>
          <w:szCs w:val="18"/>
        </w:rPr>
      </w:pPr>
      <w:r w:rsidRPr="006B6503">
        <w:rPr>
          <w:sz w:val="18"/>
          <w:szCs w:val="18"/>
        </w:rPr>
        <w:t>a) det kan antas att samtliga brott har begåtts av en och samma person,</w:t>
      </w:r>
    </w:p>
    <w:p w14:paraId="26E283C9" w14:textId="77777777" w:rsidR="006973D1" w:rsidRPr="006B6503" w:rsidRDefault="006973D1" w:rsidP="006973D1">
      <w:pPr>
        <w:pStyle w:val="Brdtextmedindrag"/>
        <w:rPr>
          <w:sz w:val="18"/>
          <w:szCs w:val="18"/>
        </w:rPr>
      </w:pPr>
      <w:r w:rsidRPr="006B6503">
        <w:rPr>
          <w:sz w:val="18"/>
          <w:szCs w:val="18"/>
        </w:rPr>
        <w:t>b) det kan antas att den samlade brottslighetens straffvärde överstiger fängelse i fyra år,</w:t>
      </w:r>
    </w:p>
    <w:p w14:paraId="5AE68238" w14:textId="77777777" w:rsidR="006973D1" w:rsidRPr="006B6503" w:rsidRDefault="006973D1" w:rsidP="006973D1">
      <w:pPr>
        <w:pStyle w:val="Brdtextmedindrag"/>
        <w:rPr>
          <w:sz w:val="18"/>
          <w:szCs w:val="18"/>
        </w:rPr>
      </w:pPr>
      <w:r w:rsidRPr="006B6503">
        <w:rPr>
          <w:sz w:val="18"/>
          <w:szCs w:val="18"/>
        </w:rPr>
        <w:t>c) det kan antas att vart och ett av brotten har utgjort ett led i en brottslighet som har utövats i organiserad form eller systematiskt, och</w:t>
      </w:r>
    </w:p>
    <w:p w14:paraId="581E9421" w14:textId="77777777" w:rsidR="006973D1" w:rsidRPr="006B6503" w:rsidRDefault="006973D1" w:rsidP="006973D1">
      <w:pPr>
        <w:pStyle w:val="Brdtextmedindrag"/>
        <w:rPr>
          <w:sz w:val="18"/>
          <w:szCs w:val="18"/>
        </w:rPr>
      </w:pPr>
      <w:r w:rsidRPr="006B6503">
        <w:rPr>
          <w:sz w:val="18"/>
          <w:szCs w:val="18"/>
        </w:rPr>
        <w:t>d) det för vart och ett av brotten inte är föreskrivet lindrigare straff än fängelse i sex månader eller det är fråga om försök, förberedelse eller stämpling till ett sådant brott, om en sådan gärning är belagd med straff.</w:t>
      </w:r>
    </w:p>
    <w:p w14:paraId="2825A482" w14:textId="77777777" w:rsidR="006973D1" w:rsidRPr="006B6503" w:rsidRDefault="006973D1" w:rsidP="006973D1">
      <w:pPr>
        <w:pStyle w:val="Brdtextmedindrag"/>
        <w:rPr>
          <w:sz w:val="18"/>
          <w:szCs w:val="18"/>
        </w:rPr>
      </w:pPr>
      <w:r w:rsidRPr="006B6503">
        <w:rPr>
          <w:sz w:val="18"/>
          <w:szCs w:val="18"/>
        </w:rPr>
        <w:t>Hemlig avlyssning av elektronisk kommunikation enligt denna paragraf får endast avse ett telefonnummer eller en annan adress eller en viss elektronisk kommunikationsutrustning som</w:t>
      </w:r>
    </w:p>
    <w:p w14:paraId="4724E5FE" w14:textId="77777777" w:rsidR="006973D1" w:rsidRPr="006B6503" w:rsidRDefault="006973D1" w:rsidP="006973D1">
      <w:pPr>
        <w:pStyle w:val="Brdtextmedindrag"/>
        <w:rPr>
          <w:sz w:val="18"/>
          <w:szCs w:val="18"/>
        </w:rPr>
      </w:pPr>
      <w:r w:rsidRPr="006B6503">
        <w:rPr>
          <w:sz w:val="18"/>
          <w:szCs w:val="18"/>
        </w:rPr>
        <w:t>1.</w:t>
      </w:r>
      <w:r>
        <w:rPr>
          <w:sz w:val="18"/>
          <w:szCs w:val="18"/>
        </w:rPr>
        <w:t> </w:t>
      </w:r>
      <w:r w:rsidRPr="006B6503">
        <w:rPr>
          <w:sz w:val="18"/>
          <w:szCs w:val="18"/>
        </w:rPr>
        <w:t>det finns särskild anledning att anta att gärningsmannen eller någon annan som har medverkat till brottet eller brotten under den tid som tillståndet avser har använt eller kommer att använda, eller</w:t>
      </w:r>
    </w:p>
    <w:p w14:paraId="6D982826" w14:textId="77777777" w:rsidR="006973D1" w:rsidRPr="006B6503" w:rsidRDefault="006973D1" w:rsidP="006973D1">
      <w:pPr>
        <w:pStyle w:val="Brdtextmedindrag"/>
        <w:rPr>
          <w:sz w:val="18"/>
          <w:szCs w:val="18"/>
        </w:rPr>
      </w:pPr>
      <w:r w:rsidRPr="006B6503">
        <w:rPr>
          <w:sz w:val="18"/>
          <w:szCs w:val="18"/>
        </w:rPr>
        <w:t>2.</w:t>
      </w:r>
      <w:r>
        <w:rPr>
          <w:sz w:val="18"/>
          <w:szCs w:val="18"/>
        </w:rPr>
        <w:t> </w:t>
      </w:r>
      <w:r w:rsidRPr="006B6503">
        <w:rPr>
          <w:sz w:val="18"/>
          <w:szCs w:val="18"/>
        </w:rPr>
        <w:t>det finns synnerlig anledning att anta att gärningsmannen eller någon annan som har medverkat till brottet eller brotten under den tid som tillståndet avser har kontaktat eller kommer att kontakta.</w:t>
      </w:r>
    </w:p>
    <w:p w14:paraId="014922B5" w14:textId="77777777" w:rsidR="006973D1" w:rsidRDefault="006973D1" w:rsidP="006973D1">
      <w:pPr>
        <w:pStyle w:val="Brdtext"/>
      </w:pPr>
    </w:p>
    <w:p w14:paraId="6DC5389E" w14:textId="5820D872" w:rsidR="006973D1" w:rsidRDefault="006973D1" w:rsidP="006973D1">
      <w:pPr>
        <w:pStyle w:val="Brdtext"/>
      </w:pPr>
      <w:r>
        <w:t>Paragrafen innehåller bestämmelser om användning av hemlig av</w:t>
      </w:r>
      <w:r>
        <w:softHyphen/>
        <w:t>lyssning av elektronisk kommunikation i syfte att utreda vem som skäligen kan miss</w:t>
      </w:r>
      <w:r>
        <w:softHyphen/>
        <w:t>tänkas för brott. Övervägandena finns i avsnitt </w:t>
      </w:r>
      <w:r w:rsidR="00EB5551">
        <w:t>6.4</w:t>
      </w:r>
      <w:r>
        <w:t xml:space="preserve">. </w:t>
      </w:r>
    </w:p>
    <w:p w14:paraId="4219EE73" w14:textId="08CD0E0F" w:rsidR="006973D1" w:rsidRDefault="006973D1" w:rsidP="006973D1">
      <w:pPr>
        <w:pStyle w:val="Brdtextmedindrag"/>
      </w:pPr>
      <w:r w:rsidRPr="00E22CD2">
        <w:rPr>
          <w:i/>
          <w:iCs/>
        </w:rPr>
        <w:t>Andra stycket</w:t>
      </w:r>
      <w:r w:rsidRPr="00E22CD2">
        <w:t xml:space="preserve"> ändras på så sätt att brotten äktenskapstvång och barn</w:t>
      </w:r>
      <w:r>
        <w:softHyphen/>
      </w:r>
      <w:r w:rsidRPr="00E22CD2">
        <w:t>äktenskapsbrott (4 kap. 4 c § brotts</w:t>
      </w:r>
      <w:r w:rsidRPr="00E22CD2">
        <w:softHyphen/>
        <w:t xml:space="preserve">balken) läggs till i punkten 2, vilket innebär att hemlig avlyssning </w:t>
      </w:r>
      <w:r w:rsidRPr="00E22CD2">
        <w:rPr>
          <w:spacing w:val="-4"/>
        </w:rPr>
        <w:t xml:space="preserve">av elektronisk kommunikation </w:t>
      </w:r>
      <w:r>
        <w:rPr>
          <w:spacing w:val="-4"/>
        </w:rPr>
        <w:t>även får användas i syfte att utreda vem som skäligen kan misstänkas för dessa brott. En förutsättning för att</w:t>
      </w:r>
      <w:r w:rsidRPr="000B5A8D">
        <w:t xml:space="preserve"> </w:t>
      </w:r>
      <w:r>
        <w:t>hemlig av</w:t>
      </w:r>
      <w:r>
        <w:softHyphen/>
        <w:t xml:space="preserve">lyssning av elektronisk kommunikation ska få användas i detta syfte är att det </w:t>
      </w:r>
      <w:r>
        <w:rPr>
          <w:spacing w:val="-4"/>
        </w:rPr>
        <w:t xml:space="preserve">kan antas att brottets straffvärde överstiger fängelse i ett år. </w:t>
      </w:r>
      <w:r>
        <w:t>Ändringen</w:t>
      </w:r>
      <w:r w:rsidDel="0029292E">
        <w:t xml:space="preserve"> </w:t>
      </w:r>
      <w:r>
        <w:t>medför – på grund av hänvisningar till förevarande paragraf</w:t>
      </w:r>
      <w:r w:rsidR="00766CDE">
        <w:t xml:space="preserve"> i 5 § lagen (2020:62) om hemlig dataavläsning</w:t>
      </w:r>
      <w:r>
        <w:t xml:space="preserve"> – att även hemlig dataavläsning som inte gäller rumsavlyssningsuppgifter kan användas för att utreda vem som skäligen kan misstänkas för brott. </w:t>
      </w:r>
    </w:p>
    <w:p w14:paraId="77DD8A1D" w14:textId="77777777" w:rsidR="006973D1" w:rsidRDefault="006973D1" w:rsidP="006973D1">
      <w:pPr>
        <w:pStyle w:val="Rubrik2"/>
      </w:pPr>
      <w:bookmarkStart w:id="145" w:name="_Toc197669551"/>
      <w:bookmarkStart w:id="146" w:name="_Toc221561268"/>
      <w:bookmarkStart w:id="147" w:name="_Toc224807620"/>
      <w:r>
        <w:t>Förslaget till lag om ändring i brottsbalken</w:t>
      </w:r>
      <w:bookmarkEnd w:id="145"/>
      <w:bookmarkEnd w:id="146"/>
      <w:bookmarkEnd w:id="147"/>
    </w:p>
    <w:p w14:paraId="090880A9" w14:textId="42B0145A" w:rsidR="006973D1" w:rsidRDefault="006973D1" w:rsidP="00C967B5">
      <w:pPr>
        <w:pStyle w:val="Rubrik3utannumrering"/>
        <w:spacing w:before="0"/>
      </w:pPr>
      <w:r w:rsidRPr="00B6337D">
        <w:t>2 kap.</w:t>
      </w:r>
      <w:r w:rsidR="005F4DD9" w:rsidRPr="005F4DD9">
        <w:t xml:space="preserve"> Om svensk domstols behörighet</w:t>
      </w:r>
    </w:p>
    <w:p w14:paraId="775832DA" w14:textId="77777777" w:rsidR="00493FDA" w:rsidRPr="00493FDA" w:rsidRDefault="00493FDA" w:rsidP="00BF204E">
      <w:pPr>
        <w:pStyle w:val="Rubrik4utannumrering"/>
        <w:spacing w:before="0"/>
        <w:rPr>
          <w:bCs/>
        </w:rPr>
      </w:pPr>
      <w:bookmarkStart w:id="148" w:name="Brott_som_har_begåtts_utanför_Sverige"/>
      <w:r w:rsidRPr="00493FDA">
        <w:t>Brott som har begåtts utanför Sverige</w:t>
      </w:r>
      <w:bookmarkEnd w:id="148"/>
    </w:p>
    <w:p w14:paraId="1918C464" w14:textId="718720C1" w:rsidR="005F4DD9" w:rsidRPr="001C25BF" w:rsidRDefault="00493FDA" w:rsidP="00BF204E">
      <w:pPr>
        <w:pStyle w:val="Rubrik5utannumrering"/>
        <w:spacing w:before="0"/>
        <w:rPr>
          <w:bCs/>
        </w:rPr>
      </w:pPr>
      <w:bookmarkStart w:id="149" w:name="Krav_på_dubbel_straffbarhet"/>
      <w:r w:rsidRPr="00493FDA">
        <w:t>Krav på dubbel straffbarhet</w:t>
      </w:r>
      <w:bookmarkEnd w:id="149"/>
    </w:p>
    <w:p w14:paraId="263C8C44" w14:textId="77777777" w:rsidR="006973D1" w:rsidRPr="00872144" w:rsidRDefault="006973D1" w:rsidP="006973D1">
      <w:pPr>
        <w:pStyle w:val="Brdtext"/>
        <w:rPr>
          <w:sz w:val="18"/>
          <w:szCs w:val="18"/>
        </w:rPr>
      </w:pPr>
      <w:r w:rsidRPr="00872144">
        <w:rPr>
          <w:b/>
          <w:bCs/>
          <w:sz w:val="18"/>
          <w:szCs w:val="18"/>
        </w:rPr>
        <w:t>5 </w:t>
      </w:r>
      <w:r w:rsidRPr="00872144">
        <w:rPr>
          <w:b/>
          <w:sz w:val="18"/>
          <w:szCs w:val="18"/>
        </w:rPr>
        <w:t>§    </w:t>
      </w:r>
      <w:r w:rsidRPr="00872144">
        <w:rPr>
          <w:sz w:val="18"/>
          <w:szCs w:val="18"/>
        </w:rPr>
        <w:t>I de fall som avses i 3 § 2, 3 och 5 är svensk domstol behörig endast om gärningen är straffbar även enligt lagen på gärningsorten (dubbel straffbarhet). Om brottet har begåtts på flera staters område är kravet på dubbel straffbarhet uppfyllt om gärningen är straffbar enligt lagen på någon av gärningsorterna. Det får inte dömas till påföljd som är strängare än det svåraste straff som är föreskrivet för brottet enligt lagen på gärningsorten.</w:t>
      </w:r>
    </w:p>
    <w:p w14:paraId="7BDDE15E" w14:textId="77777777" w:rsidR="006973D1" w:rsidRPr="00CE3DA0" w:rsidRDefault="006973D1" w:rsidP="006973D1">
      <w:pPr>
        <w:pStyle w:val="Brdtextmedindrag"/>
        <w:rPr>
          <w:sz w:val="18"/>
          <w:szCs w:val="18"/>
        </w:rPr>
      </w:pPr>
      <w:r w:rsidRPr="00CE3DA0">
        <w:rPr>
          <w:sz w:val="18"/>
          <w:szCs w:val="18"/>
        </w:rPr>
        <w:t xml:space="preserve">Första stycket gäller inte </w:t>
      </w:r>
    </w:p>
    <w:p w14:paraId="0A1BDD18" w14:textId="77777777" w:rsidR="006973D1" w:rsidRPr="00CE3DA0" w:rsidRDefault="006973D1" w:rsidP="006973D1">
      <w:pPr>
        <w:pStyle w:val="Brdtextmedindrag"/>
        <w:rPr>
          <w:sz w:val="18"/>
          <w:szCs w:val="18"/>
        </w:rPr>
      </w:pPr>
      <w:r w:rsidRPr="00CE3DA0">
        <w:rPr>
          <w:sz w:val="18"/>
          <w:szCs w:val="18"/>
        </w:rPr>
        <w:lastRenderedPageBreak/>
        <w:t>1.</w:t>
      </w:r>
      <w:r>
        <w:rPr>
          <w:sz w:val="18"/>
          <w:szCs w:val="18"/>
        </w:rPr>
        <w:t> </w:t>
      </w:r>
      <w:r w:rsidRPr="00CE3DA0">
        <w:rPr>
          <w:sz w:val="18"/>
          <w:szCs w:val="18"/>
        </w:rPr>
        <w:t>om brottet har begåtts av någon som tillhör Försvarsmakten på ett område där en avdelning av Försvarsmakten befann sig,</w:t>
      </w:r>
    </w:p>
    <w:p w14:paraId="69FDA4A1" w14:textId="77777777" w:rsidR="006973D1" w:rsidRPr="00CE3DA0" w:rsidRDefault="006973D1" w:rsidP="006973D1">
      <w:pPr>
        <w:pStyle w:val="Brdtextmedindrag"/>
        <w:rPr>
          <w:sz w:val="18"/>
          <w:szCs w:val="18"/>
        </w:rPr>
      </w:pPr>
      <w:r w:rsidRPr="00CE3DA0">
        <w:rPr>
          <w:sz w:val="18"/>
          <w:szCs w:val="18"/>
        </w:rPr>
        <w:t>2.</w:t>
      </w:r>
      <w:r>
        <w:rPr>
          <w:sz w:val="18"/>
          <w:szCs w:val="18"/>
        </w:rPr>
        <w:t> </w:t>
      </w:r>
      <w:r w:rsidRPr="00CE3DA0">
        <w:rPr>
          <w:sz w:val="18"/>
          <w:szCs w:val="18"/>
        </w:rPr>
        <w:t>om brottet har begåtts vid tjänstgöringen av någon som är anställd av en svensk myndighet för att delta i en internationell militär insats eller i internationell civil krishantering,</w:t>
      </w:r>
    </w:p>
    <w:p w14:paraId="42A19632" w14:textId="77777777" w:rsidR="006973D1" w:rsidRPr="00CE3DA0" w:rsidRDefault="006973D1" w:rsidP="006973D1">
      <w:pPr>
        <w:pStyle w:val="Brdtextmedindrag"/>
        <w:rPr>
          <w:sz w:val="18"/>
          <w:szCs w:val="18"/>
        </w:rPr>
      </w:pPr>
      <w:r w:rsidRPr="00CE3DA0">
        <w:rPr>
          <w:sz w:val="18"/>
          <w:szCs w:val="18"/>
        </w:rPr>
        <w:t>3.</w:t>
      </w:r>
      <w:r>
        <w:rPr>
          <w:sz w:val="18"/>
          <w:szCs w:val="18"/>
        </w:rPr>
        <w:t> </w:t>
      </w:r>
      <w:r w:rsidRPr="00CE3DA0">
        <w:rPr>
          <w:sz w:val="18"/>
          <w:szCs w:val="18"/>
        </w:rPr>
        <w:t xml:space="preserve">brott för vilket det lindrigaste straff som är föreskrivet enligt svensk lag är fängelse i fyra år eller mer, och </w:t>
      </w:r>
    </w:p>
    <w:p w14:paraId="4C0BD09C" w14:textId="77777777" w:rsidR="006973D1" w:rsidRPr="00CE3DA0" w:rsidRDefault="006973D1" w:rsidP="006973D1">
      <w:pPr>
        <w:pStyle w:val="Brdtextmedindrag"/>
        <w:rPr>
          <w:sz w:val="18"/>
          <w:szCs w:val="18"/>
        </w:rPr>
      </w:pPr>
      <w:r w:rsidRPr="00CE3DA0">
        <w:rPr>
          <w:sz w:val="18"/>
          <w:szCs w:val="18"/>
        </w:rPr>
        <w:t>4. brott som avses i</w:t>
      </w:r>
    </w:p>
    <w:p w14:paraId="7C4EBF58" w14:textId="77777777" w:rsidR="006973D1" w:rsidRPr="000470FC" w:rsidRDefault="006973D1" w:rsidP="006973D1">
      <w:pPr>
        <w:pStyle w:val="Brdtextmedindrag"/>
        <w:rPr>
          <w:sz w:val="18"/>
          <w:szCs w:val="18"/>
        </w:rPr>
      </w:pPr>
      <w:r w:rsidRPr="005968D0">
        <w:rPr>
          <w:sz w:val="18"/>
          <w:szCs w:val="18"/>
        </w:rPr>
        <w:t>a) 4</w:t>
      </w:r>
      <w:r>
        <w:rPr>
          <w:sz w:val="18"/>
          <w:szCs w:val="18"/>
        </w:rPr>
        <w:t> kap.</w:t>
      </w:r>
      <w:r w:rsidRPr="005968D0">
        <w:rPr>
          <w:sz w:val="18"/>
          <w:szCs w:val="18"/>
        </w:rPr>
        <w:t xml:space="preserve"> 1 a, 4 c och 4 e</w:t>
      </w:r>
      <w:r>
        <w:rPr>
          <w:sz w:val="18"/>
          <w:szCs w:val="18"/>
        </w:rPr>
        <w:t> §</w:t>
      </w:r>
      <w:r w:rsidRPr="005968D0">
        <w:rPr>
          <w:sz w:val="18"/>
          <w:szCs w:val="18"/>
        </w:rPr>
        <w:t>§ och 16</w:t>
      </w:r>
      <w:r>
        <w:rPr>
          <w:sz w:val="18"/>
          <w:szCs w:val="18"/>
        </w:rPr>
        <w:t> kap.</w:t>
      </w:r>
      <w:r w:rsidRPr="005968D0">
        <w:rPr>
          <w:sz w:val="18"/>
          <w:szCs w:val="18"/>
        </w:rPr>
        <w:t xml:space="preserve"> 10 a</w:t>
      </w:r>
      <w:r>
        <w:rPr>
          <w:sz w:val="18"/>
          <w:szCs w:val="18"/>
        </w:rPr>
        <w:t> §</w:t>
      </w:r>
      <w:r w:rsidRPr="005968D0">
        <w:rPr>
          <w:sz w:val="18"/>
          <w:szCs w:val="18"/>
        </w:rPr>
        <w:t xml:space="preserve"> första stycket 1 och sjätte stycket eller försök till sådana brott,</w:t>
      </w:r>
    </w:p>
    <w:p w14:paraId="740F8887" w14:textId="77777777" w:rsidR="006973D1" w:rsidRPr="00CE3DA0" w:rsidRDefault="006973D1" w:rsidP="006973D1">
      <w:pPr>
        <w:pStyle w:val="Brdtextmedindrag"/>
        <w:spacing w:line="220" w:lineRule="exact"/>
        <w:rPr>
          <w:i/>
          <w:spacing w:val="-2"/>
          <w:sz w:val="18"/>
          <w:szCs w:val="18"/>
        </w:rPr>
      </w:pPr>
      <w:r w:rsidRPr="00CE3DA0">
        <w:rPr>
          <w:i/>
          <w:spacing w:val="-2"/>
          <w:sz w:val="18"/>
          <w:szCs w:val="18"/>
        </w:rPr>
        <w:t xml:space="preserve">b) </w:t>
      </w:r>
      <w:r w:rsidRPr="00CE3DA0">
        <w:rPr>
          <w:spacing w:val="-2"/>
          <w:sz w:val="18"/>
          <w:szCs w:val="18"/>
        </w:rPr>
        <w:t>6</w:t>
      </w:r>
      <w:r>
        <w:rPr>
          <w:spacing w:val="-2"/>
          <w:sz w:val="18"/>
          <w:szCs w:val="18"/>
        </w:rPr>
        <w:t> kap.</w:t>
      </w:r>
      <w:r w:rsidRPr="00CE3DA0">
        <w:rPr>
          <w:spacing w:val="-2"/>
          <w:sz w:val="18"/>
          <w:szCs w:val="18"/>
        </w:rPr>
        <w:t xml:space="preserve"> 1–6, 8, 9 och 12</w:t>
      </w:r>
      <w:r>
        <w:rPr>
          <w:spacing w:val="-2"/>
          <w:sz w:val="18"/>
          <w:szCs w:val="18"/>
        </w:rPr>
        <w:t> §</w:t>
      </w:r>
      <w:r w:rsidRPr="00CE3DA0">
        <w:rPr>
          <w:spacing w:val="-2"/>
          <w:sz w:val="18"/>
          <w:szCs w:val="18"/>
        </w:rPr>
        <w:t>§ eller försök till brott enligt 6</w:t>
      </w:r>
      <w:r>
        <w:rPr>
          <w:spacing w:val="-2"/>
          <w:sz w:val="18"/>
          <w:szCs w:val="18"/>
        </w:rPr>
        <w:t> kap.</w:t>
      </w:r>
      <w:r w:rsidRPr="00CE3DA0">
        <w:rPr>
          <w:spacing w:val="-2"/>
          <w:sz w:val="18"/>
          <w:szCs w:val="18"/>
        </w:rPr>
        <w:t xml:space="preserve"> 1, 2, 4–6, 8, 9 och 12</w:t>
      </w:r>
      <w:r>
        <w:rPr>
          <w:spacing w:val="-2"/>
          <w:sz w:val="18"/>
          <w:szCs w:val="18"/>
        </w:rPr>
        <w:t> §</w:t>
      </w:r>
      <w:r w:rsidRPr="00CE3DA0">
        <w:rPr>
          <w:spacing w:val="-2"/>
          <w:sz w:val="18"/>
          <w:szCs w:val="18"/>
        </w:rPr>
        <w:t>§, om brottet begåtts mot en person som inte fyllt arton år,</w:t>
      </w:r>
      <w:r w:rsidRPr="00CE3DA0">
        <w:rPr>
          <w:i/>
          <w:spacing w:val="-2"/>
          <w:sz w:val="18"/>
          <w:szCs w:val="18"/>
        </w:rPr>
        <w:t xml:space="preserve"> </w:t>
      </w:r>
    </w:p>
    <w:p w14:paraId="12F5A319" w14:textId="77777777" w:rsidR="006973D1" w:rsidRPr="00CE3DA0" w:rsidRDefault="006973D1" w:rsidP="006973D1">
      <w:pPr>
        <w:pStyle w:val="Brdtextmedindrag"/>
        <w:spacing w:line="220" w:lineRule="exact"/>
        <w:rPr>
          <w:i/>
          <w:spacing w:val="-2"/>
          <w:sz w:val="18"/>
          <w:szCs w:val="18"/>
        </w:rPr>
      </w:pPr>
      <w:r w:rsidRPr="00CE3DA0">
        <w:rPr>
          <w:i/>
          <w:spacing w:val="-2"/>
          <w:sz w:val="18"/>
          <w:szCs w:val="18"/>
        </w:rPr>
        <w:t xml:space="preserve">c) </w:t>
      </w:r>
      <w:r w:rsidRPr="00CE3DA0">
        <w:rPr>
          <w:spacing w:val="-2"/>
          <w:sz w:val="18"/>
          <w:szCs w:val="18"/>
        </w:rPr>
        <w:t>14</w:t>
      </w:r>
      <w:r>
        <w:rPr>
          <w:spacing w:val="-2"/>
          <w:sz w:val="18"/>
          <w:szCs w:val="18"/>
        </w:rPr>
        <w:t> kap.</w:t>
      </w:r>
      <w:r w:rsidRPr="00CE3DA0">
        <w:rPr>
          <w:spacing w:val="-2"/>
          <w:sz w:val="18"/>
          <w:szCs w:val="18"/>
        </w:rPr>
        <w:t xml:space="preserve"> 6</w:t>
      </w:r>
      <w:r>
        <w:rPr>
          <w:spacing w:val="-2"/>
          <w:sz w:val="18"/>
          <w:szCs w:val="18"/>
        </w:rPr>
        <w:t> §</w:t>
      </w:r>
      <w:r w:rsidRPr="00CE3DA0">
        <w:rPr>
          <w:spacing w:val="-2"/>
          <w:sz w:val="18"/>
          <w:szCs w:val="18"/>
        </w:rPr>
        <w:t xml:space="preserve"> eller försök till sådant brott,</w:t>
      </w:r>
    </w:p>
    <w:p w14:paraId="747EB9E4" w14:textId="77777777" w:rsidR="006973D1" w:rsidRPr="00CE3DA0" w:rsidRDefault="006973D1" w:rsidP="006973D1">
      <w:pPr>
        <w:pStyle w:val="Brdtextmedindrag"/>
        <w:spacing w:line="220" w:lineRule="exact"/>
        <w:rPr>
          <w:i/>
          <w:spacing w:val="-2"/>
          <w:sz w:val="18"/>
          <w:szCs w:val="18"/>
        </w:rPr>
      </w:pPr>
      <w:r w:rsidRPr="00CE3DA0">
        <w:rPr>
          <w:i/>
          <w:spacing w:val="-2"/>
          <w:sz w:val="18"/>
          <w:szCs w:val="18"/>
        </w:rPr>
        <w:t xml:space="preserve">d) </w:t>
      </w:r>
      <w:r w:rsidRPr="00CE3DA0">
        <w:rPr>
          <w:spacing w:val="-2"/>
          <w:sz w:val="18"/>
          <w:szCs w:val="18"/>
        </w:rPr>
        <w:t>22</w:t>
      </w:r>
      <w:r>
        <w:rPr>
          <w:spacing w:val="-2"/>
          <w:sz w:val="18"/>
          <w:szCs w:val="18"/>
        </w:rPr>
        <w:t> kap.</w:t>
      </w:r>
      <w:r w:rsidRPr="00CE3DA0">
        <w:rPr>
          <w:spacing w:val="-2"/>
          <w:sz w:val="18"/>
          <w:szCs w:val="18"/>
        </w:rPr>
        <w:t xml:space="preserve"> 6 a och 6 b</w:t>
      </w:r>
      <w:r>
        <w:rPr>
          <w:spacing w:val="-2"/>
          <w:sz w:val="18"/>
          <w:szCs w:val="18"/>
        </w:rPr>
        <w:t> §</w:t>
      </w:r>
      <w:r w:rsidRPr="00CE3DA0">
        <w:rPr>
          <w:spacing w:val="-2"/>
          <w:sz w:val="18"/>
          <w:szCs w:val="18"/>
        </w:rPr>
        <w:t>§,</w:t>
      </w:r>
    </w:p>
    <w:p w14:paraId="3CAE486E" w14:textId="77777777" w:rsidR="006973D1" w:rsidRPr="00CE3DA0" w:rsidRDefault="006973D1" w:rsidP="006973D1">
      <w:pPr>
        <w:pStyle w:val="Brdtextmedindrag"/>
        <w:spacing w:line="220" w:lineRule="exact"/>
        <w:rPr>
          <w:i/>
          <w:spacing w:val="-2"/>
          <w:sz w:val="18"/>
          <w:szCs w:val="18"/>
        </w:rPr>
      </w:pPr>
      <w:r w:rsidRPr="00CE3DA0">
        <w:rPr>
          <w:i/>
          <w:spacing w:val="-2"/>
          <w:sz w:val="18"/>
          <w:szCs w:val="18"/>
        </w:rPr>
        <w:t>e)</w:t>
      </w:r>
      <w:r>
        <w:rPr>
          <w:i/>
          <w:spacing w:val="-2"/>
          <w:sz w:val="18"/>
          <w:szCs w:val="18"/>
        </w:rPr>
        <w:t> </w:t>
      </w:r>
      <w:r w:rsidRPr="00CE3DA0">
        <w:rPr>
          <w:spacing w:val="-2"/>
          <w:sz w:val="18"/>
          <w:szCs w:val="18"/>
        </w:rPr>
        <w:t>2</w:t>
      </w:r>
      <w:r>
        <w:rPr>
          <w:spacing w:val="-2"/>
          <w:sz w:val="18"/>
          <w:szCs w:val="18"/>
        </w:rPr>
        <w:t> §</w:t>
      </w:r>
      <w:r w:rsidRPr="00CE3DA0">
        <w:rPr>
          <w:spacing w:val="-2"/>
          <w:sz w:val="18"/>
          <w:szCs w:val="18"/>
        </w:rPr>
        <w:t xml:space="preserve"> lagen (1982:316) om förbud mot könsstympning av kvinnor och oskulds</w:t>
      </w:r>
      <w:r>
        <w:rPr>
          <w:spacing w:val="-2"/>
          <w:sz w:val="18"/>
          <w:szCs w:val="18"/>
        </w:rPr>
        <w:softHyphen/>
      </w:r>
      <w:r w:rsidRPr="00CE3DA0">
        <w:rPr>
          <w:spacing w:val="-2"/>
          <w:sz w:val="18"/>
          <w:szCs w:val="18"/>
        </w:rPr>
        <w:t>ingrepp på kvinnor,</w:t>
      </w:r>
    </w:p>
    <w:p w14:paraId="051D6D52" w14:textId="77777777" w:rsidR="006973D1" w:rsidRPr="00CE3DA0" w:rsidRDefault="006973D1" w:rsidP="006973D1">
      <w:pPr>
        <w:pStyle w:val="Brdtextmedindrag"/>
        <w:spacing w:line="220" w:lineRule="exact"/>
        <w:rPr>
          <w:spacing w:val="-2"/>
          <w:sz w:val="18"/>
          <w:szCs w:val="18"/>
        </w:rPr>
      </w:pPr>
      <w:r w:rsidRPr="00CE3DA0">
        <w:rPr>
          <w:i/>
          <w:spacing w:val="-2"/>
          <w:sz w:val="18"/>
          <w:szCs w:val="18"/>
        </w:rPr>
        <w:t xml:space="preserve">f) </w:t>
      </w:r>
      <w:r w:rsidRPr="00CE3DA0">
        <w:rPr>
          <w:spacing w:val="-2"/>
          <w:sz w:val="18"/>
          <w:szCs w:val="18"/>
        </w:rPr>
        <w:t>3–5 och 7–10</w:t>
      </w:r>
      <w:r>
        <w:rPr>
          <w:spacing w:val="-2"/>
          <w:sz w:val="18"/>
          <w:szCs w:val="18"/>
        </w:rPr>
        <w:t> §</w:t>
      </w:r>
      <w:r w:rsidRPr="00CE3DA0">
        <w:rPr>
          <w:spacing w:val="-2"/>
          <w:sz w:val="18"/>
          <w:szCs w:val="18"/>
        </w:rPr>
        <w:t>§ lagen (2025:327) om internationella sanktioner, eller</w:t>
      </w:r>
    </w:p>
    <w:p w14:paraId="54F78F98" w14:textId="77777777" w:rsidR="006973D1" w:rsidRPr="00CE3DA0" w:rsidRDefault="006973D1" w:rsidP="006973D1">
      <w:pPr>
        <w:pStyle w:val="Brdtextmedindrag"/>
        <w:spacing w:line="220" w:lineRule="exact"/>
        <w:rPr>
          <w:sz w:val="18"/>
          <w:szCs w:val="18"/>
        </w:rPr>
      </w:pPr>
      <w:r w:rsidRPr="00CE3DA0">
        <w:rPr>
          <w:i/>
          <w:spacing w:val="-2"/>
          <w:sz w:val="18"/>
          <w:szCs w:val="18"/>
        </w:rPr>
        <w:t xml:space="preserve">g) </w:t>
      </w:r>
      <w:r w:rsidRPr="00CE3DA0">
        <w:rPr>
          <w:spacing w:val="-2"/>
          <w:sz w:val="18"/>
          <w:szCs w:val="18"/>
        </w:rPr>
        <w:t>19</w:t>
      </w:r>
      <w:r>
        <w:rPr>
          <w:spacing w:val="-2"/>
          <w:sz w:val="18"/>
          <w:szCs w:val="18"/>
        </w:rPr>
        <w:t> §</w:t>
      </w:r>
      <w:r w:rsidRPr="00CE3DA0">
        <w:rPr>
          <w:spacing w:val="-2"/>
          <w:sz w:val="18"/>
          <w:szCs w:val="18"/>
        </w:rPr>
        <w:t xml:space="preserve"> lagen (2023:677) om frysning av tillgångar.</w:t>
      </w:r>
    </w:p>
    <w:p w14:paraId="384CABE3" w14:textId="77777777" w:rsidR="006973D1" w:rsidRDefault="006973D1" w:rsidP="006973D1">
      <w:pPr>
        <w:pStyle w:val="Brdtext"/>
      </w:pPr>
    </w:p>
    <w:p w14:paraId="706AEBFE" w14:textId="4D8E8DD3" w:rsidR="006973D1" w:rsidRDefault="006973D1" w:rsidP="006973D1">
      <w:pPr>
        <w:pStyle w:val="Brdtext"/>
        <w:jc w:val="left"/>
      </w:pPr>
      <w:r>
        <w:t>Paragrafen reglerar när dubbel straffbarhet är en förutsättning för svensk domstols behörighet att döma över brott som har begåtts utanför Sverige. Övervägandena finns i avsnitt </w:t>
      </w:r>
      <w:r w:rsidR="00EB5551">
        <w:t>5.3.1</w:t>
      </w:r>
      <w:r>
        <w:t>.</w:t>
      </w:r>
    </w:p>
    <w:p w14:paraId="50EC68E2" w14:textId="1EC762D6" w:rsidR="006973D1" w:rsidRDefault="006973D1" w:rsidP="006973D1">
      <w:pPr>
        <w:pStyle w:val="Brdtextmedindrag"/>
      </w:pPr>
      <w:r w:rsidRPr="004F5AD7">
        <w:rPr>
          <w:i/>
          <w:iCs/>
        </w:rPr>
        <w:t>A</w:t>
      </w:r>
      <w:r>
        <w:rPr>
          <w:i/>
          <w:iCs/>
        </w:rPr>
        <w:t>ndra stycket</w:t>
      </w:r>
      <w:r>
        <w:t xml:space="preserve"> ändras på så sätt att undantaget från kravet på dubbel straffbarhet för grovt olaga tvång </w:t>
      </w:r>
      <w:r w:rsidRPr="00C079FD">
        <w:t xml:space="preserve">varigenom någon förmåtts att ingå ett sådant äktenskap eller en sådan äktenskapsliknande förbindelse som avses i 4 </w:t>
      </w:r>
      <w:r>
        <w:t>kap</w:t>
      </w:r>
      <w:r w:rsidR="00766CDE">
        <w:t>.</w:t>
      </w:r>
      <w:r>
        <w:t xml:space="preserve"> 4</w:t>
      </w:r>
      <w:r w:rsidRPr="00C079FD">
        <w:t xml:space="preserve"> c § eller försök till sådant brott</w:t>
      </w:r>
      <w:r>
        <w:t xml:space="preserve"> i hittillsvarande punkten 4 b tas bort. </w:t>
      </w:r>
      <w:r w:rsidRPr="00E41C00">
        <w:t>Liksom hittills är äktenskapstvång och barnäktenskapsbrott undantagna från kravet på dubbel straffbarhet i första stycket, se punkten 4 a</w:t>
      </w:r>
      <w:r>
        <w:t>.</w:t>
      </w:r>
    </w:p>
    <w:p w14:paraId="18807873" w14:textId="4B8256AF" w:rsidR="006973D1" w:rsidRPr="00570F7A" w:rsidRDefault="006973D1" w:rsidP="00C967B5">
      <w:pPr>
        <w:pStyle w:val="Rubrik3utannumrering"/>
      </w:pPr>
      <w:r w:rsidRPr="00570F7A">
        <w:t>4 kap.</w:t>
      </w:r>
      <w:r w:rsidR="005F4DD9" w:rsidRPr="005F4DD9">
        <w:t xml:space="preserve"> Om brott mot frihet och frid</w:t>
      </w:r>
    </w:p>
    <w:p w14:paraId="13999F29" w14:textId="77777777" w:rsidR="006973D1" w:rsidRPr="000470FC" w:rsidRDefault="006973D1" w:rsidP="006973D1">
      <w:pPr>
        <w:pStyle w:val="Brdtext"/>
        <w:rPr>
          <w:sz w:val="18"/>
          <w:szCs w:val="18"/>
        </w:rPr>
      </w:pPr>
      <w:r w:rsidRPr="000470FC">
        <w:rPr>
          <w:b/>
          <w:bCs/>
          <w:sz w:val="18"/>
          <w:szCs w:val="18"/>
        </w:rPr>
        <w:t>4 c §    </w:t>
      </w:r>
      <w:r w:rsidRPr="000470FC">
        <w:rPr>
          <w:sz w:val="18"/>
          <w:szCs w:val="18"/>
        </w:rPr>
        <w:t>Den som, i annat fall än som avses i 1 a</w:t>
      </w:r>
      <w:r>
        <w:rPr>
          <w:sz w:val="18"/>
          <w:szCs w:val="18"/>
        </w:rPr>
        <w:t> §</w:t>
      </w:r>
      <w:r w:rsidRPr="000470FC">
        <w:rPr>
          <w:sz w:val="18"/>
          <w:szCs w:val="18"/>
        </w:rPr>
        <w:t>, genom olaga tvång</w:t>
      </w:r>
      <w:r w:rsidRPr="000470FC">
        <w:rPr>
          <w:i/>
          <w:iCs/>
          <w:sz w:val="18"/>
          <w:szCs w:val="18"/>
        </w:rPr>
        <w:t>,</w:t>
      </w:r>
      <w:r w:rsidRPr="000470FC">
        <w:rPr>
          <w:i/>
          <w:sz w:val="18"/>
          <w:szCs w:val="18"/>
        </w:rPr>
        <w:t xml:space="preserve"> </w:t>
      </w:r>
      <w:r w:rsidRPr="000470FC">
        <w:rPr>
          <w:sz w:val="18"/>
          <w:szCs w:val="18"/>
        </w:rPr>
        <w:t>utnyttjande av utsatt belägenhet</w:t>
      </w:r>
      <w:r w:rsidRPr="000470FC">
        <w:rPr>
          <w:i/>
          <w:sz w:val="18"/>
          <w:szCs w:val="18"/>
        </w:rPr>
        <w:t xml:space="preserve"> eller vilseledande angående att ett äktenskap ingås eller </w:t>
      </w:r>
      <w:bookmarkStart w:id="150" w:name="_Hlk196592909"/>
      <w:r w:rsidRPr="000470FC">
        <w:rPr>
          <w:i/>
          <w:sz w:val="18"/>
          <w:szCs w:val="18"/>
        </w:rPr>
        <w:t>förut</w:t>
      </w:r>
      <w:r>
        <w:rPr>
          <w:i/>
          <w:sz w:val="18"/>
          <w:szCs w:val="18"/>
        </w:rPr>
        <w:softHyphen/>
      </w:r>
      <w:r w:rsidRPr="000470FC">
        <w:rPr>
          <w:i/>
          <w:sz w:val="18"/>
          <w:szCs w:val="18"/>
        </w:rPr>
        <w:t xml:space="preserve">sättningarna för äktenskapets upplösning </w:t>
      </w:r>
      <w:bookmarkEnd w:id="150"/>
      <w:r w:rsidRPr="000470FC">
        <w:rPr>
          <w:sz w:val="18"/>
          <w:szCs w:val="18"/>
        </w:rPr>
        <w:t>förmår en person att ingå ett äktenskap</w:t>
      </w:r>
      <w:r w:rsidRPr="000470FC">
        <w:rPr>
          <w:i/>
          <w:sz w:val="18"/>
          <w:szCs w:val="18"/>
        </w:rPr>
        <w:t xml:space="preserve"> </w:t>
      </w:r>
      <w:r w:rsidRPr="000470FC">
        <w:rPr>
          <w:sz w:val="18"/>
          <w:szCs w:val="18"/>
        </w:rPr>
        <w:t>som är giltigt i den stat där det ingås, i den stat enligt vars lag det</w:t>
      </w:r>
      <w:r w:rsidRPr="000470FC">
        <w:rPr>
          <w:i/>
          <w:sz w:val="18"/>
          <w:szCs w:val="18"/>
        </w:rPr>
        <w:t xml:space="preserve"> </w:t>
      </w:r>
      <w:r w:rsidRPr="000470FC">
        <w:rPr>
          <w:sz w:val="18"/>
          <w:szCs w:val="18"/>
        </w:rPr>
        <w:t>ingås eller i en stat i vilken minst en av makarna är medborgare eller</w:t>
      </w:r>
      <w:r w:rsidRPr="000470FC">
        <w:rPr>
          <w:i/>
          <w:sz w:val="18"/>
          <w:szCs w:val="18"/>
        </w:rPr>
        <w:t xml:space="preserve"> </w:t>
      </w:r>
      <w:r w:rsidRPr="000470FC">
        <w:rPr>
          <w:sz w:val="18"/>
          <w:szCs w:val="18"/>
        </w:rPr>
        <w:t xml:space="preserve">har hemvist döms för </w:t>
      </w:r>
      <w:r w:rsidRPr="000470FC">
        <w:rPr>
          <w:i/>
          <w:sz w:val="18"/>
          <w:szCs w:val="18"/>
          <w:u w:val="single"/>
        </w:rPr>
        <w:t>äkten</w:t>
      </w:r>
      <w:r>
        <w:rPr>
          <w:i/>
          <w:sz w:val="18"/>
          <w:szCs w:val="18"/>
          <w:u w:val="single"/>
        </w:rPr>
        <w:softHyphen/>
      </w:r>
      <w:r w:rsidRPr="000470FC">
        <w:rPr>
          <w:i/>
          <w:sz w:val="18"/>
          <w:szCs w:val="18"/>
          <w:u w:val="single"/>
        </w:rPr>
        <w:t>skapstvång</w:t>
      </w:r>
      <w:r w:rsidRPr="000470FC">
        <w:rPr>
          <w:sz w:val="18"/>
          <w:szCs w:val="18"/>
        </w:rPr>
        <w:t xml:space="preserve"> till fängelse </w:t>
      </w:r>
      <w:r w:rsidRPr="0015054F">
        <w:rPr>
          <w:sz w:val="18"/>
          <w:szCs w:val="18"/>
        </w:rPr>
        <w:t>i</w:t>
      </w:r>
      <w:r w:rsidRPr="000470FC">
        <w:rPr>
          <w:i/>
          <w:iCs/>
          <w:sz w:val="18"/>
          <w:szCs w:val="18"/>
        </w:rPr>
        <w:t xml:space="preserve"> lägst sex månader och </w:t>
      </w:r>
      <w:r w:rsidRPr="0015054F">
        <w:rPr>
          <w:sz w:val="18"/>
          <w:szCs w:val="18"/>
        </w:rPr>
        <w:t>högst</w:t>
      </w:r>
      <w:r w:rsidRPr="000470FC">
        <w:rPr>
          <w:i/>
          <w:iCs/>
          <w:sz w:val="18"/>
          <w:szCs w:val="18"/>
        </w:rPr>
        <w:t xml:space="preserve"> sex</w:t>
      </w:r>
      <w:r w:rsidRPr="0015054F">
        <w:rPr>
          <w:sz w:val="18"/>
          <w:szCs w:val="18"/>
        </w:rPr>
        <w:t xml:space="preserve"> år</w:t>
      </w:r>
      <w:r w:rsidRPr="000470FC">
        <w:rPr>
          <w:sz w:val="18"/>
          <w:szCs w:val="18"/>
        </w:rPr>
        <w:t>.</w:t>
      </w:r>
    </w:p>
    <w:p w14:paraId="077B9109" w14:textId="77777777" w:rsidR="006973D1" w:rsidRPr="000470FC" w:rsidRDefault="006973D1" w:rsidP="006973D1">
      <w:pPr>
        <w:pStyle w:val="Brdtextmedindrag"/>
        <w:spacing w:line="220" w:lineRule="exact"/>
        <w:rPr>
          <w:sz w:val="18"/>
          <w:szCs w:val="18"/>
        </w:rPr>
      </w:pPr>
      <w:r w:rsidRPr="000470FC">
        <w:rPr>
          <w:sz w:val="18"/>
          <w:szCs w:val="18"/>
        </w:rPr>
        <w:t xml:space="preserve">Detsamma gäller den som på sätt som anges i första stycket förmår någon att ingå en äktenskapsliknande förbindelse, om den ingås enligt regler som gäller inom en grupp och som </w:t>
      </w:r>
    </w:p>
    <w:p w14:paraId="2A77AF08" w14:textId="77777777" w:rsidR="006973D1" w:rsidRPr="000470FC" w:rsidRDefault="006973D1" w:rsidP="006973D1">
      <w:pPr>
        <w:pStyle w:val="Brdtextmedindrag"/>
        <w:spacing w:line="220" w:lineRule="exact"/>
        <w:rPr>
          <w:sz w:val="18"/>
          <w:szCs w:val="18"/>
        </w:rPr>
      </w:pPr>
      <w:r w:rsidRPr="000470FC">
        <w:rPr>
          <w:sz w:val="18"/>
          <w:szCs w:val="18"/>
        </w:rPr>
        <w:t>1.</w:t>
      </w:r>
      <w:r>
        <w:rPr>
          <w:sz w:val="18"/>
          <w:szCs w:val="18"/>
        </w:rPr>
        <w:t> </w:t>
      </w:r>
      <w:r w:rsidRPr="000470FC">
        <w:rPr>
          <w:sz w:val="18"/>
          <w:szCs w:val="18"/>
        </w:rPr>
        <w:t xml:space="preserve">innebär att parterna betraktas som makar och anses ha rättigheter eller skyldigheter i förhållande till varandra, och </w:t>
      </w:r>
    </w:p>
    <w:p w14:paraId="4C82988D" w14:textId="77777777" w:rsidR="006973D1" w:rsidRPr="000470FC" w:rsidRDefault="006973D1" w:rsidP="006973D1">
      <w:pPr>
        <w:pStyle w:val="Brdtextmedindrag"/>
        <w:spacing w:line="220" w:lineRule="exact"/>
        <w:rPr>
          <w:sz w:val="18"/>
          <w:szCs w:val="18"/>
        </w:rPr>
      </w:pPr>
      <w:r w:rsidRPr="000470FC">
        <w:rPr>
          <w:sz w:val="18"/>
          <w:szCs w:val="18"/>
        </w:rPr>
        <w:t>2. innefattar frågan om upplösning av förbindelsen.</w:t>
      </w:r>
    </w:p>
    <w:p w14:paraId="49234079" w14:textId="77777777" w:rsidR="006973D1" w:rsidRPr="000470FC" w:rsidRDefault="006973D1" w:rsidP="006973D1">
      <w:pPr>
        <w:pStyle w:val="Brdtextmedindrag"/>
        <w:spacing w:line="220" w:lineRule="exact"/>
        <w:rPr>
          <w:sz w:val="18"/>
          <w:szCs w:val="18"/>
        </w:rPr>
      </w:pPr>
      <w:r w:rsidRPr="000470FC">
        <w:rPr>
          <w:sz w:val="18"/>
          <w:szCs w:val="18"/>
        </w:rPr>
        <w:t xml:space="preserve">Den som </w:t>
      </w:r>
      <w:r w:rsidRPr="000470FC">
        <w:rPr>
          <w:spacing w:val="-2"/>
          <w:sz w:val="18"/>
          <w:szCs w:val="18"/>
        </w:rPr>
        <w:t>begår en gärning som avses i första eller andra stycket mot</w:t>
      </w:r>
      <w:r w:rsidRPr="000470FC">
        <w:rPr>
          <w:sz w:val="18"/>
          <w:szCs w:val="18"/>
        </w:rPr>
        <w:t xml:space="preserve"> en person som inte har fyllt arton år, döms för </w:t>
      </w:r>
      <w:r w:rsidRPr="000470FC">
        <w:rPr>
          <w:i/>
          <w:iCs/>
          <w:sz w:val="18"/>
          <w:szCs w:val="18"/>
          <w:u w:val="single"/>
        </w:rPr>
        <w:t>barnäktenskapsbrott</w:t>
      </w:r>
      <w:r w:rsidRPr="000470FC">
        <w:rPr>
          <w:sz w:val="18"/>
          <w:szCs w:val="18"/>
        </w:rPr>
        <w:t xml:space="preserve"> till </w:t>
      </w:r>
      <w:r w:rsidRPr="000470FC">
        <w:rPr>
          <w:spacing w:val="2"/>
          <w:sz w:val="18"/>
          <w:szCs w:val="18"/>
        </w:rPr>
        <w:t xml:space="preserve">fängelse i </w:t>
      </w:r>
      <w:r w:rsidRPr="000470FC">
        <w:rPr>
          <w:i/>
          <w:iCs/>
          <w:spacing w:val="2"/>
          <w:sz w:val="18"/>
          <w:szCs w:val="18"/>
        </w:rPr>
        <w:t xml:space="preserve">lägst sex månader och </w:t>
      </w:r>
      <w:r w:rsidRPr="000470FC">
        <w:rPr>
          <w:spacing w:val="2"/>
          <w:sz w:val="18"/>
          <w:szCs w:val="18"/>
        </w:rPr>
        <w:t>högst</w:t>
      </w:r>
      <w:r w:rsidRPr="000470FC">
        <w:rPr>
          <w:i/>
          <w:iCs/>
          <w:spacing w:val="2"/>
          <w:sz w:val="18"/>
          <w:szCs w:val="18"/>
        </w:rPr>
        <w:t xml:space="preserve"> sex</w:t>
      </w:r>
      <w:r w:rsidRPr="0015054F">
        <w:rPr>
          <w:spacing w:val="2"/>
          <w:sz w:val="18"/>
          <w:szCs w:val="18"/>
        </w:rPr>
        <w:t xml:space="preserve"> år</w:t>
      </w:r>
      <w:r w:rsidRPr="000470FC">
        <w:rPr>
          <w:spacing w:val="2"/>
          <w:sz w:val="18"/>
          <w:szCs w:val="18"/>
        </w:rPr>
        <w:t>. För barnäktenskapsbrott</w:t>
      </w:r>
      <w:r w:rsidRPr="000470FC">
        <w:rPr>
          <w:sz w:val="18"/>
          <w:szCs w:val="18"/>
        </w:rPr>
        <w:t xml:space="preserve"> döms också den som i annat fall förmår eller tillåter en person som inte har fyllt arton år att ingå ett äktenskap som är giltigt på sätt som anges i </w:t>
      </w:r>
      <w:r w:rsidRPr="000470FC">
        <w:rPr>
          <w:spacing w:val="-2"/>
          <w:sz w:val="18"/>
          <w:szCs w:val="18"/>
        </w:rPr>
        <w:t>första stycket eller en äktenskapsliknande förbindelse enligt vad som anges</w:t>
      </w:r>
      <w:r w:rsidRPr="000470FC">
        <w:rPr>
          <w:sz w:val="18"/>
          <w:szCs w:val="18"/>
        </w:rPr>
        <w:t xml:space="preserve"> i andra stycket. Detta gäller även om den som begår en sådan gär</w:t>
      </w:r>
      <w:r w:rsidRPr="000470FC">
        <w:rPr>
          <w:sz w:val="18"/>
          <w:szCs w:val="18"/>
        </w:rPr>
        <w:softHyphen/>
        <w:t xml:space="preserve">ning inte </w:t>
      </w:r>
      <w:r w:rsidRPr="000470FC">
        <w:rPr>
          <w:spacing w:val="-2"/>
          <w:sz w:val="18"/>
          <w:szCs w:val="18"/>
        </w:rPr>
        <w:t xml:space="preserve">haft uppsåt till </w:t>
      </w:r>
      <w:r w:rsidRPr="000470FC">
        <w:rPr>
          <w:spacing w:val="-4"/>
          <w:sz w:val="18"/>
          <w:szCs w:val="18"/>
        </w:rPr>
        <w:t>men varit oaktsam beträffande omständig</w:t>
      </w:r>
      <w:r>
        <w:rPr>
          <w:spacing w:val="-4"/>
          <w:sz w:val="18"/>
          <w:szCs w:val="18"/>
        </w:rPr>
        <w:softHyphen/>
      </w:r>
      <w:r w:rsidRPr="000470FC">
        <w:rPr>
          <w:spacing w:val="-4"/>
          <w:sz w:val="18"/>
          <w:szCs w:val="18"/>
        </w:rPr>
        <w:t>heten att den andra</w:t>
      </w:r>
      <w:r w:rsidRPr="000470FC">
        <w:rPr>
          <w:sz w:val="18"/>
          <w:szCs w:val="18"/>
        </w:rPr>
        <w:t xml:space="preserve"> personen inte fyllt arton år.</w:t>
      </w:r>
    </w:p>
    <w:p w14:paraId="686D4755" w14:textId="77777777" w:rsidR="006973D1" w:rsidRDefault="006973D1" w:rsidP="006973D1">
      <w:pPr>
        <w:pStyle w:val="Brdtext"/>
        <w:jc w:val="left"/>
      </w:pPr>
    </w:p>
    <w:p w14:paraId="43567EDD" w14:textId="73E4F5AE" w:rsidR="006973D1" w:rsidRDefault="006973D1" w:rsidP="006973D1">
      <w:pPr>
        <w:pStyle w:val="Brdtext"/>
        <w:rPr>
          <w:spacing w:val="-2"/>
        </w:rPr>
      </w:pPr>
      <w:r w:rsidRPr="00890EB4">
        <w:rPr>
          <w:spacing w:val="-2"/>
        </w:rPr>
        <w:lastRenderedPageBreak/>
        <w:t>I paragrafen regleras straffansvar för äktenskapstvång och barnäktenskaps</w:t>
      </w:r>
      <w:r>
        <w:rPr>
          <w:spacing w:val="-2"/>
        </w:rPr>
        <w:softHyphen/>
      </w:r>
      <w:r w:rsidRPr="00890EB4">
        <w:rPr>
          <w:spacing w:val="-2"/>
        </w:rPr>
        <w:t xml:space="preserve">brott. Övervägandena finns i avsnitt </w:t>
      </w:r>
      <w:r w:rsidR="00EB5551">
        <w:rPr>
          <w:spacing w:val="-2"/>
        </w:rPr>
        <w:t>5.1</w:t>
      </w:r>
      <w:r w:rsidRPr="00890EB4">
        <w:rPr>
          <w:spacing w:val="-2"/>
        </w:rPr>
        <w:t xml:space="preserve"> och </w:t>
      </w:r>
      <w:r w:rsidR="00EB5551">
        <w:rPr>
          <w:spacing w:val="-2"/>
        </w:rPr>
        <w:t>5.3.1</w:t>
      </w:r>
      <w:r w:rsidRPr="00890EB4">
        <w:rPr>
          <w:spacing w:val="-2"/>
        </w:rPr>
        <w:t xml:space="preserve">. </w:t>
      </w:r>
    </w:p>
    <w:p w14:paraId="684DCF35" w14:textId="77777777" w:rsidR="006973D1" w:rsidRDefault="006973D1" w:rsidP="006973D1">
      <w:pPr>
        <w:pStyle w:val="Brdtextmedindrag"/>
        <w:rPr>
          <w:spacing w:val="-4"/>
        </w:rPr>
      </w:pPr>
      <w:r>
        <w:rPr>
          <w:spacing w:val="-4"/>
        </w:rPr>
        <w:t xml:space="preserve">Straffansvaret omfattar sedan tidigare den som genom olaga tvång eller utnyttjande av utsatt belägenhet förmår en person att ingå äktenskap. </w:t>
      </w:r>
      <w:r w:rsidRPr="00890EB4">
        <w:rPr>
          <w:spacing w:val="-4"/>
        </w:rPr>
        <w:t xml:space="preserve">Vidare straffas för barnäktenskapsbrott, förutom den som uppfyller rekvisiten för äktenskapstvång, den som i annat fall förmår eller tillåter ett barn att ingå ett äktenskap. </w:t>
      </w:r>
    </w:p>
    <w:p w14:paraId="0C1305D0" w14:textId="77777777" w:rsidR="006973D1" w:rsidRDefault="006973D1" w:rsidP="006973D1">
      <w:pPr>
        <w:pStyle w:val="Brdtextmedindrag"/>
      </w:pPr>
      <w:r w:rsidRPr="00890EB4">
        <w:t xml:space="preserve">Genom en ändring i </w:t>
      </w:r>
      <w:r w:rsidRPr="00D6451A">
        <w:rPr>
          <w:i/>
        </w:rPr>
        <w:t>första stycket</w:t>
      </w:r>
      <w:r w:rsidRPr="00890EB4">
        <w:t xml:space="preserve"> utvidgas </w:t>
      </w:r>
      <w:r>
        <w:t xml:space="preserve">tillämpningsområdet för äktenskapstvång till att omfatta även det fallet att någon genom </w:t>
      </w:r>
      <w:r w:rsidRPr="00E22CD2">
        <w:t>vilse</w:t>
      </w:r>
      <w:r>
        <w:softHyphen/>
      </w:r>
      <w:r w:rsidRPr="00E22CD2">
        <w:t xml:space="preserve">ledande angående att ett äktenskap ingås eller förutsättningarna </w:t>
      </w:r>
      <w:r w:rsidRPr="00890EB4">
        <w:t>för äkten</w:t>
      </w:r>
      <w:r>
        <w:softHyphen/>
      </w:r>
      <w:r w:rsidRPr="00890EB4">
        <w:t xml:space="preserve">skapets upplösning förmås att ingå ett äktenskap. </w:t>
      </w:r>
    </w:p>
    <w:p w14:paraId="50D2C312" w14:textId="5FC026BB" w:rsidR="006973D1" w:rsidRDefault="006973D1" w:rsidP="006973D1">
      <w:pPr>
        <w:pStyle w:val="Brdtextmedindrag"/>
      </w:pPr>
      <w:r>
        <w:t>Rekvisitet v</w:t>
      </w:r>
      <w:r w:rsidRPr="00E22CD2">
        <w:t>ilseledande</w:t>
      </w:r>
      <w:r>
        <w:rPr>
          <w:i/>
          <w:iCs/>
        </w:rPr>
        <w:t xml:space="preserve"> </w:t>
      </w:r>
      <w:r>
        <w:t>har samma betydelse som i bl.a. bestäm</w:t>
      </w:r>
      <w:r>
        <w:softHyphen/>
        <w:t>melsen om äktenskapsresebrott (4 d §). Vilseledandet kan bestå i att gärnings</w:t>
      </w:r>
      <w:r>
        <w:softHyphen/>
        <w:t>personen hos brottsoffret framkallar en oriktig uppfatt</w:t>
      </w:r>
      <w:r>
        <w:softHyphen/>
        <w:t>ning, eller vidmakt</w:t>
      </w:r>
      <w:r>
        <w:softHyphen/>
        <w:t xml:space="preserve">håller eller förstärker en oriktig uppfattning som </w:t>
      </w:r>
      <w:r w:rsidRPr="00A752E6">
        <w:rPr>
          <w:spacing w:val="-4"/>
        </w:rPr>
        <w:t>den andre redan har. Det kan</w:t>
      </w:r>
      <w:r>
        <w:rPr>
          <w:spacing w:val="-4"/>
        </w:rPr>
        <w:t xml:space="preserve"> exempelvis</w:t>
      </w:r>
      <w:r w:rsidRPr="00A752E6">
        <w:rPr>
          <w:spacing w:val="-4"/>
        </w:rPr>
        <w:t xml:space="preserve"> ske genom uttryckliga lögner </w:t>
      </w:r>
      <w:r w:rsidR="00751382">
        <w:rPr>
          <w:spacing w:val="-4"/>
        </w:rPr>
        <w:t>eller</w:t>
      </w:r>
      <w:r>
        <w:t xml:space="preserve"> genom att gärnings</w:t>
      </w:r>
      <w:r>
        <w:softHyphen/>
        <w:t xml:space="preserve">personen beter sig på ett sätt som förmedlar ett missvisande budskap (se prop. 2013/14:208 s. 145). </w:t>
      </w:r>
    </w:p>
    <w:p w14:paraId="40926075" w14:textId="77777777" w:rsidR="006973D1" w:rsidRPr="0043060F" w:rsidRDefault="006973D1" w:rsidP="006973D1">
      <w:pPr>
        <w:pStyle w:val="Brdtextmedindrag"/>
        <w:rPr>
          <w:spacing w:val="1"/>
        </w:rPr>
      </w:pPr>
      <w:r>
        <w:t xml:space="preserve">Vilseledandet ska ta sikte på frågan om att det rör sig om ett äktenskap som ingås eller förutsättningarna för att upplösa det. Det kan exempelvis handla om att gärningspersonen förmedlar </w:t>
      </w:r>
      <w:r w:rsidRPr="00B46F5C">
        <w:rPr>
          <w:spacing w:val="-2"/>
        </w:rPr>
        <w:t>eller vidmakthåller uppfatt</w:t>
      </w:r>
      <w:r>
        <w:rPr>
          <w:spacing w:val="-2"/>
        </w:rPr>
        <w:softHyphen/>
      </w:r>
      <w:r w:rsidRPr="00B46F5C">
        <w:rPr>
          <w:spacing w:val="-2"/>
        </w:rPr>
        <w:t>ningen att en ceremoni har ett annat syfte</w:t>
      </w:r>
      <w:r>
        <w:t xml:space="preserve"> än att ett äktenskap ska ingås. Med att äktenskap ingås avses inte </w:t>
      </w:r>
      <w:r>
        <w:rPr>
          <w:spacing w:val="-4"/>
        </w:rPr>
        <w:t>endast</w:t>
      </w:r>
      <w:r>
        <w:t xml:space="preserve"> äktenskap som ingås genom en ceremoni, såsom en religiös eller civil vigselakt, utan även äkten</w:t>
      </w:r>
      <w:r>
        <w:softHyphen/>
      </w:r>
      <w:r w:rsidRPr="00A752E6">
        <w:rPr>
          <w:spacing w:val="-2"/>
        </w:rPr>
        <w:t>skap som ingås på något annat</w:t>
      </w:r>
      <w:r>
        <w:t xml:space="preserve"> sätt, t.ex. genom undertecknandet av ett äktenskaps</w:t>
      </w:r>
      <w:r>
        <w:softHyphen/>
        <w:t xml:space="preserve">kontrakt. </w:t>
      </w:r>
      <w:r>
        <w:rPr>
          <w:spacing w:val="-4"/>
        </w:rPr>
        <w:t>V</w:t>
      </w:r>
      <w:r w:rsidRPr="00B46F5C">
        <w:rPr>
          <w:spacing w:val="-4"/>
        </w:rPr>
        <w:t>ilseledande angående förutsätt</w:t>
      </w:r>
      <w:r w:rsidRPr="00B46F5C">
        <w:rPr>
          <w:spacing w:val="-4"/>
        </w:rPr>
        <w:softHyphen/>
        <w:t>ningarna</w:t>
      </w:r>
      <w:r>
        <w:t xml:space="preserve"> för äktenskapets upp</w:t>
      </w:r>
      <w:r>
        <w:softHyphen/>
        <w:t xml:space="preserve">lösning kan exempelvis föreligga när gärningspersonen förmår brottsoffret att ingå ett äktenskap genom att förmedla eller vidmakthålla uppfattningen att han eller hon kan begära upplösning av äktenskapet, trots att någon sådan möjlighet inte finns. </w:t>
      </w:r>
      <w:r>
        <w:rPr>
          <w:spacing w:val="-4"/>
        </w:rPr>
        <w:t>Vilseledande som tar sikte på andra omständig</w:t>
      </w:r>
      <w:r>
        <w:rPr>
          <w:spacing w:val="-4"/>
        </w:rPr>
        <w:softHyphen/>
        <w:t xml:space="preserve">heter än att ett äktenskap ingås eller förutsättningarna för att upplösa det faller utanför bestämmelsens tillämpningsområde, även om vilseledandet påverkar beslutet att ingå äktenskapet. </w:t>
      </w:r>
    </w:p>
    <w:p w14:paraId="4A8B36F4" w14:textId="259CADC6" w:rsidR="006973D1" w:rsidRPr="005926F6" w:rsidRDefault="006973D1" w:rsidP="006973D1">
      <w:pPr>
        <w:pStyle w:val="Brdtextmedindrag"/>
      </w:pPr>
      <w:r w:rsidRPr="005926F6">
        <w:t xml:space="preserve">För straffbarhet krävs att gärningspersonen genom vilseledandet </w:t>
      </w:r>
      <w:r w:rsidRPr="00C816BD">
        <w:t>förmår den andra personen att ingå ett äktenskap</w:t>
      </w:r>
      <w:r w:rsidRPr="005926F6">
        <w:t xml:space="preserve">. Det innebär ett krav på att framkallandet eller </w:t>
      </w:r>
      <w:r w:rsidRPr="00C816BD">
        <w:t>vidmakt</w:t>
      </w:r>
      <w:r>
        <w:softHyphen/>
      </w:r>
      <w:r w:rsidRPr="00C816BD">
        <w:t>hållan</w:t>
      </w:r>
      <w:r>
        <w:softHyphen/>
      </w:r>
      <w:r w:rsidRPr="00C816BD">
        <w:t>det av villfarelsen är kausalt i förhållande till det</w:t>
      </w:r>
      <w:r w:rsidRPr="005926F6">
        <w:t xml:space="preserve"> in</w:t>
      </w:r>
      <w:r w:rsidRPr="005926F6">
        <w:softHyphen/>
        <w:t>gångna äktenskapet. Om gärningspersonen enbart passivt utnyttjar någon annans villfarelse är straffansvar uteslutet (jfr prop. 2013/14:208 s.</w:t>
      </w:r>
      <w:r w:rsidR="00226C1F">
        <w:t> </w:t>
      </w:r>
      <w:r w:rsidRPr="005926F6">
        <w:t xml:space="preserve">145). </w:t>
      </w:r>
    </w:p>
    <w:p w14:paraId="59C80F4C" w14:textId="77777777" w:rsidR="006973D1" w:rsidRDefault="006973D1" w:rsidP="006973D1">
      <w:pPr>
        <w:pStyle w:val="Brdtextmedindrag"/>
      </w:pPr>
      <w:r w:rsidRPr="003728A6">
        <w:t>Brottet fullbordas när äktenskapet kommit till stånd</w:t>
      </w:r>
      <w:r>
        <w:t>.</w:t>
      </w:r>
      <w:r w:rsidRPr="006667DA">
        <w:t xml:space="preserve"> </w:t>
      </w:r>
      <w:r>
        <w:t xml:space="preserve">Som framgår av </w:t>
      </w:r>
      <w:r w:rsidRPr="006667DA">
        <w:t>andra stycket</w:t>
      </w:r>
      <w:r>
        <w:t xml:space="preserve">, vilket är oförändrat, omfattas även </w:t>
      </w:r>
      <w:r w:rsidRPr="00B46F5C">
        <w:rPr>
          <w:spacing w:val="-2"/>
        </w:rPr>
        <w:t>vissa äktenskapsliknande förbindelser som inte utgör formella</w:t>
      </w:r>
      <w:r w:rsidRPr="00B46F5C">
        <w:rPr>
          <w:spacing w:val="-4"/>
        </w:rPr>
        <w:t xml:space="preserve"> äkten</w:t>
      </w:r>
      <w:r w:rsidRPr="00B46F5C">
        <w:rPr>
          <w:spacing w:val="-4"/>
        </w:rPr>
        <w:softHyphen/>
        <w:t>skap</w:t>
      </w:r>
      <w:r>
        <w:t xml:space="preserve"> av bestämmelsens tillämp</w:t>
      </w:r>
      <w:r>
        <w:softHyphen/>
        <w:t>ningsområde. Vilseledandet ska i de fallen ta sikte på ingåendet av den äktenskaps</w:t>
      </w:r>
      <w:r>
        <w:softHyphen/>
        <w:t>liknande förbindelsen eller förutsättningarna att upplösa den.</w:t>
      </w:r>
    </w:p>
    <w:p w14:paraId="6AFFBC96" w14:textId="77777777" w:rsidR="006973D1" w:rsidRDefault="006973D1" w:rsidP="006973D1">
      <w:pPr>
        <w:pStyle w:val="Brdtextmedindrag"/>
        <w:rPr>
          <w:spacing w:val="-2"/>
        </w:rPr>
      </w:pPr>
      <w:r>
        <w:t>S</w:t>
      </w:r>
      <w:r w:rsidRPr="00890EB4">
        <w:t>traffminimum för</w:t>
      </w:r>
      <w:r>
        <w:t xml:space="preserve"> </w:t>
      </w:r>
      <w:r w:rsidRPr="00890EB4">
        <w:t xml:space="preserve">äktenskapstvång </w:t>
      </w:r>
      <w:r>
        <w:t xml:space="preserve">höjs </w:t>
      </w:r>
      <w:r w:rsidRPr="00890EB4">
        <w:t>från fängelseminimum till fängelse i sex månader och straffmaximum från fängelse i fyra år till sex</w:t>
      </w:r>
      <w:r>
        <w:t> </w:t>
      </w:r>
      <w:r w:rsidRPr="00890EB4">
        <w:t xml:space="preserve">år. I </w:t>
      </w:r>
      <w:r w:rsidRPr="00555778">
        <w:rPr>
          <w:i/>
        </w:rPr>
        <w:t>tredje stycket</w:t>
      </w:r>
      <w:r w:rsidRPr="00890EB4">
        <w:t xml:space="preserve"> görs motsvarande straffskärpning för barnäkten</w:t>
      </w:r>
      <w:r>
        <w:softHyphen/>
      </w:r>
      <w:r w:rsidRPr="00890EB4">
        <w:t xml:space="preserve">skapsbrott. </w:t>
      </w:r>
    </w:p>
    <w:p w14:paraId="6FF2A87F" w14:textId="77777777" w:rsidR="006973D1" w:rsidRDefault="006973D1" w:rsidP="006973D1">
      <w:pPr>
        <w:pStyle w:val="Brdtextmedindrag"/>
      </w:pPr>
      <w:r>
        <w:rPr>
          <w:spacing w:val="-2"/>
        </w:rPr>
        <w:t>Ändringarna av straffskalorna</w:t>
      </w:r>
      <w:r w:rsidRPr="001F0A9E">
        <w:rPr>
          <w:spacing w:val="-2"/>
        </w:rPr>
        <w:t xml:space="preserve"> </w:t>
      </w:r>
      <w:r>
        <w:rPr>
          <w:spacing w:val="-2"/>
        </w:rPr>
        <w:t>i första och tredje styckena innebär</w:t>
      </w:r>
      <w:r w:rsidRPr="001F0A9E">
        <w:rPr>
          <w:spacing w:val="-2"/>
        </w:rPr>
        <w:t xml:space="preserve"> </w:t>
      </w:r>
      <w:r>
        <w:rPr>
          <w:spacing w:val="-2"/>
        </w:rPr>
        <w:t>en generell höjning av</w:t>
      </w:r>
      <w:r w:rsidRPr="001F0A9E">
        <w:rPr>
          <w:spacing w:val="-2"/>
        </w:rPr>
        <w:t xml:space="preserve"> straffnivån för gärningar som är att bedöma som </w:t>
      </w:r>
      <w:r>
        <w:rPr>
          <w:spacing w:val="-2"/>
        </w:rPr>
        <w:t>äktenskapstvång respektive barnäktenskapsbrott</w:t>
      </w:r>
      <w:r w:rsidRPr="001F0A9E">
        <w:rPr>
          <w:spacing w:val="-2"/>
        </w:rPr>
        <w:t>.</w:t>
      </w:r>
      <w:r>
        <w:rPr>
          <w:spacing w:val="-2"/>
        </w:rPr>
        <w:t xml:space="preserve"> </w:t>
      </w:r>
      <w:r w:rsidRPr="00B46F5C">
        <w:rPr>
          <w:spacing w:val="-4"/>
        </w:rPr>
        <w:t>Äkten</w:t>
      </w:r>
      <w:r w:rsidRPr="00B46F5C">
        <w:rPr>
          <w:spacing w:val="-4"/>
        </w:rPr>
        <w:softHyphen/>
        <w:t>skaps</w:t>
      </w:r>
      <w:r w:rsidRPr="00B46F5C">
        <w:rPr>
          <w:spacing w:val="-4"/>
        </w:rPr>
        <w:softHyphen/>
        <w:t>tvång</w:t>
      </w:r>
      <w:r>
        <w:t xml:space="preserve"> och </w:t>
      </w:r>
      <w:r>
        <w:lastRenderedPageBreak/>
        <w:t xml:space="preserve">barnäktenskapsbrott kan begås genom flera olika typer av gärningar som kan variera i allvar. När straffet </w:t>
      </w:r>
      <w:r w:rsidRPr="00B4197A">
        <w:t xml:space="preserve">bestäms ska det </w:t>
      </w:r>
      <w:r w:rsidRPr="00B4197A">
        <w:rPr>
          <w:spacing w:val="-4"/>
        </w:rPr>
        <w:t>göras en helhetsbedömning av samtliga omständigheter vid gärningen</w:t>
      </w:r>
      <w:r w:rsidRPr="00B4197A">
        <w:t>.</w:t>
      </w:r>
      <w:r w:rsidRPr="00B4197A">
        <w:rPr>
          <w:spacing w:val="-2"/>
        </w:rPr>
        <w:t xml:space="preserve"> Eftersom straffmaxi</w:t>
      </w:r>
      <w:r w:rsidRPr="00B4197A">
        <w:rPr>
          <w:spacing w:val="-2"/>
        </w:rPr>
        <w:softHyphen/>
        <w:t>mum för äktenskapstvång och barnäktenskapsbrott höjs till fängelse</w:t>
      </w:r>
      <w:r w:rsidRPr="00B4197A">
        <w:t xml:space="preserve"> i sex år finns det inte längre något behov av att, som hittills varit fallet när brottets allvar inte fullt ut kunnat beaktas inom ramen för den straffskala som gällt, döma för grovt olaga tvång. </w:t>
      </w:r>
    </w:p>
    <w:p w14:paraId="4B370074" w14:textId="77777777" w:rsidR="006973D1" w:rsidRDefault="006973D1" w:rsidP="006973D1">
      <w:pPr>
        <w:pStyle w:val="Brdtextmedindrag"/>
      </w:pPr>
    </w:p>
    <w:p w14:paraId="181946C6" w14:textId="77777777" w:rsidR="006973D1" w:rsidRPr="001A07EB" w:rsidRDefault="006973D1" w:rsidP="006973D1">
      <w:pPr>
        <w:pStyle w:val="Brdtext"/>
        <w:rPr>
          <w:sz w:val="18"/>
          <w:szCs w:val="18"/>
        </w:rPr>
      </w:pPr>
      <w:r w:rsidRPr="001A07EB">
        <w:rPr>
          <w:b/>
          <w:bCs/>
          <w:sz w:val="18"/>
          <w:szCs w:val="18"/>
        </w:rPr>
        <w:t>4 d §    </w:t>
      </w:r>
      <w:r w:rsidRPr="001A07EB">
        <w:rPr>
          <w:sz w:val="18"/>
          <w:szCs w:val="18"/>
        </w:rPr>
        <w:t xml:space="preserve">Den som, i annat fall än som avses i 1 a §, genom </w:t>
      </w:r>
      <w:r w:rsidRPr="001A07EB">
        <w:rPr>
          <w:i/>
          <w:iCs/>
          <w:sz w:val="18"/>
          <w:szCs w:val="18"/>
        </w:rPr>
        <w:t xml:space="preserve">olaga tvång, utnyttjande </w:t>
      </w:r>
      <w:r w:rsidRPr="001A07EB">
        <w:rPr>
          <w:i/>
          <w:iCs/>
          <w:spacing w:val="-4"/>
          <w:sz w:val="18"/>
          <w:szCs w:val="18"/>
        </w:rPr>
        <w:t>av utsatt belägenhet eller</w:t>
      </w:r>
      <w:r w:rsidRPr="001A07EB">
        <w:rPr>
          <w:spacing w:val="-4"/>
          <w:sz w:val="18"/>
          <w:szCs w:val="18"/>
        </w:rPr>
        <w:t xml:space="preserve"> vilseledande förmår en person att resa till en annan</w:t>
      </w:r>
      <w:r w:rsidRPr="001A07EB">
        <w:rPr>
          <w:sz w:val="18"/>
          <w:szCs w:val="18"/>
        </w:rPr>
        <w:t xml:space="preserve"> stat än den där han eller hon bor, i syfte att personen ska utsättas för en sådan gärning som anges i 4 c §, döms för </w:t>
      </w:r>
      <w:r w:rsidRPr="001A07EB">
        <w:rPr>
          <w:i/>
          <w:iCs/>
          <w:sz w:val="18"/>
          <w:szCs w:val="18"/>
          <w:u w:val="single"/>
        </w:rPr>
        <w:t>äktenskapsresebrott</w:t>
      </w:r>
      <w:r w:rsidRPr="001A07EB">
        <w:rPr>
          <w:sz w:val="18"/>
          <w:szCs w:val="18"/>
        </w:rPr>
        <w:t xml:space="preserve"> till fängelse i högst </w:t>
      </w:r>
      <w:r w:rsidRPr="001A07EB">
        <w:rPr>
          <w:i/>
          <w:iCs/>
          <w:sz w:val="18"/>
          <w:szCs w:val="18"/>
        </w:rPr>
        <w:t>fyra</w:t>
      </w:r>
      <w:r>
        <w:rPr>
          <w:sz w:val="18"/>
          <w:szCs w:val="18"/>
        </w:rPr>
        <w:t> </w:t>
      </w:r>
      <w:r w:rsidRPr="001A07EB">
        <w:rPr>
          <w:sz w:val="18"/>
          <w:szCs w:val="18"/>
        </w:rPr>
        <w:t>år.</w:t>
      </w:r>
    </w:p>
    <w:p w14:paraId="1CBCCB3C" w14:textId="77777777" w:rsidR="006973D1" w:rsidRPr="001A07EB" w:rsidRDefault="006973D1" w:rsidP="006973D1">
      <w:pPr>
        <w:pStyle w:val="Brdtextmedindrag"/>
        <w:spacing w:line="220" w:lineRule="exact"/>
        <w:rPr>
          <w:i/>
          <w:iCs/>
          <w:sz w:val="18"/>
          <w:szCs w:val="18"/>
        </w:rPr>
      </w:pPr>
      <w:r w:rsidRPr="001A07EB">
        <w:rPr>
          <w:i/>
          <w:iCs/>
          <w:sz w:val="18"/>
          <w:szCs w:val="18"/>
        </w:rPr>
        <w:t xml:space="preserve">Den som begår en gärning som avses i första stycket mot en person som inte har fyllt arton år, döms för </w:t>
      </w:r>
      <w:r w:rsidRPr="001A07EB">
        <w:rPr>
          <w:i/>
          <w:iCs/>
          <w:sz w:val="18"/>
          <w:szCs w:val="18"/>
          <w:u w:val="single"/>
        </w:rPr>
        <w:t>äktenskapsresebrott mot barn</w:t>
      </w:r>
      <w:r w:rsidRPr="001A07EB">
        <w:rPr>
          <w:i/>
          <w:iCs/>
          <w:sz w:val="18"/>
          <w:szCs w:val="18"/>
        </w:rPr>
        <w:t xml:space="preserve"> till fängelse i högst fyra år. För äktenskapsresebrott mot barn döms också den som i annat fall förmår eller tillåter en person som inte har fyllt arton år att resa till en annan stat än den där han eller hon bor, i syfte att personen ska utsättas för en sådan gärning som anges i 4 c § tredje stycket. Detta gäller även om den som begår en sådan gärning inte haft uppsåt till men varit oaktsam beträf</w:t>
      </w:r>
      <w:r w:rsidRPr="001A07EB">
        <w:rPr>
          <w:i/>
          <w:iCs/>
          <w:sz w:val="18"/>
          <w:szCs w:val="18"/>
        </w:rPr>
        <w:softHyphen/>
        <w:t xml:space="preserve">fande omständigheten att den andra personen inte fyllt arton år. </w:t>
      </w:r>
    </w:p>
    <w:p w14:paraId="11CD8435" w14:textId="77777777" w:rsidR="006973D1" w:rsidRDefault="006973D1" w:rsidP="006973D1">
      <w:pPr>
        <w:pStyle w:val="Brdtext"/>
      </w:pPr>
    </w:p>
    <w:p w14:paraId="14559CB4" w14:textId="06513B84" w:rsidR="006973D1" w:rsidRDefault="006973D1" w:rsidP="006973D1">
      <w:pPr>
        <w:pStyle w:val="Brdtext"/>
      </w:pPr>
      <w:r w:rsidRPr="00890EB4">
        <w:t xml:space="preserve">Paragrafen reglerar straffansvar för </w:t>
      </w:r>
      <w:r>
        <w:t>äktenskapsresebrott och äktenskaps</w:t>
      </w:r>
      <w:r>
        <w:softHyphen/>
        <w:t>resebrott mot barn</w:t>
      </w:r>
      <w:r w:rsidRPr="00890EB4">
        <w:t xml:space="preserve">. Övervägandena finns i avsnitt </w:t>
      </w:r>
      <w:r w:rsidR="00EB5551">
        <w:t>5.2</w:t>
      </w:r>
      <w:r>
        <w:t xml:space="preserve">, </w:t>
      </w:r>
      <w:r w:rsidR="00EB5551">
        <w:t>5.3.2</w:t>
      </w:r>
      <w:r>
        <w:t xml:space="preserve"> och </w:t>
      </w:r>
      <w:r w:rsidR="00EB5551">
        <w:t>5.3.3</w:t>
      </w:r>
      <w:r w:rsidR="00D13425">
        <w:t>.</w:t>
      </w:r>
    </w:p>
    <w:p w14:paraId="336968C1" w14:textId="77777777" w:rsidR="006973D1" w:rsidRDefault="006973D1" w:rsidP="006973D1">
      <w:pPr>
        <w:pStyle w:val="Brdtextmedindrag"/>
      </w:pPr>
      <w:r w:rsidRPr="00890EB4">
        <w:t xml:space="preserve">Genom en ändring i </w:t>
      </w:r>
      <w:r w:rsidRPr="005C772D">
        <w:rPr>
          <w:i/>
        </w:rPr>
        <w:t>första stycket</w:t>
      </w:r>
      <w:r w:rsidRPr="00890EB4">
        <w:t xml:space="preserve"> </w:t>
      </w:r>
      <w:r>
        <w:t>ändras brottsbeteckningen från vilseledande till äktenskapsresa till äktenskapsresebrott. T</w:t>
      </w:r>
      <w:r w:rsidRPr="00890EB4">
        <w:t>illämpnings</w:t>
      </w:r>
      <w:r>
        <w:softHyphen/>
      </w:r>
      <w:r w:rsidRPr="00890EB4">
        <w:t>område</w:t>
      </w:r>
      <w:r>
        <w:t>t utvidgas</w:t>
      </w:r>
      <w:r w:rsidRPr="00890EB4">
        <w:t xml:space="preserve"> till att omfatta även de fall där någon genom olaga </w:t>
      </w:r>
      <w:r>
        <w:t>t</w:t>
      </w:r>
      <w:r w:rsidRPr="00890EB4">
        <w:t>vång eller utnyttjande av utsatt belägenhet förmår en person att resa till</w:t>
      </w:r>
      <w:r>
        <w:t xml:space="preserve"> </w:t>
      </w:r>
      <w:r w:rsidRPr="00890EB4">
        <w:t>en annan stat än den där han eller hon bor, i syfte att personen ska utsättas</w:t>
      </w:r>
      <w:r>
        <w:t xml:space="preserve"> </w:t>
      </w:r>
      <w:r w:rsidRPr="00890EB4">
        <w:t>för en sådan gärning som avses i 4 c</w:t>
      </w:r>
      <w:r>
        <w:t> §</w:t>
      </w:r>
      <w:r w:rsidRPr="00890EB4">
        <w:t xml:space="preserve">. </w:t>
      </w:r>
    </w:p>
    <w:p w14:paraId="6DE472E7" w14:textId="77777777" w:rsidR="006973D1" w:rsidRDefault="006973D1" w:rsidP="006973D1">
      <w:pPr>
        <w:pStyle w:val="Brdtextmedindrag"/>
      </w:pPr>
      <w:r>
        <w:t xml:space="preserve">Rekvisiten </w:t>
      </w:r>
      <w:r w:rsidRPr="0045403F">
        <w:t>olaga tvång</w:t>
      </w:r>
      <w:r>
        <w:rPr>
          <w:i/>
          <w:iCs/>
        </w:rPr>
        <w:t xml:space="preserve"> </w:t>
      </w:r>
      <w:r>
        <w:t xml:space="preserve">och </w:t>
      </w:r>
      <w:r w:rsidRPr="0045403F">
        <w:t>utnyttjande av utsatt belägenhet</w:t>
      </w:r>
      <w:r>
        <w:t xml:space="preserve"> i första stycket har samma betydelse som i bl.a. bestämmelserna om äkten</w:t>
      </w:r>
      <w:r>
        <w:softHyphen/>
        <w:t xml:space="preserve">skapstvång och barnäktenskapsbrott (4 c §). </w:t>
      </w:r>
      <w:r w:rsidRPr="0048044E">
        <w:rPr>
          <w:spacing w:val="-2"/>
        </w:rPr>
        <w:t>Begreppet olaga tvång omfattar alltså samma handlingar som räknas</w:t>
      </w:r>
      <w:r>
        <w:t xml:space="preserve"> upp i straffbestämmelsen om olaga tvång (4 §). </w:t>
      </w:r>
      <w:r w:rsidRPr="00B46F5C">
        <w:rPr>
          <w:spacing w:val="-2"/>
        </w:rPr>
        <w:t>Det kan t.ex. handla om att gärnings</w:t>
      </w:r>
      <w:r>
        <w:rPr>
          <w:spacing w:val="-2"/>
        </w:rPr>
        <w:softHyphen/>
      </w:r>
      <w:r w:rsidRPr="00B46F5C">
        <w:rPr>
          <w:spacing w:val="-2"/>
        </w:rPr>
        <w:t>personen genom hot om brotts</w:t>
      </w:r>
      <w:r w:rsidRPr="00B46F5C">
        <w:rPr>
          <w:spacing w:val="-2"/>
        </w:rPr>
        <w:softHyphen/>
        <w:t>lig</w:t>
      </w:r>
      <w:r>
        <w:t xml:space="preserve"> </w:t>
      </w:r>
      <w:r w:rsidRPr="00B46F5C">
        <w:rPr>
          <w:spacing w:val="-4"/>
        </w:rPr>
        <w:t>gärning tvingar brottsoffret att resa utomlands i syfte att personen</w:t>
      </w:r>
      <w:r>
        <w:t xml:space="preserve"> ska utsättas för äktenskapstvång eller barnäktenskapsbrott. När det g</w:t>
      </w:r>
      <w:r w:rsidRPr="00B46F5C">
        <w:rPr>
          <w:spacing w:val="-2"/>
        </w:rPr>
        <w:t>äller rekvisitet utnyttjande av utsatt belägenhet avser detta exempel</w:t>
      </w:r>
      <w:r w:rsidRPr="00B46F5C">
        <w:rPr>
          <w:spacing w:val="-2"/>
        </w:rPr>
        <w:softHyphen/>
        <w:t>vis</w:t>
      </w:r>
      <w:r>
        <w:t xml:space="preserve"> situationer där gärningspersonen utnyttjar att brottsoffret befinner sig i en beroende</w:t>
      </w:r>
      <w:r>
        <w:softHyphen/>
        <w:t>ställning i förhållande till honom eller henne eller att brotts</w:t>
      </w:r>
      <w:r w:rsidRPr="00B46F5C">
        <w:rPr>
          <w:spacing w:val="-4"/>
        </w:rPr>
        <w:t>offret lever under ekonomiskt svåra förhållanden, lever i flyktingskap</w:t>
      </w:r>
      <w:r>
        <w:t>, befinner sig i vanmakt, har en intellektuell funktions</w:t>
      </w:r>
      <w:r>
        <w:softHyphen/>
        <w:t xml:space="preserve">nedsättning </w:t>
      </w:r>
      <w:r w:rsidRPr="00B46F5C">
        <w:rPr>
          <w:spacing w:val="-2"/>
        </w:rPr>
        <w:t>eller någon sjukdom eller är beroende av narkotika. För straffbarhet</w:t>
      </w:r>
      <w:r>
        <w:t xml:space="preserve"> krävs att omständigheterna vid en helhetsbedömning är sådana att brottsoffret inte har något annat verkligt eller godtagbart alternativ </w:t>
      </w:r>
      <w:r w:rsidRPr="00B46F5C">
        <w:rPr>
          <w:spacing w:val="-2"/>
        </w:rPr>
        <w:t>än att underkasta sig gärningspersonens vilja och företa den aktuella</w:t>
      </w:r>
      <w:r>
        <w:t xml:space="preserve"> resan (jfr prop. 2013/14:208 s. 140–141). </w:t>
      </w:r>
    </w:p>
    <w:p w14:paraId="7018E9FF" w14:textId="77777777" w:rsidR="006973D1" w:rsidRDefault="006973D1" w:rsidP="006973D1">
      <w:pPr>
        <w:pStyle w:val="Brdtextmedindrag"/>
        <w:rPr>
          <w:i/>
          <w:iCs/>
        </w:rPr>
      </w:pPr>
      <w:r>
        <w:t>Straffmaximum</w:t>
      </w:r>
      <w:r w:rsidRPr="00890EB4">
        <w:t xml:space="preserve"> för </w:t>
      </w:r>
      <w:r>
        <w:t>äktenskapsresebrott</w:t>
      </w:r>
      <w:r w:rsidRPr="00890EB4">
        <w:t xml:space="preserve"> </w:t>
      </w:r>
      <w:r>
        <w:t xml:space="preserve">höjs från </w:t>
      </w:r>
      <w:r w:rsidRPr="00890EB4">
        <w:t>fängelse i två år till</w:t>
      </w:r>
      <w:r>
        <w:t xml:space="preserve"> </w:t>
      </w:r>
      <w:r w:rsidRPr="00890EB4">
        <w:t>fängelse i fyra år.</w:t>
      </w:r>
      <w:r>
        <w:t xml:space="preserve"> </w:t>
      </w:r>
      <w:r>
        <w:rPr>
          <w:spacing w:val="-4"/>
        </w:rPr>
        <w:t xml:space="preserve">Höjningen av straffskalan </w:t>
      </w:r>
      <w:r>
        <w:t xml:space="preserve">skapar utrymme för en mer nyanserad straffmätning. </w:t>
      </w:r>
    </w:p>
    <w:p w14:paraId="06D5D300" w14:textId="3C3B5EB0" w:rsidR="006973D1" w:rsidRPr="00063073" w:rsidRDefault="006973D1" w:rsidP="006973D1">
      <w:pPr>
        <w:pStyle w:val="Brdtextmedindrag"/>
      </w:pPr>
      <w:r w:rsidRPr="00890EB4">
        <w:t xml:space="preserve">Enligt </w:t>
      </w:r>
      <w:r w:rsidRPr="003C6547">
        <w:rPr>
          <w:i/>
          <w:iCs/>
        </w:rPr>
        <w:t>andra stycket</w:t>
      </w:r>
      <w:r w:rsidRPr="00890EB4">
        <w:t>, som är nytt, ska det i stället</w:t>
      </w:r>
      <w:r>
        <w:t xml:space="preserve"> </w:t>
      </w:r>
      <w:r w:rsidRPr="00890EB4">
        <w:t>dömas för äktenskaps</w:t>
      </w:r>
      <w:r>
        <w:softHyphen/>
      </w:r>
      <w:r w:rsidRPr="00890EB4">
        <w:t>resebrott mot barn om äktenskapsresebrottet riktar sig mot en person som inte har fyllt 18</w:t>
      </w:r>
      <w:r>
        <w:t> </w:t>
      </w:r>
      <w:r w:rsidRPr="00890EB4">
        <w:t>år. Andra stycket första</w:t>
      </w:r>
      <w:r>
        <w:t xml:space="preserve"> </w:t>
      </w:r>
      <w:r w:rsidRPr="00890EB4">
        <w:t>meningen</w:t>
      </w:r>
      <w:r>
        <w:t xml:space="preserve"> </w:t>
      </w:r>
      <w:r w:rsidRPr="00890EB4">
        <w:t xml:space="preserve">avser de fall där </w:t>
      </w:r>
      <w:r w:rsidRPr="00890EB4">
        <w:lastRenderedPageBreak/>
        <w:t>gärningspersonen genom olaga tvång, utnyttjande</w:t>
      </w:r>
      <w:r>
        <w:t xml:space="preserve"> av utsatt belägenhet eller vilseledande </w:t>
      </w:r>
      <w:r w:rsidRPr="00890EB4">
        <w:t>förmå</w:t>
      </w:r>
      <w:r>
        <w:t xml:space="preserve">r en person </w:t>
      </w:r>
      <w:r w:rsidRPr="00890EB4">
        <w:t>som inte har fyllt 18</w:t>
      </w:r>
      <w:r>
        <w:t xml:space="preserve"> </w:t>
      </w:r>
      <w:r w:rsidRPr="00890EB4">
        <w:t>år att resa till en annan stat än den där han eller</w:t>
      </w:r>
      <w:r w:rsidRPr="00A724B5">
        <w:t xml:space="preserve"> hon bor, i syfte att personen ska utsättas f</w:t>
      </w:r>
      <w:r>
        <w:t xml:space="preserve">ör barnäktenskapsbrott </w:t>
      </w:r>
      <w:r w:rsidRPr="00890EB4">
        <w:t>enligt 4 c</w:t>
      </w:r>
      <w:r>
        <w:t> §</w:t>
      </w:r>
      <w:r w:rsidRPr="00890EB4">
        <w:t xml:space="preserve"> tredje stycket. För</w:t>
      </w:r>
      <w:r>
        <w:t xml:space="preserve"> </w:t>
      </w:r>
      <w:r w:rsidRPr="00890EB4">
        <w:t>äktenskapsresebrott mot barn sk</w:t>
      </w:r>
      <w:r>
        <w:t xml:space="preserve">a </w:t>
      </w:r>
      <w:r w:rsidRPr="00890EB4">
        <w:t>också</w:t>
      </w:r>
      <w:r>
        <w:t xml:space="preserve"> enligt andra meningen</w:t>
      </w:r>
      <w:r w:rsidRPr="00890EB4">
        <w:t xml:space="preserve"> dömas om </w:t>
      </w:r>
      <w:r>
        <w:t xml:space="preserve">gärningspersonen </w:t>
      </w:r>
      <w:r w:rsidR="00664D7E">
        <w:t xml:space="preserve">i annat fall </w:t>
      </w:r>
      <w:r w:rsidRPr="00890EB4">
        <w:t>förmå</w:t>
      </w:r>
      <w:r>
        <w:t>r</w:t>
      </w:r>
      <w:r w:rsidRPr="00890EB4">
        <w:t xml:space="preserve"> eller tillåt</w:t>
      </w:r>
      <w:r>
        <w:t>er</w:t>
      </w:r>
      <w:r w:rsidRPr="00890EB4">
        <w:t xml:space="preserve"> </w:t>
      </w:r>
      <w:r>
        <w:t xml:space="preserve">en person som inte fyllt 18 år </w:t>
      </w:r>
      <w:r w:rsidRPr="00890EB4">
        <w:t>att resa till en annan stat än den där han eller</w:t>
      </w:r>
      <w:r>
        <w:t xml:space="preserve"> </w:t>
      </w:r>
      <w:r w:rsidRPr="00890EB4">
        <w:t>hon bor i syfte att</w:t>
      </w:r>
      <w:r>
        <w:t xml:space="preserve"> personen ska utsättas för barnäkten</w:t>
      </w:r>
      <w:r>
        <w:softHyphen/>
        <w:t xml:space="preserve">skapsbrott. </w:t>
      </w:r>
      <w:r w:rsidRPr="00063073">
        <w:t xml:space="preserve">Det utvidgade </w:t>
      </w:r>
      <w:r>
        <w:t>s</w:t>
      </w:r>
      <w:r w:rsidRPr="00063073">
        <w:t>traffansvaret</w:t>
      </w:r>
      <w:r>
        <w:t xml:space="preserve"> i andra meningen</w:t>
      </w:r>
      <w:r w:rsidRPr="00063073">
        <w:t xml:space="preserve"> </w:t>
      </w:r>
      <w:r>
        <w:t>innebär att det i de</w:t>
      </w:r>
      <w:r w:rsidRPr="00063073">
        <w:t xml:space="preserve"> fall</w:t>
      </w:r>
      <w:r>
        <w:t>en inte krävs</w:t>
      </w:r>
      <w:r w:rsidRPr="00063073">
        <w:t xml:space="preserve"> att något otillbörligt medel i form av olaga tvång, utnyttjande av utsatt belägenhet eller vilseledande har använts. </w:t>
      </w:r>
    </w:p>
    <w:p w14:paraId="540C681D" w14:textId="77777777" w:rsidR="006973D1" w:rsidRPr="00063073" w:rsidRDefault="006973D1" w:rsidP="006973D1">
      <w:pPr>
        <w:pStyle w:val="Brdtextmedindrag"/>
      </w:pPr>
      <w:r>
        <w:t>På samma sätt som i straffbestämmelsen om barnäktenskapsbrott ligger i</w:t>
      </w:r>
      <w:r w:rsidRPr="00063073">
        <w:t xml:space="preserve"> rekvisitet </w:t>
      </w:r>
      <w:r w:rsidRPr="0045403F">
        <w:t>förmår</w:t>
      </w:r>
      <w:r w:rsidRPr="00C135EE">
        <w:t xml:space="preserve"> </w:t>
      </w:r>
      <w:r w:rsidRPr="00063073">
        <w:t>att det ska finnas ett orsakssamband mellan gärnings</w:t>
      </w:r>
      <w:r>
        <w:softHyphen/>
        <w:t>personens</w:t>
      </w:r>
      <w:r w:rsidRPr="00063073">
        <w:t xml:space="preserve"> handlande och den före</w:t>
      </w:r>
      <w:r>
        <w:softHyphen/>
      </w:r>
      <w:r w:rsidRPr="00063073">
        <w:t xml:space="preserve">tagna utlandsresan. </w:t>
      </w:r>
      <w:r>
        <w:t xml:space="preserve">Det krävs således ett aktivt handlande inriktat på ett visst resultat. </w:t>
      </w:r>
      <w:r w:rsidRPr="00063073">
        <w:t>Redan mycket subtila på</w:t>
      </w:r>
      <w:r>
        <w:softHyphen/>
      </w:r>
      <w:r w:rsidRPr="00063073">
        <w:t xml:space="preserve">tryckningar, t.ex. att </w:t>
      </w:r>
      <w:r w:rsidRPr="00B46F5C">
        <w:rPr>
          <w:spacing w:val="2"/>
        </w:rPr>
        <w:t>en släkting uppmanar ett barn att resa till utlandet i sådant syfte</w:t>
      </w:r>
      <w:r w:rsidRPr="00063073">
        <w:t xml:space="preserve"> </w:t>
      </w:r>
      <w:r w:rsidRPr="00B46F5C">
        <w:rPr>
          <w:spacing w:val="1"/>
        </w:rPr>
        <w:t>som avses i bestämmelsen eftersom det är viktigt för släktens</w:t>
      </w:r>
      <w:r w:rsidRPr="00063073">
        <w:t xml:space="preserve"> an</w:t>
      </w:r>
      <w:r>
        <w:softHyphen/>
      </w:r>
      <w:r w:rsidRPr="00063073">
        <w:t>seende</w:t>
      </w:r>
      <w:r>
        <w:t>,</w:t>
      </w:r>
      <w:r w:rsidRPr="00063073">
        <w:t xml:space="preserve"> kan innebära att rekvisitet är uppfyllt (jfr</w:t>
      </w:r>
      <w:r>
        <w:t> </w:t>
      </w:r>
      <w:r w:rsidRPr="00063073">
        <w:t>prop.</w:t>
      </w:r>
      <w:r>
        <w:t> </w:t>
      </w:r>
      <w:r w:rsidRPr="00063073">
        <w:t>2019/20:131 s.</w:t>
      </w:r>
      <w:r>
        <w:t> </w:t>
      </w:r>
      <w:r w:rsidRPr="00063073">
        <w:t xml:space="preserve">101). </w:t>
      </w:r>
    </w:p>
    <w:p w14:paraId="7B02F474" w14:textId="77777777" w:rsidR="006973D1" w:rsidRPr="00063073" w:rsidRDefault="006973D1" w:rsidP="006973D1">
      <w:pPr>
        <w:pStyle w:val="Brdtextmedindrag"/>
      </w:pPr>
      <w:r w:rsidRPr="00BD6C1F">
        <w:rPr>
          <w:spacing w:val="-2"/>
        </w:rPr>
        <w:t>Bestämmelsen straffbelägger också den som tillåter en person som inte</w:t>
      </w:r>
      <w:r>
        <w:rPr>
          <w:spacing w:val="-2"/>
        </w:rPr>
        <w:t xml:space="preserve"> </w:t>
      </w:r>
      <w:r w:rsidRPr="00BD6C1F">
        <w:rPr>
          <w:spacing w:val="-2"/>
        </w:rPr>
        <w:t>har fyllt 18 år att</w:t>
      </w:r>
      <w:r>
        <w:rPr>
          <w:spacing w:val="-2"/>
        </w:rPr>
        <w:t xml:space="preserve"> resa till en annan stat för att där utsättas för barnäkten</w:t>
      </w:r>
      <w:r>
        <w:rPr>
          <w:spacing w:val="-2"/>
        </w:rPr>
        <w:softHyphen/>
        <w:t xml:space="preserve">skapsbrott. </w:t>
      </w:r>
      <w:r w:rsidRPr="00A94FBF">
        <w:rPr>
          <w:spacing w:val="-2"/>
        </w:rPr>
        <w:t xml:space="preserve">När det gäller rekvisitet </w:t>
      </w:r>
      <w:r w:rsidRPr="0045403F">
        <w:rPr>
          <w:iCs/>
          <w:spacing w:val="-2"/>
        </w:rPr>
        <w:t xml:space="preserve">tillåter </w:t>
      </w:r>
      <w:r w:rsidRPr="00A94FBF">
        <w:rPr>
          <w:spacing w:val="-2"/>
        </w:rPr>
        <w:t>omfattar det</w:t>
      </w:r>
      <w:r>
        <w:rPr>
          <w:spacing w:val="-2"/>
        </w:rPr>
        <w:t xml:space="preserve"> i enlighet med den s.k. garantläran</w:t>
      </w:r>
      <w:r w:rsidRPr="00A94FBF">
        <w:rPr>
          <w:spacing w:val="-2"/>
        </w:rPr>
        <w:t>, precis som vid barn</w:t>
      </w:r>
      <w:r w:rsidRPr="00A94FBF">
        <w:rPr>
          <w:spacing w:val="-2"/>
        </w:rPr>
        <w:softHyphen/>
        <w:t>äktenskapsbrott</w:t>
      </w:r>
      <w:r>
        <w:rPr>
          <w:spacing w:val="-2"/>
        </w:rPr>
        <w:t xml:space="preserve"> enligt 4 c § tredje stycket</w:t>
      </w:r>
      <w:r w:rsidRPr="00A94FBF">
        <w:t>, inte bara aktiva handlingar utan även, för den som är i garant</w:t>
      </w:r>
      <w:r>
        <w:softHyphen/>
      </w:r>
      <w:r w:rsidRPr="00A94FBF">
        <w:t>ställning gentemot barnet, underlåtenhet att avvärja att den aktuella utlandsresan kommer till stånd</w:t>
      </w:r>
      <w:r>
        <w:rPr>
          <w:spacing w:val="-2"/>
        </w:rPr>
        <w:t xml:space="preserve"> </w:t>
      </w:r>
      <w:r w:rsidRPr="00BD6C1F">
        <w:rPr>
          <w:spacing w:val="-2"/>
        </w:rPr>
        <w:t>(jfr NJA 2013 s. 588 p</w:t>
      </w:r>
      <w:r>
        <w:rPr>
          <w:spacing w:val="-2"/>
        </w:rPr>
        <w:t>.</w:t>
      </w:r>
      <w:r w:rsidRPr="00BD6C1F">
        <w:rPr>
          <w:spacing w:val="-2"/>
        </w:rPr>
        <w:t xml:space="preserve"> 9–11)</w:t>
      </w:r>
      <w:r w:rsidRPr="00A94FBF">
        <w:t>.</w:t>
      </w:r>
      <w:r w:rsidRPr="00063073">
        <w:t xml:space="preserve"> </w:t>
      </w:r>
      <w:bookmarkStart w:id="151" w:name="_Hlk218698781"/>
      <w:r>
        <w:t>Vårdnads</w:t>
      </w:r>
      <w:r>
        <w:softHyphen/>
        <w:t xml:space="preserve">havare är alltid i garantställning gentemot barnet och har alltså en skyldighet att skydda sitt barn och avvärja att en resa som han eller hon känner till och som syftar till att barnet ska utsättas för barnäktenskapsbrott företas. </w:t>
      </w:r>
      <w:bookmarkEnd w:id="151"/>
      <w:r w:rsidRPr="00063073">
        <w:t>Utöver formella vård</w:t>
      </w:r>
      <w:r>
        <w:softHyphen/>
      </w:r>
      <w:r w:rsidRPr="00063073">
        <w:t>nadshavare kan straffansvar på denna grund också komma i</w:t>
      </w:r>
      <w:r>
        <w:t> </w:t>
      </w:r>
      <w:r w:rsidRPr="00063073">
        <w:t xml:space="preserve">fråga för den som har trätt i vårdnadshavarens ställe eller annan som har </w:t>
      </w:r>
      <w:r w:rsidRPr="00B46F5C">
        <w:rPr>
          <w:spacing w:val="-2"/>
        </w:rPr>
        <w:t>den faktiska vårdnaden om och bestämmande inflytande över barnet</w:t>
      </w:r>
      <w:r w:rsidRPr="00063073">
        <w:t xml:space="preserve"> (</w:t>
      </w:r>
      <w:r>
        <w:t>jfr</w:t>
      </w:r>
      <w:r w:rsidRPr="00063073">
        <w:t xml:space="preserve"> prop. 2019/20:131 s.</w:t>
      </w:r>
      <w:r>
        <w:t> </w:t>
      </w:r>
      <w:r w:rsidRPr="00063073">
        <w:t>101).</w:t>
      </w:r>
    </w:p>
    <w:p w14:paraId="3B68F0C4" w14:textId="77777777" w:rsidR="006973D1" w:rsidRPr="00B006B8" w:rsidRDefault="006973D1" w:rsidP="006973D1">
      <w:pPr>
        <w:pStyle w:val="Brdtextmedindrag"/>
      </w:pPr>
      <w:r w:rsidRPr="00B006B8">
        <w:t xml:space="preserve">Syftet med gärningen ska vara att brottsoffret </w:t>
      </w:r>
      <w:r w:rsidRPr="004F5AD7">
        <w:t>i en annan stat än den där han eller hon bor ska utsättas för barnäkten</w:t>
      </w:r>
      <w:r w:rsidRPr="004F5AD7">
        <w:softHyphen/>
        <w:t>skapsbrott. I denna del krävs alltså ett avsiktsuppsåt som måste före</w:t>
      </w:r>
      <w:r w:rsidRPr="004F5AD7">
        <w:softHyphen/>
        <w:t>ligga</w:t>
      </w:r>
      <w:r w:rsidRPr="00B006B8">
        <w:t xml:space="preserve"> redan vid t.ex. vilseledandet, tvånget eller utnyttjandet av den utsatta belägenheten. När det gäller uppsåtsbedömningen för övriga rekvisit är varje slags uppsåt tillräckligt. När det gäller brottsoffrets ålder är det, på mot</w:t>
      </w:r>
      <w:r w:rsidRPr="00B006B8">
        <w:softHyphen/>
        <w:t>svarande sätt som vid barnäkten</w:t>
      </w:r>
      <w:r w:rsidRPr="00B006B8">
        <w:softHyphen/>
        <w:t>skapsbrott, för straffansvar tillräck</w:t>
      </w:r>
      <w:r w:rsidRPr="00B006B8">
        <w:softHyphen/>
      </w:r>
      <w:r w:rsidRPr="004F5AD7">
        <w:t>ligt att gärningspersonen varit oaktsam beträffande omständig</w:t>
      </w:r>
      <w:r w:rsidRPr="004F5AD7">
        <w:softHyphen/>
        <w:t xml:space="preserve">heten </w:t>
      </w:r>
      <w:r w:rsidRPr="00B006B8">
        <w:t>att offret inte fyllt 18 år (jfr</w:t>
      </w:r>
      <w:r>
        <w:t> </w:t>
      </w:r>
      <w:r w:rsidRPr="00B006B8">
        <w:t>prop.</w:t>
      </w:r>
      <w:r>
        <w:t> </w:t>
      </w:r>
      <w:r w:rsidRPr="00B006B8">
        <w:t xml:space="preserve">2019/20:131 s. 101–102). </w:t>
      </w:r>
    </w:p>
    <w:p w14:paraId="43E954F6" w14:textId="77777777" w:rsidR="006973D1" w:rsidRDefault="006973D1" w:rsidP="006973D1">
      <w:pPr>
        <w:pStyle w:val="Brdtextmedindrag"/>
      </w:pPr>
      <w:r>
        <w:t xml:space="preserve">Brottet fullbordas </w:t>
      </w:r>
      <w:r w:rsidRPr="0051537D">
        <w:t>genom målsägandens ankomst till det andra</w:t>
      </w:r>
      <w:r>
        <w:t xml:space="preserve"> landet.</w:t>
      </w:r>
    </w:p>
    <w:p w14:paraId="696D3F53" w14:textId="77777777" w:rsidR="006973D1" w:rsidRDefault="006973D1" w:rsidP="006973D1">
      <w:pPr>
        <w:pStyle w:val="Brdtextmedindrag"/>
      </w:pPr>
      <w:r>
        <w:t xml:space="preserve">I enlighet med allmänna regler om konkurrens ska det inte dömas för äktenskapsresebrott mot barn om det </w:t>
      </w:r>
      <w:r w:rsidRPr="00AE7508">
        <w:rPr>
          <w:spacing w:val="-4"/>
        </w:rPr>
        <w:t>finns förutsättningar att döma för barnäktenskaps</w:t>
      </w:r>
      <w:r w:rsidRPr="00AE7508">
        <w:rPr>
          <w:spacing w:val="-4"/>
        </w:rPr>
        <w:softHyphen/>
        <w:t>brott</w:t>
      </w:r>
      <w:r>
        <w:t xml:space="preserve"> eller försök till det brottet. Däremot har äktenskaps</w:t>
      </w:r>
      <w:r>
        <w:softHyphen/>
        <w:t>resebrott mot barn företräde framför förberedelse till barnäktenskapsbrott.</w:t>
      </w:r>
    </w:p>
    <w:p w14:paraId="1F234AD1" w14:textId="77777777" w:rsidR="006973D1" w:rsidRDefault="006973D1" w:rsidP="006973D1">
      <w:pPr>
        <w:pStyle w:val="Brdtextmedindrag"/>
      </w:pPr>
      <w:r>
        <w:t xml:space="preserve">Straffskalan för brottet äktenskapsresebrott mot barn är densamma som för äktenskapsresebrott. </w:t>
      </w:r>
    </w:p>
    <w:p w14:paraId="27F9EA7A" w14:textId="77777777" w:rsidR="006973D1" w:rsidRDefault="006973D1" w:rsidP="006973D1">
      <w:pPr>
        <w:pStyle w:val="Brdtextmedindrag"/>
      </w:pPr>
    </w:p>
    <w:p w14:paraId="39A506CA" w14:textId="77777777" w:rsidR="006973D1" w:rsidRPr="007E0D51" w:rsidRDefault="006973D1" w:rsidP="006973D1">
      <w:pPr>
        <w:pStyle w:val="Brdtext"/>
        <w:rPr>
          <w:sz w:val="18"/>
          <w:szCs w:val="18"/>
        </w:rPr>
      </w:pPr>
      <w:r w:rsidRPr="007E0D51">
        <w:rPr>
          <w:b/>
          <w:bCs/>
          <w:sz w:val="18"/>
          <w:szCs w:val="18"/>
        </w:rPr>
        <w:lastRenderedPageBreak/>
        <w:t>10 §    </w:t>
      </w:r>
      <w:r w:rsidRPr="007E0D51">
        <w:rPr>
          <w:spacing w:val="-2"/>
          <w:sz w:val="18"/>
          <w:szCs w:val="18"/>
        </w:rPr>
        <w:t xml:space="preserve">För försök, förberedelse eller stämpling till människorov, </w:t>
      </w:r>
      <w:r w:rsidRPr="005968D0">
        <w:rPr>
          <w:spacing w:val="-2"/>
          <w:sz w:val="18"/>
          <w:szCs w:val="18"/>
        </w:rPr>
        <w:t>människohandel, grov människoexploatering, olaga frihetsberövande, äktenskapstvång eller barn</w:t>
      </w:r>
      <w:r>
        <w:rPr>
          <w:spacing w:val="-2"/>
          <w:sz w:val="18"/>
          <w:szCs w:val="18"/>
        </w:rPr>
        <w:softHyphen/>
      </w:r>
      <w:r w:rsidRPr="005968D0">
        <w:rPr>
          <w:spacing w:val="-2"/>
          <w:sz w:val="18"/>
          <w:szCs w:val="18"/>
        </w:rPr>
        <w:t>äktenskapsbrott och för underlåtenhet att avslöja eller förhindra ett sådant brott döms det till ansvar enligt 23</w:t>
      </w:r>
      <w:r>
        <w:rPr>
          <w:spacing w:val="-2"/>
          <w:sz w:val="18"/>
          <w:szCs w:val="18"/>
        </w:rPr>
        <w:t> kap.</w:t>
      </w:r>
      <w:r w:rsidRPr="005968D0">
        <w:rPr>
          <w:spacing w:val="-2"/>
          <w:sz w:val="18"/>
          <w:szCs w:val="18"/>
        </w:rPr>
        <w:t xml:space="preserve"> Detsamma gäller för försök, förberedelse eller stämpling till människoexploatering, grovt olaga tvång, grovt olaga hot, grovt hemfridsbrott eller grovt olaga intrång och </w:t>
      </w:r>
      <w:r w:rsidRPr="00555778">
        <w:rPr>
          <w:i/>
          <w:spacing w:val="-2"/>
          <w:sz w:val="18"/>
          <w:szCs w:val="18"/>
        </w:rPr>
        <w:t>för försök till äktenskapsresebrott eller äktenskapsrese</w:t>
      </w:r>
      <w:r>
        <w:rPr>
          <w:i/>
          <w:spacing w:val="-2"/>
          <w:sz w:val="18"/>
          <w:szCs w:val="18"/>
        </w:rPr>
        <w:softHyphen/>
      </w:r>
      <w:r w:rsidRPr="00555778">
        <w:rPr>
          <w:i/>
          <w:spacing w:val="-2"/>
          <w:sz w:val="18"/>
          <w:szCs w:val="18"/>
        </w:rPr>
        <w:t>brott mot barn</w:t>
      </w:r>
      <w:r w:rsidRPr="005968D0">
        <w:rPr>
          <w:spacing w:val="-2"/>
          <w:sz w:val="18"/>
          <w:szCs w:val="18"/>
        </w:rPr>
        <w:t xml:space="preserve"> </w:t>
      </w:r>
      <w:r w:rsidRPr="00BF204E">
        <w:rPr>
          <w:i/>
          <w:spacing w:val="-2"/>
          <w:sz w:val="18"/>
          <w:szCs w:val="18"/>
        </w:rPr>
        <w:t>samt</w:t>
      </w:r>
      <w:r w:rsidRPr="005968D0">
        <w:rPr>
          <w:spacing w:val="-2"/>
          <w:sz w:val="18"/>
          <w:szCs w:val="18"/>
        </w:rPr>
        <w:t xml:space="preserve"> för </w:t>
      </w:r>
      <w:r w:rsidRPr="007E0D51">
        <w:rPr>
          <w:spacing w:val="-2"/>
          <w:sz w:val="18"/>
          <w:szCs w:val="18"/>
        </w:rPr>
        <w:t>försök eller förberedelse till dataintrång som om det fullbordats inte skulle</w:t>
      </w:r>
      <w:r w:rsidRPr="005968D0">
        <w:rPr>
          <w:spacing w:val="-2"/>
          <w:sz w:val="18"/>
          <w:szCs w:val="18"/>
        </w:rPr>
        <w:t xml:space="preserve"> ha varit att anse som ringa, eller grovt dataintrång.</w:t>
      </w:r>
    </w:p>
    <w:p w14:paraId="0B023D44" w14:textId="77777777" w:rsidR="006973D1" w:rsidRDefault="006973D1" w:rsidP="006973D1">
      <w:pPr>
        <w:pStyle w:val="Brdtext"/>
      </w:pPr>
    </w:p>
    <w:p w14:paraId="6FF510EC" w14:textId="3F88EB88" w:rsidR="006973D1" w:rsidRDefault="006973D1" w:rsidP="006973D1">
      <w:pPr>
        <w:pStyle w:val="Brdtext"/>
      </w:pPr>
      <w:r>
        <w:t>Paragrafen reglerar straffansvar vid osjälvständiga brottsformer i 4 kap. Övervägandena finns i avsnitt </w:t>
      </w:r>
      <w:r w:rsidR="00775C92">
        <w:t>5.2.3</w:t>
      </w:r>
      <w:r>
        <w:t xml:space="preserve">. </w:t>
      </w:r>
    </w:p>
    <w:p w14:paraId="279728EB" w14:textId="2085AFD8" w:rsidR="006973D1" w:rsidRDefault="006973D1" w:rsidP="006973D1">
      <w:pPr>
        <w:pStyle w:val="Brdtextmedindrag"/>
      </w:pPr>
      <w:r>
        <w:t>Genom tillägget i bestämmelsen straffbeläggs försök till äktenskaps</w:t>
      </w:r>
      <w:r>
        <w:softHyphen/>
        <w:t>resebrott och äktenskapsresebrott mot barn. Ansvar för äktenskapsrese</w:t>
      </w:r>
      <w:r>
        <w:softHyphen/>
        <w:t>brott och äktenskapsresebrott mot barn förutsätter inte att något äktenskap eller någon äkten</w:t>
      </w:r>
      <w:r>
        <w:softHyphen/>
        <w:t>skaps</w:t>
      </w:r>
      <w:r>
        <w:softHyphen/>
        <w:t xml:space="preserve">liknande förbindelse kommer till stånd. Brotten fullbordas när en sådan resa som avses i 4 d § har företagits, dvs. när </w:t>
      </w:r>
      <w:r w:rsidR="00664D7E">
        <w:t xml:space="preserve">målsäganden </w:t>
      </w:r>
      <w:r>
        <w:t xml:space="preserve">har anlänt till </w:t>
      </w:r>
      <w:r w:rsidR="00664D7E">
        <w:t>det andra landet</w:t>
      </w:r>
      <w:r>
        <w:t xml:space="preserve">. Det är därmed i fall där </w:t>
      </w:r>
      <w:r w:rsidR="00664D7E">
        <w:t xml:space="preserve">målsäganden </w:t>
      </w:r>
      <w:r>
        <w:t>inte har an</w:t>
      </w:r>
      <w:r>
        <w:softHyphen/>
      </w:r>
      <w:r w:rsidRPr="003A0D19">
        <w:rPr>
          <w:spacing w:val="-2"/>
        </w:rPr>
        <w:t>länt till det andra landet som det kan bli aktuellt att döma för försök</w:t>
      </w:r>
      <w:r>
        <w:t xml:space="preserve"> </w:t>
      </w:r>
      <w:r w:rsidRPr="003A0D19">
        <w:rPr>
          <w:spacing w:val="-4"/>
        </w:rPr>
        <w:t xml:space="preserve">till brotten. </w:t>
      </w:r>
      <w:r>
        <w:t>I den situationen att gärningen består i att någon tillåter att ett barn företar en sådan resa som avses i bestämmelsen om äktenskaps</w:t>
      </w:r>
      <w:r>
        <w:softHyphen/>
        <w:t>rese</w:t>
      </w:r>
      <w:r>
        <w:softHyphen/>
        <w:t xml:space="preserve">brott mot barn bör försök till brottet, precis som vid barnäktenskapsbrott, i praktiken endast bli aktuellt när det gäller aktiva tillåtande handlingar (jfr prop. 2019/20:131 s. 103). </w:t>
      </w:r>
    </w:p>
    <w:p w14:paraId="6D098A86" w14:textId="77777777" w:rsidR="006973D1" w:rsidRDefault="006973D1" w:rsidP="006973D1">
      <w:pPr>
        <w:pStyle w:val="Brdtextmedindrag"/>
      </w:pPr>
      <w:r>
        <w:t>Allmänna</w:t>
      </w:r>
      <w:r w:rsidDel="000469F7">
        <w:t xml:space="preserve"> </w:t>
      </w:r>
      <w:r>
        <w:t xml:space="preserve">regler om konkurrens gäller. För det fall ett handlande samtidigt utgör ett straffbart försök till ett äktenskapsresebrott och förberedelse till äktenskapstvång eller barnäktenskapsbrott ska endast ansvar för ett av brotten dömas ut. </w:t>
      </w:r>
    </w:p>
    <w:p w14:paraId="221417A4" w14:textId="77777777" w:rsidR="006973D1" w:rsidRDefault="006973D1" w:rsidP="006973D1">
      <w:pPr>
        <w:pStyle w:val="Rubrik2"/>
      </w:pPr>
      <w:bookmarkStart w:id="152" w:name="_Toc221561269"/>
      <w:bookmarkStart w:id="153" w:name="_Toc224807621"/>
      <w:bookmarkStart w:id="154" w:name="_Toc197669552"/>
      <w:r>
        <w:t>Förslaget till lag om ändring i äktenskapsbalken</w:t>
      </w:r>
      <w:bookmarkEnd w:id="152"/>
      <w:bookmarkEnd w:id="153"/>
    </w:p>
    <w:p w14:paraId="77DBA3D9" w14:textId="7D6365F6" w:rsidR="006973D1" w:rsidRDefault="006973D1" w:rsidP="00C967B5">
      <w:pPr>
        <w:pStyle w:val="Rubrik3utannumrering"/>
        <w:spacing w:before="0"/>
      </w:pPr>
      <w:r>
        <w:t xml:space="preserve">5 kap. </w:t>
      </w:r>
      <w:r w:rsidR="005F4DD9" w:rsidRPr="005F4DD9">
        <w:t>Äktenskapsskillnad</w:t>
      </w:r>
    </w:p>
    <w:p w14:paraId="4029C1A7" w14:textId="77777777" w:rsidR="006973D1" w:rsidRPr="00630A17" w:rsidRDefault="006973D1" w:rsidP="006973D1">
      <w:pPr>
        <w:pStyle w:val="Brdtext"/>
        <w:rPr>
          <w:sz w:val="18"/>
          <w:szCs w:val="18"/>
        </w:rPr>
      </w:pPr>
      <w:r w:rsidRPr="000B6DF2">
        <w:rPr>
          <w:b/>
          <w:sz w:val="18"/>
          <w:szCs w:val="18"/>
        </w:rPr>
        <w:t>5 §</w:t>
      </w:r>
      <w:r w:rsidRPr="006F06B3">
        <w:rPr>
          <w:sz w:val="18"/>
          <w:szCs w:val="18"/>
        </w:rPr>
        <w:t>    </w:t>
      </w:r>
      <w:r w:rsidRPr="00630A17">
        <w:rPr>
          <w:sz w:val="18"/>
          <w:szCs w:val="18"/>
        </w:rPr>
        <w:t xml:space="preserve">En make har rätt till äktenskapsskillnad utan föregående betänketid om det görs sannolikt att maken har tvingats att ingå äktenskapet eller om maken har ingått äktenskapet före 18 års ålder. Om äktenskapet har ingåtts trots att makarna är släkt med varandra på något av de sätt som anges i 2 kap. 3 §, har var och en av makarna rätt till äktenskapsskillnad utan föregående betänketid. Detsamma gäller om äktenskapet har ingåtts trots att någon av makarna redan var gift eller partner i ett registrerat partnerskap och det tidigare äktenskapet eller partnerskapet inte har blivit upplöst. </w:t>
      </w:r>
    </w:p>
    <w:p w14:paraId="1CF70D65" w14:textId="77777777" w:rsidR="006973D1" w:rsidRDefault="006973D1" w:rsidP="006973D1">
      <w:pPr>
        <w:pStyle w:val="Brdtextmedindrag"/>
        <w:rPr>
          <w:sz w:val="18"/>
          <w:szCs w:val="18"/>
        </w:rPr>
      </w:pPr>
      <w:r w:rsidRPr="00630A17">
        <w:rPr>
          <w:sz w:val="18"/>
          <w:szCs w:val="18"/>
        </w:rPr>
        <w:t xml:space="preserve">Om det är fråga om tvegifte, har var och en av makarna i det tidigare äktenskapet rätt att få detta upplöst genom äktenskapsskillnad utan föregående betänketid. Detsamma gäller om ett partnerskap har registrerats trots att någon av partnerna då var gift. </w:t>
      </w:r>
    </w:p>
    <w:p w14:paraId="4CC99A7B" w14:textId="77777777" w:rsidR="006973D1" w:rsidRDefault="006973D1" w:rsidP="006973D1">
      <w:pPr>
        <w:pStyle w:val="Brdtextmedindrag"/>
        <w:rPr>
          <w:sz w:val="18"/>
          <w:szCs w:val="18"/>
        </w:rPr>
      </w:pPr>
      <w:r w:rsidRPr="006F06B3">
        <w:rPr>
          <w:sz w:val="18"/>
          <w:szCs w:val="18"/>
        </w:rPr>
        <w:t xml:space="preserve">I de fall som avses i första stycket får talan om äktenskapsskillnad föras även av allmän åklagare. I de fall som avser äktenskap som har ingåtts av underårig är socialnämnden i den kommun där personen är folkbokförd eller, om personen inte är folkbokförd här i landet, i den kommun där han eller hon vistas skyldig att på begäran lämna yttrande samt de upplysningar som kan vara av betydelse för frågans bedömning till åklagaren. En annan socialnämnd som har tillgång till </w:t>
      </w:r>
      <w:r w:rsidRPr="006F06B3">
        <w:rPr>
          <w:sz w:val="18"/>
          <w:szCs w:val="18"/>
        </w:rPr>
        <w:lastRenderedPageBreak/>
        <w:t>upplysningar som kan vara av betydelse i frågan är skyldig att lämna sådana på begäran av den socialnämnd som ska yttra sig.</w:t>
      </w:r>
    </w:p>
    <w:p w14:paraId="6D3842C3" w14:textId="77777777" w:rsidR="006973D1" w:rsidRDefault="006973D1" w:rsidP="006973D1">
      <w:pPr>
        <w:pStyle w:val="Brdtext"/>
      </w:pPr>
    </w:p>
    <w:p w14:paraId="22662A21" w14:textId="77777777" w:rsidR="006973D1" w:rsidRDefault="006973D1" w:rsidP="006973D1">
      <w:pPr>
        <w:pStyle w:val="Brdtext"/>
      </w:pPr>
      <w:r w:rsidRPr="006F06B3">
        <w:t>Paragrafen innehåller bestämmelser om rätt till omedelbar äktenskaps</w:t>
      </w:r>
      <w:r>
        <w:softHyphen/>
      </w:r>
      <w:r w:rsidRPr="006F06B3">
        <w:t>skillnad och om behörighet för åklagare att föra talan om äktenskaps</w:t>
      </w:r>
      <w:r>
        <w:softHyphen/>
      </w:r>
      <w:r w:rsidRPr="006F06B3">
        <w:t xml:space="preserve">skillnad när det gäller tvångsäktenskap och äktenskap som har ingåtts trots att det fanns äktenskapshinder. Övervägandena finns i avsnitt </w:t>
      </w:r>
      <w:r>
        <w:t>7.3.</w:t>
      </w:r>
    </w:p>
    <w:p w14:paraId="446AEE0F" w14:textId="77777777" w:rsidR="006973D1" w:rsidRPr="00026D56" w:rsidRDefault="006973D1" w:rsidP="006973D1">
      <w:pPr>
        <w:pStyle w:val="Brdtextmedindrag"/>
      </w:pPr>
      <w:r>
        <w:t xml:space="preserve">Paragrafen ändras på så sätt att </w:t>
      </w:r>
      <w:r w:rsidRPr="000B6DF2">
        <w:t>fjärde stycket</w:t>
      </w:r>
      <w:r>
        <w:t xml:space="preserve"> tas bort. Ändringen görs till följd av att</w:t>
      </w:r>
      <w:r w:rsidDel="00EB6394">
        <w:t xml:space="preserve"> </w:t>
      </w:r>
      <w:r>
        <w:t xml:space="preserve">möjligheten att i undantagsfall erkänna sådana äktenskap som anges i </w:t>
      </w:r>
      <w:r w:rsidRPr="006F06B3">
        <w:t>1</w:t>
      </w:r>
      <w:r>
        <w:t> kap.</w:t>
      </w:r>
      <w:r w:rsidRPr="006F06B3">
        <w:t xml:space="preserve"> 8</w:t>
      </w:r>
      <w:r>
        <w:t> </w:t>
      </w:r>
      <w:r w:rsidRPr="006F06B3">
        <w:t>a</w:t>
      </w:r>
      <w:r>
        <w:t xml:space="preserve"> § </w:t>
      </w:r>
      <w:r w:rsidRPr="006F06B3">
        <w:t xml:space="preserve">lagen </w:t>
      </w:r>
      <w:r>
        <w:t xml:space="preserve">(1904:26 s. 1) </w:t>
      </w:r>
      <w:r w:rsidRPr="006F06B3">
        <w:t>om vissa inter</w:t>
      </w:r>
      <w:r>
        <w:softHyphen/>
      </w:r>
      <w:r w:rsidRPr="006F06B3">
        <w:t>nationella rättsförhållanden rörande äktenskap och förmynderskap</w:t>
      </w:r>
      <w:r>
        <w:t xml:space="preserve"> tas bort</w:t>
      </w:r>
      <w:r w:rsidRPr="006F06B3">
        <w:t>.</w:t>
      </w:r>
    </w:p>
    <w:p w14:paraId="553B8685" w14:textId="77777777" w:rsidR="006973D1" w:rsidRDefault="006973D1" w:rsidP="006973D1">
      <w:pPr>
        <w:pStyle w:val="Rubrik2"/>
      </w:pPr>
      <w:bookmarkStart w:id="155" w:name="_Toc221561270"/>
      <w:bookmarkStart w:id="156" w:name="_Toc224807622"/>
      <w:r>
        <w:t>Förslaget till lag om ändring i lagen (1904:26 s.</w:t>
      </w:r>
      <w:r>
        <w:rPr>
          <w:rFonts w:ascii="Cambria" w:hAnsi="Cambria"/>
        </w:rPr>
        <w:t> </w:t>
      </w:r>
      <w:r>
        <w:t>1) om vissa internationella rättsförhållanden rörande äktenskap och förmynderskap</w:t>
      </w:r>
      <w:bookmarkEnd w:id="154"/>
      <w:bookmarkEnd w:id="155"/>
      <w:bookmarkEnd w:id="156"/>
    </w:p>
    <w:p w14:paraId="67A48AAF" w14:textId="77777777" w:rsidR="006973D1" w:rsidRDefault="006973D1" w:rsidP="00C967B5">
      <w:pPr>
        <w:pStyle w:val="Rubrik3utannumrering"/>
        <w:spacing w:before="0"/>
      </w:pPr>
      <w:r>
        <w:t>1 kap. Om äktenskaps ingående</w:t>
      </w:r>
    </w:p>
    <w:p w14:paraId="2E694AC5" w14:textId="77777777" w:rsidR="006973D1" w:rsidRPr="00CF0F20" w:rsidRDefault="006973D1" w:rsidP="006973D1">
      <w:pPr>
        <w:pStyle w:val="Brdtext"/>
        <w:rPr>
          <w:sz w:val="18"/>
          <w:szCs w:val="18"/>
        </w:rPr>
      </w:pPr>
      <w:r w:rsidRPr="004F5AD7">
        <w:rPr>
          <w:b/>
          <w:sz w:val="18"/>
          <w:szCs w:val="18"/>
        </w:rPr>
        <w:t>8 a §    </w:t>
      </w:r>
      <w:r w:rsidRPr="004F5AD7">
        <w:rPr>
          <w:sz w:val="18"/>
          <w:szCs w:val="18"/>
        </w:rPr>
        <w:t xml:space="preserve">Ett äktenskap som har ingåtts enligt utländsk lag erkänns inte i </w:t>
      </w:r>
      <w:r w:rsidRPr="00CF0F20">
        <w:rPr>
          <w:sz w:val="18"/>
          <w:szCs w:val="18"/>
        </w:rPr>
        <w:t>Sverige</w:t>
      </w:r>
    </w:p>
    <w:p w14:paraId="18663053" w14:textId="77777777" w:rsidR="006973D1" w:rsidRPr="00CF0F20" w:rsidRDefault="006973D1" w:rsidP="006973D1">
      <w:pPr>
        <w:pStyle w:val="Brdtextmedindrag"/>
        <w:spacing w:line="220" w:lineRule="exact"/>
        <w:rPr>
          <w:sz w:val="18"/>
          <w:szCs w:val="18"/>
        </w:rPr>
      </w:pPr>
      <w:r w:rsidRPr="00CF0F20">
        <w:rPr>
          <w:sz w:val="18"/>
          <w:szCs w:val="18"/>
        </w:rPr>
        <w:t>1.</w:t>
      </w:r>
      <w:r>
        <w:rPr>
          <w:sz w:val="18"/>
          <w:szCs w:val="18"/>
        </w:rPr>
        <w:t> </w:t>
      </w:r>
      <w:r w:rsidRPr="0006792C">
        <w:rPr>
          <w:sz w:val="18"/>
          <w:szCs w:val="18"/>
        </w:rPr>
        <w:t>om parterna är släkt med varandra på något av de sätt som anges i 2</w:t>
      </w:r>
      <w:r>
        <w:rPr>
          <w:sz w:val="18"/>
          <w:szCs w:val="18"/>
        </w:rPr>
        <w:t> kap.</w:t>
      </w:r>
      <w:r w:rsidRPr="0006792C">
        <w:rPr>
          <w:sz w:val="18"/>
          <w:szCs w:val="18"/>
        </w:rPr>
        <w:t xml:space="preserve"> 3</w:t>
      </w:r>
      <w:r>
        <w:rPr>
          <w:sz w:val="18"/>
          <w:szCs w:val="18"/>
        </w:rPr>
        <w:t> §</w:t>
      </w:r>
      <w:r w:rsidRPr="0006792C">
        <w:rPr>
          <w:sz w:val="18"/>
          <w:szCs w:val="18"/>
        </w:rPr>
        <w:t xml:space="preserve"> äktenskapsbalken eller om det vid tidpunkten för äktenskapets ingående skulle ha funnits något annat hinder mot äktenskapet enligt svensk lag,</w:t>
      </w:r>
      <w:r w:rsidRPr="00CF0F20">
        <w:rPr>
          <w:sz w:val="18"/>
          <w:szCs w:val="18"/>
        </w:rPr>
        <w:t xml:space="preserve"> </w:t>
      </w:r>
    </w:p>
    <w:p w14:paraId="2358A1F1" w14:textId="77777777" w:rsidR="006973D1" w:rsidRPr="00CF0F20" w:rsidRDefault="006973D1" w:rsidP="006973D1">
      <w:pPr>
        <w:pStyle w:val="Brdtextmedindrag"/>
        <w:spacing w:line="220" w:lineRule="exact"/>
        <w:rPr>
          <w:sz w:val="18"/>
          <w:szCs w:val="18"/>
        </w:rPr>
      </w:pPr>
      <w:r w:rsidRPr="00CF0F20">
        <w:rPr>
          <w:sz w:val="18"/>
          <w:szCs w:val="18"/>
        </w:rPr>
        <w:t xml:space="preserve">2. om det är sannolikt att äktenskapet har ingåtts under tvång, eller </w:t>
      </w:r>
    </w:p>
    <w:p w14:paraId="1A496076" w14:textId="77777777" w:rsidR="006973D1" w:rsidRPr="00CF0F20" w:rsidRDefault="006973D1" w:rsidP="006973D1">
      <w:pPr>
        <w:pStyle w:val="Brdtextmedindrag"/>
        <w:spacing w:line="220" w:lineRule="exact"/>
        <w:rPr>
          <w:sz w:val="18"/>
          <w:szCs w:val="18"/>
        </w:rPr>
      </w:pPr>
      <w:r w:rsidRPr="00CF0F20">
        <w:rPr>
          <w:sz w:val="18"/>
          <w:szCs w:val="18"/>
        </w:rPr>
        <w:t>3.</w:t>
      </w:r>
      <w:r>
        <w:rPr>
          <w:sz w:val="18"/>
          <w:szCs w:val="18"/>
        </w:rPr>
        <w:t> </w:t>
      </w:r>
      <w:r w:rsidRPr="00CF0F20">
        <w:rPr>
          <w:sz w:val="18"/>
          <w:szCs w:val="18"/>
        </w:rPr>
        <w:t xml:space="preserve">om parterna inte var närvarande samtidigt vid äktenskapets ingående </w:t>
      </w:r>
      <w:r w:rsidRPr="00CF0F20">
        <w:rPr>
          <w:spacing w:val="-4"/>
          <w:sz w:val="18"/>
          <w:szCs w:val="18"/>
        </w:rPr>
        <w:t>och minst en av dem då var svensk medborgare eller hade hemvist i Sverige</w:t>
      </w:r>
      <w:r w:rsidRPr="00CF0F20">
        <w:rPr>
          <w:sz w:val="18"/>
          <w:szCs w:val="18"/>
        </w:rPr>
        <w:t>.</w:t>
      </w:r>
    </w:p>
    <w:p w14:paraId="0C065467" w14:textId="2D76211C" w:rsidR="006973D1" w:rsidRPr="00CF0F20" w:rsidRDefault="006973D1" w:rsidP="006973D1">
      <w:pPr>
        <w:pStyle w:val="Brdtextmedindrag"/>
        <w:spacing w:line="220" w:lineRule="exact"/>
        <w:rPr>
          <w:i/>
          <w:iCs/>
          <w:sz w:val="18"/>
          <w:szCs w:val="18"/>
        </w:rPr>
      </w:pPr>
      <w:r>
        <w:rPr>
          <w:i/>
          <w:iCs/>
          <w:sz w:val="18"/>
          <w:szCs w:val="18"/>
        </w:rPr>
        <w:t xml:space="preserve">Trots </w:t>
      </w:r>
      <w:r w:rsidR="00902666">
        <w:rPr>
          <w:i/>
          <w:iCs/>
          <w:sz w:val="18"/>
          <w:szCs w:val="18"/>
        </w:rPr>
        <w:t xml:space="preserve">att ett äktenskap som avses i </w:t>
      </w:r>
      <w:r w:rsidRPr="003C0ACE">
        <w:rPr>
          <w:i/>
          <w:iCs/>
          <w:sz w:val="18"/>
          <w:szCs w:val="18"/>
        </w:rPr>
        <w:t xml:space="preserve">första stycket </w:t>
      </w:r>
      <w:r w:rsidR="00902666">
        <w:rPr>
          <w:i/>
          <w:iCs/>
          <w:sz w:val="18"/>
          <w:szCs w:val="18"/>
        </w:rPr>
        <w:t xml:space="preserve">inte erkänns </w:t>
      </w:r>
      <w:r>
        <w:rPr>
          <w:i/>
          <w:iCs/>
          <w:sz w:val="18"/>
          <w:szCs w:val="18"/>
        </w:rPr>
        <w:t xml:space="preserve">har </w:t>
      </w:r>
      <w:r w:rsidR="00902666">
        <w:rPr>
          <w:i/>
          <w:iCs/>
          <w:sz w:val="18"/>
          <w:szCs w:val="18"/>
        </w:rPr>
        <w:t xml:space="preserve">det viss </w:t>
      </w:r>
      <w:r w:rsidRPr="003C0ACE">
        <w:rPr>
          <w:i/>
          <w:iCs/>
          <w:sz w:val="18"/>
          <w:szCs w:val="18"/>
        </w:rPr>
        <w:t>rättsverk</w:t>
      </w:r>
      <w:r>
        <w:rPr>
          <w:i/>
          <w:iCs/>
          <w:sz w:val="18"/>
          <w:szCs w:val="18"/>
        </w:rPr>
        <w:t>an,</w:t>
      </w:r>
      <w:r w:rsidRPr="003C0ACE">
        <w:rPr>
          <w:i/>
          <w:iCs/>
          <w:sz w:val="18"/>
          <w:szCs w:val="18"/>
        </w:rPr>
        <w:t xml:space="preserve"> om det f</w:t>
      </w:r>
      <w:r>
        <w:rPr>
          <w:i/>
          <w:iCs/>
          <w:sz w:val="18"/>
          <w:szCs w:val="18"/>
        </w:rPr>
        <w:t>inns</w:t>
      </w:r>
      <w:r w:rsidRPr="003C0ACE">
        <w:rPr>
          <w:i/>
          <w:iCs/>
          <w:sz w:val="18"/>
          <w:szCs w:val="18"/>
        </w:rPr>
        <w:t xml:space="preserve"> synnerliga skäl för det och båda parterna är över 18 år</w:t>
      </w:r>
      <w:r w:rsidRPr="0006792C">
        <w:rPr>
          <w:i/>
          <w:iCs/>
          <w:sz w:val="18"/>
          <w:szCs w:val="18"/>
        </w:rPr>
        <w:t>.</w:t>
      </w:r>
    </w:p>
    <w:p w14:paraId="69E0BC79" w14:textId="77777777" w:rsidR="006973D1" w:rsidRDefault="006973D1" w:rsidP="006973D1">
      <w:pPr>
        <w:pStyle w:val="Brdtext"/>
        <w:jc w:val="left"/>
        <w:rPr>
          <w:spacing w:val="-2"/>
        </w:rPr>
      </w:pPr>
    </w:p>
    <w:p w14:paraId="6DAB4B9D" w14:textId="01DEBE38" w:rsidR="006973D1" w:rsidRDefault="006973D1" w:rsidP="006973D1">
      <w:pPr>
        <w:pStyle w:val="Brdtext"/>
      </w:pPr>
      <w:r w:rsidRPr="0048044E">
        <w:rPr>
          <w:spacing w:val="-2"/>
        </w:rPr>
        <w:t>Paragrafen</w:t>
      </w:r>
      <w:r w:rsidR="005B584E">
        <w:rPr>
          <w:spacing w:val="-2"/>
        </w:rPr>
        <w:t xml:space="preserve">, som utformas delvis enligt </w:t>
      </w:r>
      <w:r w:rsidR="005B584E">
        <w:rPr>
          <w:i/>
          <w:iCs/>
          <w:spacing w:val="-2"/>
        </w:rPr>
        <w:t xml:space="preserve">Lagrådets </w:t>
      </w:r>
      <w:r w:rsidR="005B584E">
        <w:rPr>
          <w:spacing w:val="-2"/>
        </w:rPr>
        <w:t>förslag,</w:t>
      </w:r>
      <w:r w:rsidRPr="0048044E">
        <w:rPr>
          <w:spacing w:val="-2"/>
        </w:rPr>
        <w:t xml:space="preserve"> innehåller bestämmelser som </w:t>
      </w:r>
      <w:r>
        <w:rPr>
          <w:spacing w:val="-2"/>
        </w:rPr>
        <w:t>innebär att vissa äktenskap som har ingåtts enligt utländsk lag inte erkänns i Sverige.</w:t>
      </w:r>
      <w:r w:rsidRPr="003A0D19">
        <w:t xml:space="preserve"> Över</w:t>
      </w:r>
      <w:r w:rsidRPr="003A0D19">
        <w:softHyphen/>
        <w:t>vägandena</w:t>
      </w:r>
      <w:r>
        <w:t xml:space="preserve"> finns i avsnitt 7.3. </w:t>
      </w:r>
    </w:p>
    <w:p w14:paraId="5F80C82F" w14:textId="5F640282" w:rsidR="006973D1" w:rsidRDefault="006973D1" w:rsidP="006973D1">
      <w:pPr>
        <w:pStyle w:val="Brdtextmedindrag"/>
      </w:pPr>
      <w:r>
        <w:t xml:space="preserve">Av </w:t>
      </w:r>
      <w:r>
        <w:rPr>
          <w:i/>
          <w:iCs/>
        </w:rPr>
        <w:t>andra stycket</w:t>
      </w:r>
      <w:r>
        <w:t xml:space="preserve">, vars innehåll är nytt, framgår att ett äktenskap som inte erkänns enligt första stycket </w:t>
      </w:r>
      <w:r w:rsidDel="005B584E">
        <w:t xml:space="preserve">har </w:t>
      </w:r>
      <w:r w:rsidR="00902666">
        <w:t xml:space="preserve">viss </w:t>
      </w:r>
      <w:r>
        <w:t>rätts</w:t>
      </w:r>
      <w:r>
        <w:softHyphen/>
        <w:t>verkan, om det finns synnerliga skäl för det och båda parter är över 18 år. Ändringen innebär att den hittillsvarande möjligheten att i undantagsfall erkänna ett sådant äktenskap tas bort</w:t>
      </w:r>
      <w:r w:rsidRPr="001B0B83">
        <w:t xml:space="preserve">. </w:t>
      </w:r>
      <w:r>
        <w:t>Utländska äkten</w:t>
      </w:r>
      <w:r>
        <w:softHyphen/>
        <w:t xml:space="preserve">skap som avses i första stycket ska alltså aldrig erkännas i Sverige. Att ett äktenskap som inte erkänns ändå </w:t>
      </w:r>
      <w:r w:rsidDel="005B584E">
        <w:t xml:space="preserve">har </w:t>
      </w:r>
      <w:r w:rsidR="00902666">
        <w:t xml:space="preserve">viss </w:t>
      </w:r>
      <w:r>
        <w:t>rättsverkan medför att äkten</w:t>
      </w:r>
      <w:r>
        <w:softHyphen/>
        <w:t>skapet kan godtas vid en prövning av om en rättighet eller skyldighet som följer av ett äktenskap gäller i ett enskilt fall.</w:t>
      </w:r>
    </w:p>
    <w:p w14:paraId="6A8CA08B" w14:textId="1E1008C2" w:rsidR="006973D1" w:rsidRDefault="006973D1" w:rsidP="006973D1">
      <w:pPr>
        <w:pStyle w:val="Brdtextmedindrag"/>
      </w:pPr>
      <w:r>
        <w:t>Med en rättsverkan avses en rättslig följd.</w:t>
      </w:r>
      <w:r w:rsidR="002835B0">
        <w:t xml:space="preserve"> S</w:t>
      </w:r>
      <w:r w:rsidR="002835B0" w:rsidRPr="00DB41AD">
        <w:t>åväl ett äktenskaps ingående som dess upplös</w:t>
      </w:r>
      <w:r w:rsidR="002835B0">
        <w:softHyphen/>
      </w:r>
      <w:r w:rsidR="002835B0" w:rsidRPr="00DB41AD">
        <w:t>ning ge</w:t>
      </w:r>
      <w:r w:rsidR="002835B0">
        <w:t>r</w:t>
      </w:r>
      <w:r w:rsidR="002835B0" w:rsidRPr="00DB41AD">
        <w:t xml:space="preserve"> </w:t>
      </w:r>
      <w:r w:rsidR="002835B0">
        <w:t xml:space="preserve">upphov till </w:t>
      </w:r>
      <w:r w:rsidR="002835B0" w:rsidRPr="00DB41AD">
        <w:t>rättsverkningar</w:t>
      </w:r>
      <w:r w:rsidR="002835B0">
        <w:t xml:space="preserve"> och regeln omfattar samtliga sådana rättsverkningar.</w:t>
      </w:r>
      <w:r>
        <w:t xml:space="preserve"> Det kan handla om ekono</w:t>
      </w:r>
      <w:r>
        <w:softHyphen/>
        <w:t xml:space="preserve">miska rättsverkningar, såsom rätt till bodelning, underhåll och arv. Ett äktenskap </w:t>
      </w:r>
      <w:r w:rsidRPr="00C967B5">
        <w:rPr>
          <w:spacing w:val="-6"/>
        </w:rPr>
        <w:t>kan också medföra personliga rättsverkningar, såsom rätten att ta ett visst</w:t>
      </w:r>
      <w:r>
        <w:t xml:space="preserve"> namn. </w:t>
      </w:r>
    </w:p>
    <w:p w14:paraId="2FF7DCCC" w14:textId="77777777" w:rsidR="006973D1" w:rsidRDefault="006973D1" w:rsidP="006973D1">
      <w:pPr>
        <w:pStyle w:val="Brdtextmedindrag"/>
      </w:pPr>
      <w:r>
        <w:t xml:space="preserve">Uttrycket synnerliga skäl används för att markera den restriktivitet som ska gälla vid prövningen. För att det ska finnas synnerliga skäl krävs att ett nekat erkännande enligt första stycket i det enskilda fallet medför </w:t>
      </w:r>
      <w:r>
        <w:lastRenderedPageBreak/>
        <w:t xml:space="preserve">allvarliga konsekvenser för någon av parterna eller att det annars framstår som orimligt att äktenskapet inte gäller inom ramen för den aktuella prövningen. Det måste göras en samlad bedömning av de omständigheter som åberopas eller annars finns tillgängliga vid prövningen för att avgöra om ett frånkännande av en </w:t>
      </w:r>
      <w:r w:rsidRPr="00E0349A">
        <w:t>rätts</w:t>
      </w:r>
      <w:r>
        <w:softHyphen/>
      </w:r>
      <w:r w:rsidRPr="00E0349A">
        <w:t>verk</w:t>
      </w:r>
      <w:r>
        <w:t>an av just det aktuella äktenskapet skulle leda till sådana konsekvenser. Endast den omständigheten att en rättsverkan av äkten</w:t>
      </w:r>
      <w:r>
        <w:softHyphen/>
        <w:t xml:space="preserve">skapet inte gäller är inte ett tillräckligt skäl för att det ska finnas synnerliga skäl. </w:t>
      </w:r>
      <w:r w:rsidRPr="003A0D19">
        <w:rPr>
          <w:spacing w:val="-2"/>
        </w:rPr>
        <w:t>Tillämpnings</w:t>
      </w:r>
      <w:r>
        <w:rPr>
          <w:spacing w:val="-2"/>
        </w:rPr>
        <w:softHyphen/>
      </w:r>
      <w:r w:rsidRPr="003A0D19">
        <w:rPr>
          <w:spacing w:val="-2"/>
        </w:rPr>
        <w:t xml:space="preserve">området får </w:t>
      </w:r>
      <w:r>
        <w:rPr>
          <w:spacing w:val="-2"/>
        </w:rPr>
        <w:t xml:space="preserve">dock </w:t>
      </w:r>
      <w:r w:rsidRPr="003A0D19">
        <w:rPr>
          <w:spacing w:val="-2"/>
        </w:rPr>
        <w:t>inte vara snävare än vad Europa</w:t>
      </w:r>
      <w:r w:rsidRPr="003A0D19">
        <w:rPr>
          <w:spacing w:val="-2"/>
        </w:rPr>
        <w:softHyphen/>
        <w:t>konventionen</w:t>
      </w:r>
      <w:r>
        <w:t xml:space="preserve"> och unionsrätten medger. S</w:t>
      </w:r>
      <w:r w:rsidRPr="00B368F4">
        <w:t>om utgångspunkt väger skälen för erkännande</w:t>
      </w:r>
      <w:r>
        <w:softHyphen/>
      </w:r>
      <w:r w:rsidRPr="00B368F4">
        <w:t xml:space="preserve">förbudet tyngre än de konsekvenser som ett nekat erkännande medför för enskilda. Bedöms förhållandet mellan dessa faktorer i ett enskilt fall vara orimligt </w:t>
      </w:r>
      <w:r>
        <w:t>kan det finnas</w:t>
      </w:r>
      <w:r w:rsidRPr="00B368F4">
        <w:t xml:space="preserve"> synnerliga skäl att i det sammanhanget </w:t>
      </w:r>
      <w:r>
        <w:t>tillerkänna äktenskapet en viss rättsverkan. Vid bedömningen av vad som kan utgöra synnerliga skäl kan ledning hämtas från vad som ansetts vara synnerliga skäl enligt det hittills</w:t>
      </w:r>
      <w:r>
        <w:softHyphen/>
        <w:t xml:space="preserve">varande andra stycket (se prop. </w:t>
      </w:r>
      <w:r w:rsidRPr="005E5698">
        <w:t>2013/14:208</w:t>
      </w:r>
      <w:r>
        <w:t xml:space="preserve"> s. 135–136, prop. 2017/18:288 s. 27–29 och 35–36 och p</w:t>
      </w:r>
      <w:r w:rsidRPr="00321778">
        <w:t>rop. 2020/21:149</w:t>
      </w:r>
      <w:r>
        <w:t xml:space="preserve"> s. 22–25 och 47). </w:t>
      </w:r>
    </w:p>
    <w:p w14:paraId="52DE51F4" w14:textId="77777777" w:rsidR="006973D1" w:rsidRPr="004E1D08" w:rsidRDefault="006973D1">
      <w:pPr>
        <w:pStyle w:val="Rubrik4utannumrering"/>
      </w:pPr>
      <w:r w:rsidRPr="004E1D08">
        <w:t>Ikraftträdande- och övergångsbestämmelser</w:t>
      </w:r>
    </w:p>
    <w:p w14:paraId="35FAE14C" w14:textId="77777777" w:rsidR="006973D1" w:rsidRPr="00CF0F20" w:rsidRDefault="006973D1" w:rsidP="006973D1">
      <w:pPr>
        <w:pStyle w:val="Brdtextmedindrag"/>
        <w:spacing w:line="220" w:lineRule="exact"/>
        <w:jc w:val="left"/>
        <w:rPr>
          <w:sz w:val="18"/>
          <w:szCs w:val="18"/>
        </w:rPr>
      </w:pPr>
      <w:r w:rsidRPr="00CF0F20">
        <w:rPr>
          <w:sz w:val="18"/>
          <w:szCs w:val="18"/>
        </w:rPr>
        <w:t xml:space="preserve">1. Denna lag träder i kraft den </w:t>
      </w:r>
      <w:r>
        <w:rPr>
          <w:sz w:val="18"/>
          <w:szCs w:val="18"/>
        </w:rPr>
        <w:t>2</w:t>
      </w:r>
      <w:r w:rsidRPr="00CF0F20">
        <w:rPr>
          <w:sz w:val="18"/>
          <w:szCs w:val="18"/>
        </w:rPr>
        <w:t xml:space="preserve"> juli 2026. </w:t>
      </w:r>
    </w:p>
    <w:p w14:paraId="74A1EA69" w14:textId="77777777" w:rsidR="006973D1" w:rsidRPr="00CF0F20" w:rsidRDefault="006973D1" w:rsidP="006973D1">
      <w:pPr>
        <w:pStyle w:val="Brdtextmedindrag"/>
        <w:spacing w:line="220" w:lineRule="exact"/>
        <w:rPr>
          <w:sz w:val="18"/>
          <w:szCs w:val="18"/>
        </w:rPr>
      </w:pPr>
      <w:r w:rsidRPr="00CF0F20">
        <w:rPr>
          <w:sz w:val="18"/>
          <w:szCs w:val="18"/>
        </w:rPr>
        <w:t>2.</w:t>
      </w:r>
      <w:r>
        <w:rPr>
          <w:sz w:val="18"/>
          <w:szCs w:val="18"/>
        </w:rPr>
        <w:t> </w:t>
      </w:r>
      <w:r w:rsidRPr="00CF0F20">
        <w:rPr>
          <w:sz w:val="18"/>
          <w:szCs w:val="18"/>
        </w:rPr>
        <w:t xml:space="preserve">Äldre bestämmelser gäller för äktenskap som har registrerats av Skatteverket </w:t>
      </w:r>
      <w:r w:rsidRPr="00E31CDC">
        <w:rPr>
          <w:sz w:val="18"/>
          <w:szCs w:val="18"/>
        </w:rPr>
        <w:t>enligt folkbokföringslagen (1991:481)</w:t>
      </w:r>
      <w:r w:rsidRPr="00CF0F20">
        <w:rPr>
          <w:sz w:val="18"/>
          <w:szCs w:val="18"/>
        </w:rPr>
        <w:t xml:space="preserve"> före ikraftträdandet. </w:t>
      </w:r>
      <w:r w:rsidRPr="00670564">
        <w:rPr>
          <w:sz w:val="18"/>
          <w:szCs w:val="18"/>
        </w:rPr>
        <w:t xml:space="preserve">Det gäller dock inte för äktenskap där </w:t>
      </w:r>
      <w:r>
        <w:rPr>
          <w:sz w:val="18"/>
          <w:szCs w:val="18"/>
        </w:rPr>
        <w:t>en</w:t>
      </w:r>
      <w:r w:rsidRPr="00670564">
        <w:rPr>
          <w:sz w:val="18"/>
          <w:szCs w:val="18"/>
        </w:rPr>
        <w:t xml:space="preserve"> av parterna var gift med någon annan </w:t>
      </w:r>
      <w:r>
        <w:rPr>
          <w:sz w:val="18"/>
          <w:szCs w:val="18"/>
        </w:rPr>
        <w:t xml:space="preserve">än den andra parten </w:t>
      </w:r>
      <w:r w:rsidRPr="00670564">
        <w:rPr>
          <w:sz w:val="18"/>
          <w:szCs w:val="18"/>
        </w:rPr>
        <w:t>vid tiden för ikraftträdandet.</w:t>
      </w:r>
      <w:r w:rsidRPr="00CF0F20">
        <w:rPr>
          <w:sz w:val="18"/>
          <w:szCs w:val="18"/>
        </w:rPr>
        <w:t xml:space="preserve"> </w:t>
      </w:r>
    </w:p>
    <w:p w14:paraId="02AABB21" w14:textId="77777777" w:rsidR="006973D1" w:rsidRDefault="006973D1" w:rsidP="006973D1">
      <w:pPr>
        <w:pStyle w:val="Brdtext"/>
        <w:jc w:val="left"/>
      </w:pPr>
    </w:p>
    <w:p w14:paraId="6AD99390" w14:textId="77777777" w:rsidR="006973D1" w:rsidRDefault="006973D1" w:rsidP="006973D1">
      <w:pPr>
        <w:pStyle w:val="Brdtext"/>
      </w:pPr>
      <w:r w:rsidRPr="003A0D19">
        <w:t xml:space="preserve">Enligt </w:t>
      </w:r>
      <w:r w:rsidRPr="003A0D19">
        <w:rPr>
          <w:i/>
          <w:iCs/>
        </w:rPr>
        <w:t>första punkten</w:t>
      </w:r>
      <w:r w:rsidRPr="003A0D19">
        <w:t xml:space="preserve"> </w:t>
      </w:r>
      <w:r>
        <w:t>träder lagändringen i kraft</w:t>
      </w:r>
      <w:r w:rsidRPr="003A0D19">
        <w:t xml:space="preserve"> den</w:t>
      </w:r>
      <w:r>
        <w:t xml:space="preserve"> 2 juli 2026.</w:t>
      </w:r>
    </w:p>
    <w:p w14:paraId="37FEEC75" w14:textId="77777777" w:rsidR="006973D1" w:rsidRDefault="006973D1" w:rsidP="006973D1">
      <w:pPr>
        <w:pStyle w:val="Brdtextmedindrag"/>
      </w:pPr>
      <w:r>
        <w:t xml:space="preserve">Av </w:t>
      </w:r>
      <w:r w:rsidRPr="00E8052B">
        <w:rPr>
          <w:i/>
          <w:iCs/>
        </w:rPr>
        <w:t>andra punkten</w:t>
      </w:r>
      <w:r>
        <w:t xml:space="preserve"> följer dels att de nya bestämmelserna gäller för äkten</w:t>
      </w:r>
      <w:r>
        <w:softHyphen/>
        <w:t>skap som har ingåtts före ikraftträdandet men som inte har registrerats av Skatteverket före ikraftträd</w:t>
      </w:r>
      <w:r>
        <w:softHyphen/>
        <w:t>andet, dels att de nya bestämmelserna gäller även för ett äktenskap som har registrerats före ikraftträdandet, om en av parterna var gift med någon annan än den andra parten vid tiden för ikraftträdandet. Om ett tidigare äktenskap i ett månggifte har upplösts före ikraftträdandet gäller äldre bestämmelser för det äktenskap som är registrerat vid tiden för ikraftträdandet. Med regi</w:t>
      </w:r>
      <w:r>
        <w:softHyphen/>
      </w:r>
      <w:r w:rsidRPr="003A0D19">
        <w:rPr>
          <w:spacing w:val="-4"/>
        </w:rPr>
        <w:t>strering avses att det aktuella äktenskapet</w:t>
      </w:r>
      <w:r w:rsidRPr="003A0D19" w:rsidDel="00996DA9">
        <w:rPr>
          <w:spacing w:val="-4"/>
        </w:rPr>
        <w:t xml:space="preserve"> </w:t>
      </w:r>
      <w:r w:rsidRPr="003A0D19">
        <w:rPr>
          <w:spacing w:val="-4"/>
        </w:rPr>
        <w:t>ha</w:t>
      </w:r>
      <w:r>
        <w:rPr>
          <w:spacing w:val="-4"/>
        </w:rPr>
        <w:t>r</w:t>
      </w:r>
      <w:r w:rsidRPr="003A0D19">
        <w:rPr>
          <w:spacing w:val="-4"/>
        </w:rPr>
        <w:t xml:space="preserve"> erkänts</w:t>
      </w:r>
      <w:r>
        <w:t xml:space="preserve"> av Skatteverket vid en registrering av en persons civil</w:t>
      </w:r>
      <w:r>
        <w:softHyphen/>
        <w:t>stånd i folkbokföringen. För utländska barnäktenskap, släktskapsfall, tvångs</w:t>
      </w:r>
      <w:r>
        <w:softHyphen/>
        <w:t>äktenskap och fullmakts</w:t>
      </w:r>
      <w:r>
        <w:softHyphen/>
        <w:t>äktenskap som har ingåtts och registrerats före ikraftträdandet gäller äldre bestämmelser. För månggiften gäller däremot de nya bestäm</w:t>
      </w:r>
      <w:r>
        <w:softHyphen/>
        <w:t xml:space="preserve">melserna även för äktenskap som har erkänts vid en registrering i folkbokföringen. </w:t>
      </w:r>
    </w:p>
    <w:p w14:paraId="49C219B2" w14:textId="77777777" w:rsidR="006973D1" w:rsidRDefault="006973D1" w:rsidP="006973D1">
      <w:pPr>
        <w:pStyle w:val="Brdtextmedindrag"/>
      </w:pPr>
      <w:r>
        <w:t xml:space="preserve">Att de nya bestämmelserna gäller medför att erkännandeförbudet utan undantag är tillämpligt när en fråga om huruvida äktenskapet ska erkännas aktualiseras. Bestämmelsen har alltså framåtverkande effekt. Tidigare prövningar, inom ramen för vilka äktenskapet har erkänts, påverkas inte. Ett faderskap som har fastställts vid en tidpunkt när äldre bestämmelser var tillämpliga ska alltså inte omprövas. </w:t>
      </w:r>
    </w:p>
    <w:p w14:paraId="3660AFA9" w14:textId="77777777" w:rsidR="006973D1" w:rsidRDefault="006973D1" w:rsidP="006973D1">
      <w:pPr>
        <w:pStyle w:val="Brdtextmedindrag"/>
      </w:pPr>
      <w:r>
        <w:t xml:space="preserve">Att de nya bestämmelserna gäller innebär att äktenskapet inte omfattas av någon möjlighet till undantag från erkännandeförbudet, men också att det i ett enskilt fall kan ha rättsverkan. </w:t>
      </w:r>
    </w:p>
    <w:p w14:paraId="1B9BB7CC" w14:textId="5A25A713" w:rsidR="00012D86" w:rsidRDefault="006973D1" w:rsidP="00152749">
      <w:pPr>
        <w:pStyle w:val="Brdtextmedindrag"/>
      </w:pPr>
      <w:r>
        <w:t xml:space="preserve">Övervägandena finns i avsnitt 9. </w:t>
      </w:r>
    </w:p>
    <w:p w14:paraId="7822A73C" w14:textId="77777777" w:rsidR="00012D86" w:rsidRDefault="00012D86" w:rsidP="00152749">
      <w:pPr>
        <w:pStyle w:val="Brdtextmedindrag"/>
        <w:sectPr w:rsidR="00012D86" w:rsidSect="00E6002D">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p>
    <w:p w14:paraId="0E4661FF" w14:textId="77777777" w:rsidR="00A050BF" w:rsidRDefault="00A050BF" w:rsidP="00DC7920">
      <w:pPr>
        <w:pStyle w:val="Bilagarubrik"/>
      </w:pPr>
      <w:bookmarkStart w:id="157" w:name="_Toc221561271"/>
      <w:bookmarkStart w:id="158" w:name="_Toc224807623"/>
      <w:r>
        <w:lastRenderedPageBreak/>
        <w:t xml:space="preserve">Sammanfattning av </w:t>
      </w:r>
      <w:r w:rsidRPr="00EB2DA2">
        <w:t>betänkandet Stärkt lagstiftning mot hedersrelaterat våld och förtryck</w:t>
      </w:r>
      <w:r>
        <w:t xml:space="preserve"> (</w:t>
      </w:r>
      <w:r w:rsidRPr="00EB2DA2">
        <w:t>SOU</w:t>
      </w:r>
      <w:r>
        <w:t> </w:t>
      </w:r>
      <w:r w:rsidRPr="00EB2DA2">
        <w:t>2025:59</w:t>
      </w:r>
      <w:r>
        <w:t>)</w:t>
      </w:r>
      <w:bookmarkEnd w:id="157"/>
      <w:bookmarkEnd w:id="158"/>
    </w:p>
    <w:p w14:paraId="3D2A2983" w14:textId="77777777" w:rsidR="00A050BF" w:rsidRDefault="00A050BF" w:rsidP="00DC7920">
      <w:pPr>
        <w:pStyle w:val="Rubrik2utannumrering"/>
        <w:spacing w:before="0"/>
      </w:pPr>
      <w:r>
        <w:t>Uppdraget</w:t>
      </w:r>
    </w:p>
    <w:p w14:paraId="15875112" w14:textId="77777777" w:rsidR="00A050BF" w:rsidRDefault="00A050BF" w:rsidP="00DC7920">
      <w:pPr>
        <w:pStyle w:val="Brdtext"/>
      </w:pPr>
      <w:r w:rsidRPr="00A31D6D">
        <w:rPr>
          <w:spacing w:val="-4"/>
        </w:rPr>
        <w:t>Syftet med vårt uppdrag har varit att ta fram förslag som återspeglar en</w:t>
      </w:r>
      <w:r w:rsidRPr="00A31D6D">
        <w:t xml:space="preserve"> skärpt syn på hedersrelaterat våld och förtryck. Vi har i det sammanhanget haft i uppdrag att analysera och ta ställning till</w:t>
      </w:r>
    </w:p>
    <w:p w14:paraId="033DE826" w14:textId="77777777" w:rsidR="00A050BF" w:rsidRPr="003853C5" w:rsidRDefault="00A050BF" w:rsidP="00DC7920">
      <w:pPr>
        <w:pStyle w:val="Punktlista"/>
      </w:pPr>
      <w:r w:rsidRPr="003853C5">
        <w:t xml:space="preserve">om straffskalorna för vissa hedersrelaterade brott bör skärpas, </w:t>
      </w:r>
    </w:p>
    <w:p w14:paraId="78FFADA7" w14:textId="77777777" w:rsidR="00A050BF" w:rsidRPr="003853C5" w:rsidRDefault="00A050BF" w:rsidP="00DC7920">
      <w:pPr>
        <w:pStyle w:val="Punktlista"/>
      </w:pPr>
      <w:r w:rsidRPr="003853C5">
        <w:t>om kretsen av personer som kan hållas straffrättsligt ansvariga för att ett barn tillåts att gifta sig före 18 års ålder eller tillåts att resa till en annan stat än den där han eller hon bor i syfte att bar</w:t>
      </w:r>
      <w:r w:rsidRPr="003853C5">
        <w:softHyphen/>
        <w:t xml:space="preserve">net där ska utsättas för ett barnäktenskapsbrott bör utvidgas, </w:t>
      </w:r>
    </w:p>
    <w:p w14:paraId="03B5D430" w14:textId="77777777" w:rsidR="00A050BF" w:rsidRPr="003853C5" w:rsidRDefault="00A050BF" w:rsidP="00DC7920">
      <w:pPr>
        <w:pStyle w:val="Punktlista"/>
      </w:pPr>
      <w:r w:rsidRPr="003853C5">
        <w:t xml:space="preserve">om försök och stämpling till vilseledande till äktenskapsresa samt tvång att vara kvar i ett äktenskap eller en äktenskapsliknande förbindelse bör kriminaliseras, och </w:t>
      </w:r>
    </w:p>
    <w:p w14:paraId="7199EADC" w14:textId="77777777" w:rsidR="00A050BF" w:rsidRPr="003853C5" w:rsidRDefault="00A050BF" w:rsidP="00DC7920">
      <w:pPr>
        <w:pStyle w:val="Punktlista"/>
      </w:pPr>
      <w:r w:rsidRPr="003853C5">
        <w:t>om förbudet mot erkännande av utländska månggiften bör gälla utan undantag och reglerna om erkännande av utländska full</w:t>
      </w:r>
      <w:r w:rsidRPr="003853C5">
        <w:softHyphen/>
        <w:t>makts</w:t>
      </w:r>
      <w:r w:rsidRPr="003853C5">
        <w:softHyphen/>
        <w:t xml:space="preserve">äktenskap bör skärpas. </w:t>
      </w:r>
    </w:p>
    <w:p w14:paraId="38D3E751" w14:textId="77777777" w:rsidR="00A050BF" w:rsidRDefault="00A050BF" w:rsidP="00DC7920">
      <w:pPr>
        <w:pStyle w:val="Brdtextefterpunktlista"/>
      </w:pPr>
      <w:r w:rsidRPr="00A31D6D">
        <w:t xml:space="preserve">I </w:t>
      </w:r>
      <w:r w:rsidRPr="003853C5">
        <w:t>vårt</w:t>
      </w:r>
      <w:r w:rsidRPr="00A31D6D">
        <w:t xml:space="preserve"> uppdrag har det även ingått att lämna nödvändiga författnings</w:t>
      </w:r>
      <w:r w:rsidRPr="00A31D6D">
        <w:softHyphen/>
        <w:t>förslag</w:t>
      </w:r>
      <w:r>
        <w:t xml:space="preserve">. För närmare information om våra direktiv, se bilaga 1. </w:t>
      </w:r>
    </w:p>
    <w:p w14:paraId="345DEFC2" w14:textId="77777777" w:rsidR="00A050BF" w:rsidRDefault="00A050BF" w:rsidP="00DC7920">
      <w:pPr>
        <w:pStyle w:val="Rubrik2utannumrering"/>
      </w:pPr>
      <w:r>
        <w:t>Bedömningar och förslag</w:t>
      </w:r>
    </w:p>
    <w:p w14:paraId="12C3BD72" w14:textId="77777777" w:rsidR="00A050BF" w:rsidRDefault="00A050BF" w:rsidP="00DC7920">
      <w:pPr>
        <w:pStyle w:val="Rubrik3utannumrering"/>
        <w:spacing w:before="0"/>
      </w:pPr>
      <w:r w:rsidRPr="003853C5">
        <w:t>Översyn</w:t>
      </w:r>
      <w:r>
        <w:t xml:space="preserve"> av straffbestämmelserna för vissa hedersrelaterade brott </w:t>
      </w:r>
    </w:p>
    <w:p w14:paraId="7A477B54" w14:textId="77777777" w:rsidR="00A050BF" w:rsidRDefault="00A050BF" w:rsidP="00DC7920">
      <w:pPr>
        <w:pStyle w:val="Rubrik5utannumrering"/>
        <w:spacing w:before="0"/>
      </w:pPr>
      <w:r>
        <w:t xml:space="preserve">Kretsen av personer som kan hållas straffrättsligt ansvariga </w:t>
      </w:r>
      <w:r w:rsidRPr="00FB6B7B">
        <w:t xml:space="preserve">för att </w:t>
      </w:r>
      <w:r>
        <w:t>en</w:t>
      </w:r>
      <w:r w:rsidRPr="00FB6B7B">
        <w:t xml:space="preserve"> </w:t>
      </w:r>
      <w:r>
        <w:t>person</w:t>
      </w:r>
      <w:r w:rsidRPr="00FB6B7B">
        <w:t xml:space="preserve"> tillåts att gifta sig före 18 års ålder </w:t>
      </w:r>
      <w:r>
        <w:t>behöver inte utvidgas …</w:t>
      </w:r>
    </w:p>
    <w:p w14:paraId="23533935" w14:textId="77777777" w:rsidR="00A050BF" w:rsidRDefault="00A050BF" w:rsidP="00DC7920">
      <w:pPr>
        <w:pStyle w:val="Brdtext"/>
      </w:pPr>
      <w:r>
        <w:t xml:space="preserve">Bestämmelsen om barnäktenskapsbrott ställer inte upp något krav på att äktenskapet eller den äktenskapsliknande förbindelsen ska ha </w:t>
      </w:r>
      <w:r w:rsidRPr="00A31D6D">
        <w:rPr>
          <w:spacing w:val="-4"/>
        </w:rPr>
        <w:t>kommit till stånd genom något otillbörligt medel, utan för straffansvar</w:t>
      </w:r>
      <w:r>
        <w:t xml:space="preserve"> är det tillräckligt att någon förmått eller tillåtit ett barn att ingå ett äktenskap eller en äkten</w:t>
      </w:r>
      <w:r>
        <w:softHyphen/>
        <w:t>skapsliknande förbindelse.</w:t>
      </w:r>
    </w:p>
    <w:p w14:paraId="4AC66B1D" w14:textId="77777777" w:rsidR="00A050BF" w:rsidRDefault="00A050BF" w:rsidP="00DC7920">
      <w:pPr>
        <w:pStyle w:val="Brdtextmedindrag"/>
      </w:pPr>
      <w:r w:rsidRPr="002A3BE5">
        <w:t xml:space="preserve">När det gäller kretsen av gärningspersoner som kan omfattas av </w:t>
      </w:r>
      <w:r w:rsidRPr="00A31D6D">
        <w:t>rekvisitet ”tillåter” framgår det av förarbetena att straffbudet bör träffa</w:t>
      </w:r>
      <w:r w:rsidRPr="002A3BE5">
        <w:t xml:space="preserve"> </w:t>
      </w:r>
      <w:r w:rsidRPr="00A31D6D">
        <w:t>den som har ett bestämmande inflytande över barnet, alltså vård</w:t>
      </w:r>
      <w:r w:rsidRPr="00A31D6D">
        <w:softHyphen/>
        <w:t>nads</w:t>
      </w:r>
      <w:r w:rsidRPr="00A31D6D">
        <w:softHyphen/>
        <w:t>havaren</w:t>
      </w:r>
      <w:r w:rsidRPr="002A3BE5">
        <w:t xml:space="preserve">, någon som trätt i dennes ställe eller någon annan som har </w:t>
      </w:r>
      <w:r w:rsidRPr="00A31D6D">
        <w:t>den faktiska vårdnaden om och bestämmande inflytande över barnet</w:t>
      </w:r>
      <w:r w:rsidRPr="002A3BE5">
        <w:t xml:space="preserve">, </w:t>
      </w:r>
      <w:r w:rsidRPr="00A31D6D">
        <w:rPr>
          <w:spacing w:val="-2"/>
        </w:rPr>
        <w:t>t.ex. en nära släkting. Ett tillåtande kan vara både ett aktivt agerande</w:t>
      </w:r>
      <w:r>
        <w:t xml:space="preserve"> och – </w:t>
      </w:r>
      <w:r w:rsidRPr="00A31D6D">
        <w:rPr>
          <w:spacing w:val="2"/>
        </w:rPr>
        <w:t>såvitt gäller personer med garantställning gentemot barnet</w:t>
      </w:r>
      <w:r>
        <w:t>, alltså vårdnadshavarna eller någon med ställning jämförbar med en vårdnadshavare – underlåten</w:t>
      </w:r>
      <w:r>
        <w:softHyphen/>
        <w:t xml:space="preserve">het att ingripa trots kännedom om ett förestående barnäktenskap. </w:t>
      </w:r>
    </w:p>
    <w:p w14:paraId="39080E9A" w14:textId="77777777" w:rsidR="00A050BF" w:rsidRDefault="00A050BF" w:rsidP="00DC7920">
      <w:pPr>
        <w:pStyle w:val="Brdtextmedindrag"/>
      </w:pPr>
      <w:r>
        <w:t>M</w:t>
      </w:r>
      <w:r w:rsidRPr="00A31D6D">
        <w:rPr>
          <w:spacing w:val="-2"/>
        </w:rPr>
        <w:t>edverkansbestämmelserna i 23</w:t>
      </w:r>
      <w:r>
        <w:rPr>
          <w:spacing w:val="-2"/>
        </w:rPr>
        <w:t> kap.</w:t>
      </w:r>
      <w:r w:rsidRPr="00A31D6D">
        <w:rPr>
          <w:spacing w:val="-2"/>
        </w:rPr>
        <w:t xml:space="preserve"> 4</w:t>
      </w:r>
      <w:r>
        <w:rPr>
          <w:spacing w:val="-2"/>
        </w:rPr>
        <w:t> §</w:t>
      </w:r>
      <w:r w:rsidRPr="00A31D6D">
        <w:rPr>
          <w:spacing w:val="-2"/>
        </w:rPr>
        <w:t xml:space="preserve"> brottsbalken är tillämp</w:t>
      </w:r>
      <w:r w:rsidRPr="00A31D6D">
        <w:rPr>
          <w:spacing w:val="-2"/>
        </w:rPr>
        <w:softHyphen/>
        <w:t>liga</w:t>
      </w:r>
      <w:r>
        <w:t>.</w:t>
      </w:r>
    </w:p>
    <w:p w14:paraId="05250656" w14:textId="77777777" w:rsidR="00A050BF" w:rsidRDefault="00A050BF" w:rsidP="00DC7920">
      <w:pPr>
        <w:pStyle w:val="Brdtextmedindrag"/>
      </w:pPr>
      <w:r>
        <w:t xml:space="preserve">Det som alltså </w:t>
      </w:r>
      <w:r w:rsidRPr="000014E3">
        <w:t>fall</w:t>
      </w:r>
      <w:r>
        <w:t>er</w:t>
      </w:r>
      <w:r w:rsidRPr="000014E3">
        <w:t xml:space="preserve"> utanför det kriminaliserade området är helt frivilliga äktenskap eller äktenskapsliknande förbindelser som ingås utan påverkan </w:t>
      </w:r>
      <w:r w:rsidRPr="000014E3">
        <w:lastRenderedPageBreak/>
        <w:t xml:space="preserve">av någon annan och där inte heller vårdnadshavarna, eller någon med ställning jämförbar med en vårdnadshavare, genom </w:t>
      </w:r>
      <w:r w:rsidRPr="00A31D6D">
        <w:rPr>
          <w:spacing w:val="-2"/>
        </w:rPr>
        <w:t>sitt aktiva agerande eller sin underlåtenhet kan anses ha tillåtit äkten</w:t>
      </w:r>
      <w:r w:rsidRPr="00A31D6D">
        <w:rPr>
          <w:spacing w:val="-2"/>
        </w:rPr>
        <w:softHyphen/>
        <w:t>skapet</w:t>
      </w:r>
      <w:r w:rsidRPr="000014E3">
        <w:t>.</w:t>
      </w:r>
    </w:p>
    <w:p w14:paraId="7870C34B" w14:textId="77777777" w:rsidR="00A050BF" w:rsidRDefault="00A050BF" w:rsidP="00DC7920">
      <w:pPr>
        <w:pStyle w:val="Brdtextmedindrag"/>
      </w:pPr>
      <w:r>
        <w:t xml:space="preserve">Till det kommer att Utredningen om åtgärder mot kontroller av </w:t>
      </w:r>
      <w:r w:rsidRPr="00A31D6D">
        <w:t>flickors och kvinnors sexualitet i betänkandet Förstärkt skydd för den</w:t>
      </w:r>
      <w:r>
        <w:t xml:space="preserve"> </w:t>
      </w:r>
      <w:r w:rsidRPr="00A31D6D">
        <w:rPr>
          <w:spacing w:val="-2"/>
        </w:rPr>
        <w:t>personliga integriteten – behovet av åtgärder mot oskuldskontroller</w:t>
      </w:r>
      <w:r>
        <w:t>, oskuldsintyg och oskuldsingrepp samt omvändelseförsök</w:t>
      </w:r>
      <w:r>
        <w:rPr>
          <w:rStyle w:val="Fotnotsreferens"/>
        </w:rPr>
        <w:footnoteReference w:id="9"/>
      </w:r>
      <w:r>
        <w:t xml:space="preserve"> har före</w:t>
      </w:r>
      <w:r>
        <w:softHyphen/>
        <w:t xml:space="preserve">slagit att underlåtenhet att avslöja eller förhindra äktenskapstvång </w:t>
      </w:r>
      <w:r w:rsidRPr="00A31D6D">
        <w:rPr>
          <w:spacing w:val="2"/>
        </w:rPr>
        <w:t>och barnäktenskapsbrott ska kriminaliseras. Regeringen har i den</w:t>
      </w:r>
      <w:r w:rsidRPr="00750BB9">
        <w:t xml:space="preserve"> efterföljande lagrådsremissen Kriminalisering av oskuldskontroller, oskuldsintyg och oskuldsingrepp </w:t>
      </w:r>
      <w:r>
        <w:t>också bl.a. föreslagit en sådan kri</w:t>
      </w:r>
      <w:r>
        <w:softHyphen/>
        <w:t>minalisering.</w:t>
      </w:r>
    </w:p>
    <w:p w14:paraId="1900FAFA" w14:textId="77777777" w:rsidR="00A050BF" w:rsidRDefault="00A050BF" w:rsidP="00DC7920">
      <w:pPr>
        <w:pStyle w:val="Brdtextmedindrag"/>
      </w:pPr>
      <w:bookmarkStart w:id="159" w:name="_Hlk196139868"/>
      <w:r>
        <w:t>Utredningen har bedömt att den straffrättsliga regleringen när det gäller vilken personkrets som kan hållas ansvarig för barnäkten</w:t>
      </w:r>
      <w:r>
        <w:softHyphen/>
        <w:t xml:space="preserve">skap är heltäckande. Det har därmed inte kommit fram att kretsen av personer som kan </w:t>
      </w:r>
      <w:r w:rsidRPr="00F14A97">
        <w:rPr>
          <w:spacing w:val="-2"/>
        </w:rPr>
        <w:t>hållas straffrättsligt ansvariga för att en person</w:t>
      </w:r>
      <w:r w:rsidRPr="009763F0">
        <w:t xml:space="preserve"> tillåts att gifta sig före 18 års ålder behöver utvidgas</w:t>
      </w:r>
      <w:r>
        <w:t xml:space="preserve"> ytterligare. </w:t>
      </w:r>
    </w:p>
    <w:p w14:paraId="55A8FD7E" w14:textId="77777777" w:rsidR="00A050BF" w:rsidRDefault="00A050BF" w:rsidP="00DC7920">
      <w:pPr>
        <w:pStyle w:val="Rubrik5utannumrering"/>
      </w:pPr>
      <w:r>
        <w:t xml:space="preserve">… </w:t>
      </w:r>
      <w:r w:rsidRPr="006A45CC">
        <w:t>men däremot bör straffbestämmelserna om äktenskapstvång och vilse</w:t>
      </w:r>
      <w:r w:rsidRPr="006A45CC">
        <w:softHyphen/>
        <w:t>ledande till äktenskapsresa utvidgas till att omfatta fler situationer än i dag för att lagstiftningen mot ofrivilliga äktenskap ska vara heltäckande</w:t>
      </w:r>
      <w:r>
        <w:t xml:space="preserve"> </w:t>
      </w:r>
    </w:p>
    <w:p w14:paraId="4F11BF36" w14:textId="77777777" w:rsidR="00A050BF" w:rsidRDefault="00A050BF" w:rsidP="00DC7920">
      <w:pPr>
        <w:pStyle w:val="Brdtext"/>
      </w:pPr>
      <w:r w:rsidRPr="00846A30">
        <w:t xml:space="preserve">Under arbetets gång har ett antal andra förslag lyfts om hur och på </w:t>
      </w:r>
      <w:r w:rsidRPr="006A45CC">
        <w:t>vilket sätt straffbestämmelserna om äktenskapstvång och vilseledande</w:t>
      </w:r>
      <w:r w:rsidRPr="00846A30">
        <w:t xml:space="preserve"> </w:t>
      </w:r>
      <w:r w:rsidRPr="006A45CC">
        <w:rPr>
          <w:spacing w:val="2"/>
        </w:rPr>
        <w:t>till äkten</w:t>
      </w:r>
      <w:r>
        <w:rPr>
          <w:spacing w:val="2"/>
        </w:rPr>
        <w:softHyphen/>
      </w:r>
      <w:r w:rsidRPr="006A45CC">
        <w:rPr>
          <w:spacing w:val="2"/>
        </w:rPr>
        <w:t>skapsresa skulle kunna utformas för att ytterligare stärka</w:t>
      </w:r>
      <w:r w:rsidRPr="00846A30">
        <w:t xml:space="preserve"> </w:t>
      </w:r>
      <w:r w:rsidRPr="006A45CC">
        <w:t>skyddet för dem som riskerar att utsättas för äktenskap mot den egna</w:t>
      </w:r>
      <w:r w:rsidRPr="00846A30">
        <w:t xml:space="preserve"> </w:t>
      </w:r>
      <w:r w:rsidRPr="006A45CC">
        <w:rPr>
          <w:spacing w:val="-2"/>
        </w:rPr>
        <w:t>viljan. Utredningens överväganden har resulterat i att vi ser ett behov</w:t>
      </w:r>
      <w:r w:rsidRPr="00846A30">
        <w:t xml:space="preserve"> </w:t>
      </w:r>
      <w:r w:rsidRPr="006A45CC">
        <w:rPr>
          <w:spacing w:val="-2"/>
        </w:rPr>
        <w:t>av att utvidga bestämmel</w:t>
      </w:r>
      <w:r>
        <w:rPr>
          <w:spacing w:val="-2"/>
        </w:rPr>
        <w:softHyphen/>
      </w:r>
      <w:r w:rsidRPr="006A45CC">
        <w:rPr>
          <w:spacing w:val="-2"/>
        </w:rPr>
        <w:t>serna om äktenskapstvång och vilseledande</w:t>
      </w:r>
      <w:r w:rsidRPr="00846A30">
        <w:t xml:space="preserve"> till äktenskapsresa för att bestämmelserna ska bli mer heltäckande och enhetliga.</w:t>
      </w:r>
      <w:r>
        <w:t xml:space="preserve"> Utredningen lämnar följande förslag.</w:t>
      </w:r>
    </w:p>
    <w:p w14:paraId="76E15ECB" w14:textId="77777777" w:rsidR="00A050BF" w:rsidRPr="003853C5" w:rsidRDefault="00A050BF" w:rsidP="00DC7920">
      <w:pPr>
        <w:pStyle w:val="Strecklista"/>
      </w:pPr>
      <w:r w:rsidRPr="003853C5">
        <w:t>Bestämmelsen om äktenskapstvång ska utvidgas till att omfatta även den som genom vilseledande angående att ett äktenskap in</w:t>
      </w:r>
      <w:r w:rsidRPr="003853C5">
        <w:softHyphen/>
        <w:t>gås eller förutsättningarna för äktenskapets upplösning förmår en person att ingå ett äktenskap eller en äktenskapsliknande för</w:t>
      </w:r>
      <w:r w:rsidRPr="003853C5">
        <w:softHyphen/>
        <w:t>bindelse.</w:t>
      </w:r>
    </w:p>
    <w:p w14:paraId="3EFE8C54" w14:textId="77777777" w:rsidR="00A050BF" w:rsidRPr="003853C5" w:rsidRDefault="00A050BF" w:rsidP="00DC7920">
      <w:pPr>
        <w:pStyle w:val="Strecklista"/>
      </w:pPr>
      <w:r w:rsidRPr="003853C5">
        <w:t>Bestämmelsen om vilseledande till äktenskapsresa ska utvidgas till att omfatta även de situationer där en person genom olaga tvång eller utnyttjande av utsatt belägenhet förmås att resa till en annan stat än den där han eller hon bor i syfte att personen ska utsättas för äktenskaps</w:t>
      </w:r>
      <w:r>
        <w:softHyphen/>
      </w:r>
      <w:r w:rsidRPr="003853C5">
        <w:t>tvång eller barnäktenskapsbrott. Brotts</w:t>
      </w:r>
      <w:r w:rsidRPr="003853C5">
        <w:softHyphen/>
        <w:t>beteckningen ska ändras till äktenskapsresebrott.</w:t>
      </w:r>
    </w:p>
    <w:p w14:paraId="465A52A6" w14:textId="77777777" w:rsidR="00A050BF" w:rsidRPr="003853C5" w:rsidRDefault="00A050BF" w:rsidP="00DC7920">
      <w:pPr>
        <w:pStyle w:val="Strecklista"/>
      </w:pPr>
      <w:r w:rsidRPr="003853C5">
        <w:t>En ny straffbestämmelse om äktenskapsresebrott mot barn ska in</w:t>
      </w:r>
      <w:r w:rsidRPr="003853C5">
        <w:softHyphen/>
        <w:t>föras i ett nytt andra stycke i 4 kap. 4 d § brottsbalken. Bestäm</w:t>
      </w:r>
      <w:r w:rsidRPr="003853C5">
        <w:softHyphen/>
        <w:t>melsen ska omfatta den som begår en sådan gärning som avses i bestämmelsen om äktenskapsresebrott mot en person som inte har fyllt 18 år samt den som i annat fall förmår eller tillåter en person som inte har fyllt 18 år att resa till en annan stat i syfte att personen ska utsättas för barnäkten</w:t>
      </w:r>
      <w:r>
        <w:softHyphen/>
      </w:r>
      <w:r w:rsidRPr="003853C5">
        <w:t>skapsbrott. Bestämmelsen ska gälla även om den som begår en sådan gärning inte haft upp</w:t>
      </w:r>
      <w:r w:rsidRPr="003853C5">
        <w:softHyphen/>
        <w:t>såt till men varit oaktsam beträffande omständig</w:t>
      </w:r>
      <w:r>
        <w:softHyphen/>
      </w:r>
      <w:r w:rsidRPr="003853C5">
        <w:t xml:space="preserve">heten att den andra personen inte fyllt 18 år. Kretsen av personer som </w:t>
      </w:r>
      <w:r w:rsidRPr="003853C5">
        <w:lastRenderedPageBreak/>
        <w:t>kan hållas straffrättsligt ansvariga för äktenskapsresebrott mot barn kommer därmed att överensstämma med kretsen av personer som kan hållas straffrättsligt ansvariga för barnäktenskapsbrott och behöver där</w:t>
      </w:r>
      <w:r w:rsidRPr="003853C5">
        <w:softHyphen/>
        <w:t>utöver inte utvidgas ytterligare.</w:t>
      </w:r>
    </w:p>
    <w:p w14:paraId="122185DF" w14:textId="77777777" w:rsidR="00A050BF" w:rsidRDefault="00A050BF" w:rsidP="00DC7920">
      <w:pPr>
        <w:pStyle w:val="Rubrik5utannumrering"/>
      </w:pPr>
      <w:r>
        <w:t xml:space="preserve">Försök </w:t>
      </w:r>
      <w:r w:rsidRPr="00404973">
        <w:t>till äktenskapsresebrott och äktenskapsresebrott mot barn kriminaliseras</w:t>
      </w:r>
      <w:r>
        <w:t>, men inte stämpling till brotten</w:t>
      </w:r>
    </w:p>
    <w:p w14:paraId="2B196E24" w14:textId="77777777" w:rsidR="00A050BF" w:rsidRDefault="00A050BF" w:rsidP="00DC7920">
      <w:pPr>
        <w:pStyle w:val="Brdtext"/>
      </w:pPr>
      <w:r w:rsidRPr="006A45CC">
        <w:rPr>
          <w:spacing w:val="2"/>
        </w:rPr>
        <w:t>Det finns ett reellt tillämpningsområde för en kriminalisering av</w:t>
      </w:r>
      <w:r>
        <w:t xml:space="preserve"> </w:t>
      </w:r>
      <w:r w:rsidRPr="006A45CC">
        <w:rPr>
          <w:spacing w:val="-4"/>
        </w:rPr>
        <w:t>försök till äktenskapsresebrott och en sådan kriminalisering är också</w:t>
      </w:r>
      <w:r>
        <w:t xml:space="preserve"> att anse som befogad med hänsyn till brottets allvar. Den viktigaste </w:t>
      </w:r>
      <w:r w:rsidRPr="006A45CC">
        <w:rPr>
          <w:spacing w:val="-2"/>
        </w:rPr>
        <w:t>åtgärden, när det finns en risk för att en person kan komma att föras</w:t>
      </w:r>
      <w:r>
        <w:t xml:space="preserve"> ut ur Sverige för att ingå äktenskap eller en äktenskapsliknande </w:t>
      </w:r>
      <w:r w:rsidRPr="006A45CC">
        <w:rPr>
          <w:spacing w:val="-4"/>
        </w:rPr>
        <w:t>för</w:t>
      </w:r>
      <w:r w:rsidRPr="006A45CC">
        <w:rPr>
          <w:spacing w:val="-4"/>
        </w:rPr>
        <w:softHyphen/>
        <w:t>bindelse, är att hindra att den personen lämnar Sverige eftersom möj</w:t>
      </w:r>
      <w:r w:rsidRPr="006A45CC">
        <w:rPr>
          <w:spacing w:val="-4"/>
        </w:rPr>
        <w:softHyphen/>
        <w:t>ligheterna</w:t>
      </w:r>
      <w:r w:rsidRPr="006A45CC">
        <w:rPr>
          <w:spacing w:val="-2"/>
        </w:rPr>
        <w:t xml:space="preserve"> för svenska myndigheter att agera i andra länder är mycket</w:t>
      </w:r>
      <w:r>
        <w:t xml:space="preserve"> </w:t>
      </w:r>
      <w:r w:rsidRPr="006A45CC">
        <w:rPr>
          <w:spacing w:val="-4"/>
        </w:rPr>
        <w:t>begränsade. Vikten av att barn som riskerar att utsättas för bl.a. barn</w:t>
      </w:r>
      <w:r w:rsidRPr="006A45CC">
        <w:rPr>
          <w:spacing w:val="-4"/>
        </w:rPr>
        <w:softHyphen/>
        <w:t>äktenskap</w:t>
      </w:r>
      <w:r>
        <w:t xml:space="preserve"> inte lämnar Sverige har också anförts som ett skäl för att </w:t>
      </w:r>
      <w:r w:rsidRPr="006A45CC">
        <w:rPr>
          <w:spacing w:val="-2"/>
        </w:rPr>
        <w:t>kriminalisera försök till överträdelse av ett utreseförbud. Om äkten</w:t>
      </w:r>
      <w:r w:rsidRPr="006A45CC">
        <w:rPr>
          <w:spacing w:val="-2"/>
        </w:rPr>
        <w:softHyphen/>
      </w:r>
      <w:r w:rsidRPr="006A45CC">
        <w:rPr>
          <w:spacing w:val="-4"/>
        </w:rPr>
        <w:t>skapsresebrott skulle kriminaliseras på försöksstadiet skulle det kunna</w:t>
      </w:r>
      <w:r>
        <w:t xml:space="preserve"> </w:t>
      </w:r>
      <w:r w:rsidRPr="006A45CC">
        <w:rPr>
          <w:spacing w:val="-4"/>
        </w:rPr>
        <w:t>öka möjligheten att skydda personer från att utsättas för sådana resor</w:t>
      </w:r>
      <w:r>
        <w:t xml:space="preserve">. </w:t>
      </w:r>
      <w:r w:rsidRPr="006A45CC">
        <w:rPr>
          <w:spacing w:val="-2"/>
        </w:rPr>
        <w:t>Mot denna bakgrund anser vi att försök till äktenskapsresebrott bör</w:t>
      </w:r>
      <w:r>
        <w:t xml:space="preserve"> kriminali</w:t>
      </w:r>
      <w:r>
        <w:softHyphen/>
        <w:t>seras. Samma ställningstagande görs när det gäller äkten</w:t>
      </w:r>
      <w:r>
        <w:softHyphen/>
        <w:t>skapsresebrott mot barn.</w:t>
      </w:r>
    </w:p>
    <w:p w14:paraId="09A3226A" w14:textId="77777777" w:rsidR="00A050BF" w:rsidRDefault="00A050BF" w:rsidP="00DC7920">
      <w:pPr>
        <w:pStyle w:val="Brdtextmedindrag"/>
      </w:pPr>
      <w:r>
        <w:t xml:space="preserve">Äktenskapsresebrottets allvar eller konstruktion talar inte heller </w:t>
      </w:r>
      <w:r w:rsidRPr="006A45CC">
        <w:rPr>
          <w:spacing w:val="-2"/>
        </w:rPr>
        <w:t>mot en kriminalisering av stämpling till äktenskapsresebrott. I prak</w:t>
      </w:r>
      <w:r w:rsidRPr="006A45CC">
        <w:rPr>
          <w:spacing w:val="-2"/>
        </w:rPr>
        <w:softHyphen/>
        <w:t>tiken</w:t>
      </w:r>
      <w:r>
        <w:t xml:space="preserve"> </w:t>
      </w:r>
      <w:r w:rsidRPr="006A45CC">
        <w:rPr>
          <w:spacing w:val="2"/>
        </w:rPr>
        <w:t>finns det dock inte något tillämpningsområde för en sådan</w:t>
      </w:r>
      <w:r>
        <w:t xml:space="preserve"> kriminalisering efter</w:t>
      </w:r>
      <w:r>
        <w:softHyphen/>
        <w:t>som handlandet i samtliga tänkbara situationer skulle kunna straffas som stämpling till äktenskapstvång eller barn</w:t>
      </w:r>
      <w:r>
        <w:softHyphen/>
      </w:r>
      <w:r w:rsidRPr="006A45CC">
        <w:rPr>
          <w:spacing w:val="-2"/>
        </w:rPr>
        <w:t>äktenskapsbrott. Motsvarande överväganden gör sig gällande när det</w:t>
      </w:r>
      <w:r>
        <w:t xml:space="preserve"> </w:t>
      </w:r>
      <w:r w:rsidRPr="006A45CC">
        <w:rPr>
          <w:spacing w:val="-2"/>
        </w:rPr>
        <w:t>gäller straffbestämmelsen om äkten</w:t>
      </w:r>
      <w:r>
        <w:rPr>
          <w:spacing w:val="-2"/>
        </w:rPr>
        <w:softHyphen/>
      </w:r>
      <w:r w:rsidRPr="006A45CC">
        <w:rPr>
          <w:spacing w:val="-2"/>
        </w:rPr>
        <w:t>skapsresebrott mot barn. Stämpling</w:t>
      </w:r>
      <w:r>
        <w:t xml:space="preserve"> till äktenskapsresebrott och äkten</w:t>
      </w:r>
      <w:r>
        <w:softHyphen/>
        <w:t xml:space="preserve">skapsresebrott mot barn bör </w:t>
      </w:r>
      <w:r w:rsidRPr="006A45CC">
        <w:rPr>
          <w:spacing w:val="-4"/>
        </w:rPr>
        <w:t>därför inte kriminaliseras. I vårt uppdrag ligger dock att oavsett ställning</w:t>
      </w:r>
      <w:r w:rsidRPr="006A45CC">
        <w:rPr>
          <w:spacing w:val="2"/>
        </w:rPr>
        <w:t xml:space="preserve">stagande i sak lämna ett författningsförslag som innebär att </w:t>
      </w:r>
      <w:r>
        <w:t xml:space="preserve">stämpling till äktenskapsresebrott kriminaliseras. Vi lämnar därför ett alternativt förslag </w:t>
      </w:r>
      <w:r w:rsidRPr="006A45CC">
        <w:rPr>
          <w:spacing w:val="-2"/>
        </w:rPr>
        <w:t>om att det i 4</w:t>
      </w:r>
      <w:r>
        <w:rPr>
          <w:spacing w:val="-2"/>
        </w:rPr>
        <w:t> kap.</w:t>
      </w:r>
      <w:r w:rsidRPr="006A45CC">
        <w:rPr>
          <w:spacing w:val="-2"/>
        </w:rPr>
        <w:t xml:space="preserve"> 10</w:t>
      </w:r>
      <w:r>
        <w:rPr>
          <w:spacing w:val="-2"/>
        </w:rPr>
        <w:t> §</w:t>
      </w:r>
      <w:r w:rsidRPr="006A45CC">
        <w:rPr>
          <w:spacing w:val="-2"/>
        </w:rPr>
        <w:t xml:space="preserve"> brottsbalken införs en</w:t>
      </w:r>
      <w:r>
        <w:t xml:space="preserve"> sådan bestämmelse. </w:t>
      </w:r>
    </w:p>
    <w:p w14:paraId="526BECFC" w14:textId="77777777" w:rsidR="00A050BF" w:rsidRDefault="00A050BF" w:rsidP="00DC7920">
      <w:pPr>
        <w:pStyle w:val="Rubrik5utannumrering"/>
      </w:pPr>
      <w:r>
        <w:t>Tvång att vara kvar i ett äktenskap bör inte kriminaliseras särskilt</w:t>
      </w:r>
    </w:p>
    <w:p w14:paraId="116F6D65" w14:textId="77777777" w:rsidR="00A050BF" w:rsidRDefault="00A050BF" w:rsidP="00DC7920">
      <w:pPr>
        <w:pStyle w:val="Brdtext"/>
      </w:pPr>
      <w:r>
        <w:t xml:space="preserve">En kriminalisering av tvång att vara kvar i ett äktenskap innebär </w:t>
      </w:r>
      <w:r w:rsidRPr="006A45CC">
        <w:rPr>
          <w:spacing w:val="-4"/>
        </w:rPr>
        <w:t>så</w:t>
      </w:r>
      <w:r w:rsidRPr="006A45CC">
        <w:rPr>
          <w:spacing w:val="-4"/>
        </w:rPr>
        <w:softHyphen/>
        <w:t>dana tillämpnings- och gränsdragningsproblem att det kan ifrågasättas</w:t>
      </w:r>
      <w:r w:rsidRPr="00404973">
        <w:t xml:space="preserve"> </w:t>
      </w:r>
      <w:r w:rsidRPr="006A45CC">
        <w:t>om en sådan kriminalisering skulle kunna utformas och avgränsas på</w:t>
      </w:r>
      <w:r w:rsidRPr="00404973">
        <w:t xml:space="preserve"> </w:t>
      </w:r>
      <w:r w:rsidRPr="006A45CC">
        <w:t>ett tillräckligt tydligt sätt för att uppfylla kriterierna för en krimina</w:t>
      </w:r>
      <w:r w:rsidRPr="006A45CC">
        <w:softHyphen/>
        <w:t>lisering</w:t>
      </w:r>
      <w:r w:rsidRPr="00404973">
        <w:t xml:space="preserve"> och legalitets</w:t>
      </w:r>
      <w:r>
        <w:softHyphen/>
      </w:r>
      <w:r w:rsidRPr="00404973">
        <w:t>principens krav på tydlig och förutsebar lag</w:t>
      </w:r>
      <w:r>
        <w:softHyphen/>
      </w:r>
      <w:r w:rsidRPr="00404973">
        <w:t>stiftning. Vi anser därför att tvång att vara kvar i ett äktenskap inte bör kriminaliseras särskilt.</w:t>
      </w:r>
    </w:p>
    <w:p w14:paraId="7AC47A1A" w14:textId="77777777" w:rsidR="00A050BF" w:rsidRDefault="00A050BF" w:rsidP="00DC7920">
      <w:pPr>
        <w:pStyle w:val="Brdtextmedindrag"/>
      </w:pPr>
      <w:r>
        <w:t>Om en särskild kriminalisering av tvång att vara kvar i ett äkten</w:t>
      </w:r>
      <w:r>
        <w:softHyphen/>
        <w:t xml:space="preserve">skap ändå genomförs, anser vi att bestämmelsen bör utformas på så </w:t>
      </w:r>
      <w:r w:rsidRPr="006A45CC">
        <w:rPr>
          <w:spacing w:val="-2"/>
        </w:rPr>
        <w:t>sätt att de straffbelagda handlingarna innefattar att en person genom</w:t>
      </w:r>
      <w:r>
        <w:t xml:space="preserve"> </w:t>
      </w:r>
      <w:r w:rsidRPr="00A04209">
        <w:rPr>
          <w:spacing w:val="-2"/>
        </w:rPr>
        <w:t>olaga tvång, vilseledande eller utnyttjande av utsatt belägenhet hind</w:t>
      </w:r>
      <w:r w:rsidRPr="00A04209">
        <w:rPr>
          <w:spacing w:val="-2"/>
        </w:rPr>
        <w:softHyphen/>
        <w:t>rar</w:t>
      </w:r>
      <w:r>
        <w:t xml:space="preserve"> e</w:t>
      </w:r>
      <w:r w:rsidRPr="00A04209">
        <w:rPr>
          <w:spacing w:val="2"/>
        </w:rPr>
        <w:t>n person från att lämna ett äktenskap eller en äktenskaps</w:t>
      </w:r>
      <w:r w:rsidRPr="00A04209">
        <w:rPr>
          <w:spacing w:val="2"/>
        </w:rPr>
        <w:softHyphen/>
        <w:t>lik</w:t>
      </w:r>
      <w:r w:rsidRPr="00A04209">
        <w:rPr>
          <w:spacing w:val="2"/>
        </w:rPr>
        <w:softHyphen/>
        <w:t>nande</w:t>
      </w:r>
      <w:r w:rsidRPr="006A45CC">
        <w:rPr>
          <w:spacing w:val="-2"/>
        </w:rPr>
        <w:t xml:space="preserve"> förbindelse. Det bör då krävas att brottsoffrets vilja att lämna</w:t>
      </w:r>
      <w:r>
        <w:t xml:space="preserve"> </w:t>
      </w:r>
      <w:r w:rsidRPr="006A45CC">
        <w:rPr>
          <w:spacing w:val="-4"/>
        </w:rPr>
        <w:t>förbindelsen har kommit till uttryck på något sätt. Det bör dock inte</w:t>
      </w:r>
      <w:r>
        <w:t xml:space="preserve"> krävas att viljan har manifesterats formellt genom t.ex. en ansökan </w:t>
      </w:r>
      <w:r w:rsidRPr="006A45CC">
        <w:rPr>
          <w:spacing w:val="-2"/>
        </w:rPr>
        <w:t>om äktenskapsskillnad. Brottet bör fullbordas när gärningspersonen</w:t>
      </w:r>
      <w:r>
        <w:t xml:space="preserve"> faktiskt har hindrat brottsoffret från att lämna förbindel</w:t>
      </w:r>
      <w:r>
        <w:softHyphen/>
      </w:r>
      <w:r>
        <w:lastRenderedPageBreak/>
        <w:t>sen. Att en person hindras från att lämna ett äktenskap eller en äktenskaps</w:t>
      </w:r>
      <w:r>
        <w:softHyphen/>
        <w:t xml:space="preserve">liknande förbindelse tar sikte på situationen att en person hindras från </w:t>
      </w:r>
      <w:r w:rsidRPr="006A45CC">
        <w:rPr>
          <w:spacing w:val="-4"/>
        </w:rPr>
        <w:t>att formellt upplösa förbindelsen. Bestämmelsen tar således inte sikte</w:t>
      </w:r>
      <w:r>
        <w:t xml:space="preserve"> </w:t>
      </w:r>
      <w:r w:rsidRPr="006A45CC">
        <w:rPr>
          <w:spacing w:val="-4"/>
        </w:rPr>
        <w:t>på situationen att någon t.ex. hindras fysiskt från att lämna det gemen</w:t>
      </w:r>
      <w:r w:rsidRPr="006A45CC">
        <w:rPr>
          <w:spacing w:val="-4"/>
        </w:rPr>
        <w:softHyphen/>
        <w:t>samma</w:t>
      </w:r>
      <w:r>
        <w:t xml:space="preserve"> hemmet.</w:t>
      </w:r>
    </w:p>
    <w:bookmarkEnd w:id="159"/>
    <w:p w14:paraId="5E8D4369" w14:textId="77777777" w:rsidR="00A050BF" w:rsidRDefault="00A050BF" w:rsidP="00DC7920">
      <w:pPr>
        <w:pStyle w:val="Rubrik3utannumrering"/>
      </w:pPr>
      <w:r>
        <w:t>Skärpta straff för vissa hedersrelaterade brott</w:t>
      </w:r>
    </w:p>
    <w:p w14:paraId="6C5FF8AC" w14:textId="77777777" w:rsidR="00A050BF" w:rsidRDefault="00A050BF" w:rsidP="00DC7920">
      <w:pPr>
        <w:pStyle w:val="Brdtext"/>
      </w:pPr>
      <w:r>
        <w:t>Vi föreslår att straffskalorna för äktenskapstvång, barnäktenskaps</w:t>
      </w:r>
      <w:r>
        <w:softHyphen/>
        <w:t>brott och äktenskapsresebrott skärps för att fullt ut motsvara all</w:t>
      </w:r>
      <w:r>
        <w:softHyphen/>
        <w:t xml:space="preserve">varet hos </w:t>
      </w:r>
      <w:r w:rsidRPr="006A45CC">
        <w:rPr>
          <w:spacing w:val="2"/>
        </w:rPr>
        <w:t>sådan brottslighet. När det gäller äktenskapstvång och</w:t>
      </w:r>
      <w:r>
        <w:t xml:space="preserve"> </w:t>
      </w:r>
      <w:r w:rsidRPr="006A45CC">
        <w:rPr>
          <w:spacing w:val="2"/>
        </w:rPr>
        <w:t>barnäktenskapsbrott förslår vi att minimistraffet för dessa brott</w:t>
      </w:r>
      <w:r>
        <w:t xml:space="preserve"> </w:t>
      </w:r>
      <w:r w:rsidRPr="006A45CC">
        <w:rPr>
          <w:spacing w:val="-2"/>
        </w:rPr>
        <w:t>höjs från allmänt fängelsemini</w:t>
      </w:r>
      <w:r>
        <w:rPr>
          <w:spacing w:val="-2"/>
        </w:rPr>
        <w:softHyphen/>
      </w:r>
      <w:r w:rsidRPr="006A45CC">
        <w:rPr>
          <w:spacing w:val="-2"/>
        </w:rPr>
        <w:t>mum om 14 dagar (26</w:t>
      </w:r>
      <w:r>
        <w:rPr>
          <w:spacing w:val="-2"/>
        </w:rPr>
        <w:t> kap.</w:t>
      </w:r>
      <w:r w:rsidRPr="006A45CC">
        <w:rPr>
          <w:spacing w:val="-2"/>
        </w:rPr>
        <w:t xml:space="preserve"> 1</w:t>
      </w:r>
      <w:r>
        <w:rPr>
          <w:spacing w:val="-2"/>
        </w:rPr>
        <w:t> §</w:t>
      </w:r>
      <w:r w:rsidRPr="006A45CC">
        <w:rPr>
          <w:spacing w:val="-2"/>
        </w:rPr>
        <w:t xml:space="preserve"> brotts</w:t>
      </w:r>
      <w:r w:rsidRPr="006A45CC">
        <w:rPr>
          <w:spacing w:val="-2"/>
        </w:rPr>
        <w:softHyphen/>
        <w:t>balken</w:t>
      </w:r>
      <w:r>
        <w:t>) till fängelse i sex månader och att maximistraffet höjs från fängelse i fyra år till fängelse i sex år. När det gäller äktenskaps</w:t>
      </w:r>
      <w:r>
        <w:softHyphen/>
        <w:t>rese</w:t>
      </w:r>
      <w:r>
        <w:softHyphen/>
        <w:t xml:space="preserve">brott föreslår vi att straffskalan för brottet ändras på så sätt att det för brottet stadgas fängelse i högst fyra år, i stället för två år som tidigare gällt. </w:t>
      </w:r>
    </w:p>
    <w:p w14:paraId="38D3BD0B" w14:textId="77777777" w:rsidR="00A050BF" w:rsidRDefault="00A050BF" w:rsidP="00DC7920">
      <w:pPr>
        <w:pStyle w:val="Brdtextmedindrag"/>
      </w:pPr>
      <w:r>
        <w:t xml:space="preserve">Det har inte framkommit något som talar för att den nuvarande </w:t>
      </w:r>
      <w:r w:rsidRPr="006A45CC">
        <w:rPr>
          <w:spacing w:val="-4"/>
        </w:rPr>
        <w:t>straff</w:t>
      </w:r>
      <w:r>
        <w:rPr>
          <w:spacing w:val="-4"/>
        </w:rPr>
        <w:softHyphen/>
      </w:r>
      <w:r w:rsidRPr="006A45CC">
        <w:rPr>
          <w:spacing w:val="-4"/>
        </w:rPr>
        <w:t>skalan för hedersförtryck inte är tillräckligt vid eller att den inte</w:t>
      </w:r>
      <w:r>
        <w:t xml:space="preserve"> ger tillräckligt utrymme för att kunna döma ut en proportionerlig påföljd, även i de allvarligaste fallen. Vi anser därmed att den nuva</w:t>
      </w:r>
      <w:r>
        <w:softHyphen/>
        <w:t>rande straffskalan för hedersförtryck ger tillräckligt utrymme för nyanserade straffvärde</w:t>
      </w:r>
      <w:r>
        <w:softHyphen/>
        <w:t xml:space="preserve">bedömningar. Vidare riskerar en höjning av </w:t>
      </w:r>
      <w:r w:rsidRPr="006A45CC">
        <w:rPr>
          <w:spacing w:val="-2"/>
        </w:rPr>
        <w:t>maximistraffet att få oönskade konsekvenser i straffvärdehän</w:t>
      </w:r>
      <w:r w:rsidRPr="006A45CC">
        <w:rPr>
          <w:spacing w:val="-2"/>
        </w:rPr>
        <w:softHyphen/>
        <w:t>seende</w:t>
      </w:r>
      <w:r>
        <w:t xml:space="preserve"> och i förhållande till rättskraftens räckvidd. Vi bedömer således att </w:t>
      </w:r>
      <w:r w:rsidRPr="006A45CC">
        <w:rPr>
          <w:spacing w:val="-2"/>
        </w:rPr>
        <w:t>straffskalan för hedersförtryck inte bör skärpas. Eftersom vi, oavsett</w:t>
      </w:r>
      <w:r>
        <w:t xml:space="preserve"> bedömning i sak, ska lämna författnings</w:t>
      </w:r>
      <w:r>
        <w:softHyphen/>
        <w:t>förslag lämnar vi ett alter</w:t>
      </w:r>
      <w:r>
        <w:softHyphen/>
        <w:t xml:space="preserve">nativt förslag om att skärpa maximistraffet för hedersförtryck till fängelse i tio år. </w:t>
      </w:r>
    </w:p>
    <w:p w14:paraId="2E0831D4" w14:textId="77777777" w:rsidR="00A050BF" w:rsidRDefault="00A050BF" w:rsidP="00DC7920">
      <w:pPr>
        <w:pStyle w:val="Rubrik3utannumrering"/>
      </w:pPr>
      <w:r>
        <w:t xml:space="preserve">Hemliga </w:t>
      </w:r>
      <w:r w:rsidRPr="003853C5">
        <w:t>tvångsmedel</w:t>
      </w:r>
      <w:r>
        <w:t xml:space="preserve"> i utredningar om äktenskapstvång och</w:t>
      </w:r>
      <w:r>
        <w:rPr>
          <w:rFonts w:ascii="Cambria" w:hAnsi="Cambria"/>
        </w:rPr>
        <w:t> </w:t>
      </w:r>
      <w:r>
        <w:t>barnäktenskapsbrott</w:t>
      </w:r>
    </w:p>
    <w:p w14:paraId="0B6C5BE6" w14:textId="77777777" w:rsidR="00A050BF" w:rsidRDefault="00A050BF" w:rsidP="00DC7920">
      <w:pPr>
        <w:pStyle w:val="Brdtext"/>
      </w:pPr>
      <w:r w:rsidRPr="004E30E8">
        <w:rPr>
          <w:spacing w:val="-2"/>
        </w:rPr>
        <w:t>Det krävs inte bara en heltäckande straffrättslig lagstiftning för att</w:t>
      </w:r>
      <w:r w:rsidRPr="004E30E8">
        <w:t xml:space="preserve"> komma åt det hedersrelaterade våldet och förtrycket. Det före</w:t>
      </w:r>
      <w:r>
        <w:softHyphen/>
      </w:r>
      <w:r w:rsidRPr="004E30E8">
        <w:t>ligger ofta bevis</w:t>
      </w:r>
      <w:r>
        <w:softHyphen/>
      </w:r>
      <w:r w:rsidRPr="004E30E8">
        <w:t>svårigheter i ärenden om hedersrelaterad brottslig</w:t>
      </w:r>
      <w:r>
        <w:softHyphen/>
      </w:r>
      <w:r w:rsidRPr="004E30E8">
        <w:t>het. Polis</w:t>
      </w:r>
      <w:r w:rsidRPr="004E30E8">
        <w:softHyphen/>
        <w:t xml:space="preserve">myndigheten och Åklagarmyndigheten har därför lyft </w:t>
      </w:r>
      <w:r w:rsidRPr="004E30E8">
        <w:rPr>
          <w:spacing w:val="-2"/>
        </w:rPr>
        <w:t>behovet av att kunna använda hemliga tvångsmedel i större utsträck</w:t>
      </w:r>
      <w:r w:rsidRPr="004E30E8">
        <w:rPr>
          <w:spacing w:val="-2"/>
        </w:rPr>
        <w:softHyphen/>
        <w:t>ning</w:t>
      </w:r>
      <w:r w:rsidRPr="004E30E8">
        <w:t xml:space="preserve"> än </w:t>
      </w:r>
      <w:r w:rsidRPr="004E30E8">
        <w:rPr>
          <w:spacing w:val="1"/>
        </w:rPr>
        <w:t>vad som nu är möjligt. Även om frågan inte uttryckligen</w:t>
      </w:r>
      <w:r w:rsidRPr="004E30E8">
        <w:t xml:space="preserve"> omfattas av våra di</w:t>
      </w:r>
      <w:r w:rsidRPr="004E30E8">
        <w:softHyphen/>
        <w:t>rek</w:t>
      </w:r>
      <w:r w:rsidRPr="004E30E8">
        <w:softHyphen/>
        <w:t>tiv har vi valt att överväga om det finns skäl att utvidga tillämp</w:t>
      </w:r>
      <w:r w:rsidRPr="004E30E8">
        <w:softHyphen/>
        <w:t>nings</w:t>
      </w:r>
      <w:r w:rsidRPr="004E30E8">
        <w:softHyphen/>
        <w:t>området för hemliga tvångsmedel eftersom vi bedömer att frågan är viktig och har ett tydligt samband med de frågor vi har haft att utreda</w:t>
      </w:r>
      <w:r w:rsidRPr="006A45CC">
        <w:rPr>
          <w:spacing w:val="-5"/>
        </w:rPr>
        <w:t>.</w:t>
      </w:r>
    </w:p>
    <w:p w14:paraId="570E3DC7" w14:textId="77777777" w:rsidR="00A050BF" w:rsidRDefault="00A050BF" w:rsidP="00DC7920">
      <w:pPr>
        <w:pStyle w:val="Brdtextmedindrag"/>
      </w:pPr>
      <w:r w:rsidRPr="004E30E8">
        <w:rPr>
          <w:spacing w:val="-2"/>
        </w:rPr>
        <w:t>Utredningen har övervägt en ökad användning av hemliga tvångs</w:t>
      </w:r>
      <w:r w:rsidRPr="004E30E8">
        <w:rPr>
          <w:spacing w:val="-2"/>
        </w:rPr>
        <w:softHyphen/>
        <w:t>medel</w:t>
      </w:r>
      <w:r>
        <w:t xml:space="preserve"> i utredningar om äktenskapstvång och barnäktenskapsbrott. </w:t>
      </w:r>
      <w:r w:rsidRPr="004E30E8">
        <w:t>De ställnings</w:t>
      </w:r>
      <w:r>
        <w:softHyphen/>
      </w:r>
      <w:r w:rsidRPr="004E30E8">
        <w:t>taganden som utredningen gör grundar sig bl.</w:t>
      </w:r>
      <w:r w:rsidRPr="004E30E8">
        <w:rPr>
          <w:spacing w:val="-4"/>
        </w:rPr>
        <w:t xml:space="preserve">a. på </w:t>
      </w:r>
      <w:r w:rsidRPr="004E30E8">
        <w:rPr>
          <w:spacing w:val="-2"/>
        </w:rPr>
        <w:t>be</w:t>
      </w:r>
      <w:r w:rsidRPr="004E30E8">
        <w:rPr>
          <w:spacing w:val="-2"/>
        </w:rPr>
        <w:softHyphen/>
        <w:t>hovsbeskrivningar från Polismyndigheten och Åklagar</w:t>
      </w:r>
      <w:r w:rsidRPr="004E30E8">
        <w:rPr>
          <w:spacing w:val="-2"/>
        </w:rPr>
        <w:softHyphen/>
        <w:t>myndigheten</w:t>
      </w:r>
      <w:r w:rsidRPr="004E30E8">
        <w:rPr>
          <w:spacing w:val="-5"/>
        </w:rPr>
        <w:t>.</w:t>
      </w:r>
      <w:r>
        <w:t xml:space="preserve"> </w:t>
      </w:r>
    </w:p>
    <w:p w14:paraId="5864D01C" w14:textId="77777777" w:rsidR="00A050BF" w:rsidRDefault="00A050BF" w:rsidP="00DC7920">
      <w:pPr>
        <w:pStyle w:val="Brdtextmedindrag"/>
      </w:pPr>
      <w:r w:rsidRPr="004E30E8">
        <w:rPr>
          <w:spacing w:val="-2"/>
        </w:rPr>
        <w:t>Av de analyser som utredningen har gjort framgår att det i utred</w:t>
      </w:r>
      <w:r w:rsidRPr="004E30E8">
        <w:rPr>
          <w:spacing w:val="-2"/>
        </w:rPr>
        <w:softHyphen/>
        <w:t>ningar</w:t>
      </w:r>
      <w:r>
        <w:t xml:space="preserve"> om äktenskapstvång och barnäktenskapsbrott finns ett stort behov av att använda hemlig avlyssning av elektronisk kommu</w:t>
      </w:r>
      <w:r>
        <w:softHyphen/>
        <w:t>ni</w:t>
      </w:r>
      <w:r>
        <w:softHyphen/>
        <w:t>ka</w:t>
      </w:r>
      <w:r>
        <w:softHyphen/>
        <w:t xml:space="preserve">tion, hemlig övervakning av elektronisk kommunikation, både mot </w:t>
      </w:r>
      <w:r w:rsidRPr="004E30E8">
        <w:rPr>
          <w:spacing w:val="-2"/>
        </w:rPr>
        <w:t>den som är skäligen misstänkt för brott och i syfte att fastställa vem</w:t>
      </w:r>
      <w:r>
        <w:t xml:space="preserve"> som skäligen kan misstänkas </w:t>
      </w:r>
      <w:r>
        <w:lastRenderedPageBreak/>
        <w:t xml:space="preserve">för brott, hemlig kameraövervakning, </w:t>
      </w:r>
      <w:r w:rsidRPr="004E30E8">
        <w:rPr>
          <w:spacing w:val="2"/>
        </w:rPr>
        <w:t>både mot den som är skäligen misstänkt för brott och i syfte att</w:t>
      </w:r>
      <w:r>
        <w:t xml:space="preserve"> </w:t>
      </w:r>
      <w:r w:rsidRPr="004E30E8">
        <w:rPr>
          <w:spacing w:val="2"/>
        </w:rPr>
        <w:t>fastställa vem som skäligen kan miss</w:t>
      </w:r>
      <w:r>
        <w:rPr>
          <w:spacing w:val="2"/>
        </w:rPr>
        <w:softHyphen/>
      </w:r>
      <w:r w:rsidRPr="004E30E8">
        <w:rPr>
          <w:spacing w:val="2"/>
        </w:rPr>
        <w:t>tänkas för brott, och hemlig</w:t>
      </w:r>
      <w:r>
        <w:t xml:space="preserve"> dataavläsning som inte gäller rumsavlyss</w:t>
      </w:r>
      <w:r>
        <w:softHyphen/>
        <w:t xml:space="preserve">ningsuppgifter samt att de hemliga tvångsmedlen kan ha en avgörande betydelse för att dessa </w:t>
      </w:r>
      <w:r w:rsidRPr="004E30E8">
        <w:rPr>
          <w:spacing w:val="-4"/>
        </w:rPr>
        <w:t>brott ska kunna utredas och beivras. Utredningen gör bedömningen</w:t>
      </w:r>
      <w:r>
        <w:t xml:space="preserve"> </w:t>
      </w:r>
      <w:r w:rsidRPr="004E30E8">
        <w:rPr>
          <w:spacing w:val="-2"/>
        </w:rPr>
        <w:t>att intresset av att effektivt kunna utreda äktenskapstvång och barn</w:t>
      </w:r>
      <w:r w:rsidRPr="004E30E8">
        <w:rPr>
          <w:spacing w:val="-2"/>
        </w:rPr>
        <w:softHyphen/>
        <w:t>äktenskapsbrott</w:t>
      </w:r>
      <w:r>
        <w:t xml:space="preserve"> överväger de motstående intressena, inklusive en</w:t>
      </w:r>
      <w:r>
        <w:softHyphen/>
        <w:t xml:space="preserve">skildas intresse av skydd för sitt privatliv. </w:t>
      </w:r>
    </w:p>
    <w:p w14:paraId="2E90B3B1" w14:textId="77777777" w:rsidR="00A050BF" w:rsidRDefault="00A050BF" w:rsidP="00DC7920">
      <w:pPr>
        <w:pStyle w:val="Brdtextmedindrag"/>
      </w:pPr>
      <w:r w:rsidRPr="004E30E8">
        <w:rPr>
          <w:spacing w:val="-4"/>
        </w:rPr>
        <w:t>Vidare anser utredningen att äktenskapstvång och barnäkten</w:t>
      </w:r>
      <w:r w:rsidRPr="004E30E8">
        <w:rPr>
          <w:spacing w:val="-4"/>
        </w:rPr>
        <w:softHyphen/>
        <w:t>skaps</w:t>
      </w:r>
      <w:r w:rsidRPr="004E30E8">
        <w:rPr>
          <w:spacing w:val="-4"/>
        </w:rPr>
        <w:softHyphen/>
        <w:t>brott</w:t>
      </w:r>
      <w:r>
        <w:t xml:space="preserve"> är brott av så allvarlig karaktär att det är motiverat med en an</w:t>
      </w:r>
      <w:r>
        <w:softHyphen/>
      </w:r>
      <w:r w:rsidRPr="004E30E8">
        <w:rPr>
          <w:spacing w:val="-2"/>
        </w:rPr>
        <w:t>vändning av hemliga tvångsmedel. Äktenskapstvång och barnäkten</w:t>
      </w:r>
      <w:r w:rsidRPr="004E30E8">
        <w:rPr>
          <w:spacing w:val="-2"/>
        </w:rPr>
        <w:softHyphen/>
        <w:t>skapsbrott</w:t>
      </w:r>
      <w:r>
        <w:t xml:space="preserve"> är också brott som till sin karaktär har flera likheter med </w:t>
      </w:r>
      <w:r w:rsidRPr="004E30E8">
        <w:rPr>
          <w:spacing w:val="-5"/>
        </w:rPr>
        <w:t>sådana brott som i dag omfattas av brottskatalogerna i bestäm</w:t>
      </w:r>
      <w:r w:rsidRPr="004E30E8">
        <w:rPr>
          <w:spacing w:val="-5"/>
        </w:rPr>
        <w:softHyphen/>
        <w:t>melserna.</w:t>
      </w:r>
    </w:p>
    <w:p w14:paraId="004A47E6" w14:textId="77777777" w:rsidR="00A050BF" w:rsidRDefault="00A050BF" w:rsidP="00DC7920">
      <w:pPr>
        <w:pStyle w:val="Brdtextmedindrag"/>
      </w:pPr>
      <w:r>
        <w:t>Med hänsyn till det anförda föreslår vi att hemlig avlyssning av e</w:t>
      </w:r>
      <w:r w:rsidRPr="004E30E8">
        <w:rPr>
          <w:spacing w:val="-4"/>
        </w:rPr>
        <w:t>lek</w:t>
      </w:r>
      <w:r>
        <w:rPr>
          <w:spacing w:val="-4"/>
        </w:rPr>
        <w:softHyphen/>
      </w:r>
      <w:r w:rsidRPr="004E30E8">
        <w:rPr>
          <w:spacing w:val="-4"/>
        </w:rPr>
        <w:t>tronisk kommunikation, hemlig övervakning av elektronisk kom</w:t>
      </w:r>
      <w:r w:rsidRPr="004E30E8">
        <w:rPr>
          <w:spacing w:val="-4"/>
        </w:rPr>
        <w:softHyphen/>
        <w:t>munikation</w:t>
      </w:r>
      <w:r>
        <w:t xml:space="preserve">, både mot den som är skäligen misstänkt för brott och i </w:t>
      </w:r>
      <w:r w:rsidRPr="004E30E8">
        <w:rPr>
          <w:spacing w:val="-2"/>
        </w:rPr>
        <w:t>syfte att fastställa vem som skäligen kan misstänkas för brott, hemlig</w:t>
      </w:r>
      <w:r>
        <w:t xml:space="preserve"> </w:t>
      </w:r>
      <w:r w:rsidRPr="004E30E8">
        <w:rPr>
          <w:spacing w:val="-4"/>
        </w:rPr>
        <w:t>kameraövervakning, både mot den som är skäligen misstänkt för brott</w:t>
      </w:r>
      <w:r>
        <w:t xml:space="preserve"> och i syfte att fastställa vem som skäligen kan misstänkas för brott, och hemlig dataavläsning som inte gäller rumsavlyssningsuppgifter </w:t>
      </w:r>
      <w:r w:rsidRPr="004E30E8">
        <w:rPr>
          <w:spacing w:val="2"/>
        </w:rPr>
        <w:t>ska få användas i utredningar om äkten</w:t>
      </w:r>
      <w:r>
        <w:rPr>
          <w:spacing w:val="2"/>
        </w:rPr>
        <w:softHyphen/>
      </w:r>
      <w:r w:rsidRPr="004E30E8">
        <w:rPr>
          <w:spacing w:val="2"/>
        </w:rPr>
        <w:t>skapstvång</w:t>
      </w:r>
      <w:r>
        <w:t xml:space="preserve"> och barnäkten</w:t>
      </w:r>
      <w:r>
        <w:softHyphen/>
        <w:t xml:space="preserve">skapsbrott. </w:t>
      </w:r>
    </w:p>
    <w:p w14:paraId="3CB4F7AE" w14:textId="77777777" w:rsidR="00A050BF" w:rsidRDefault="00A050BF" w:rsidP="00DC7920">
      <w:pPr>
        <w:pStyle w:val="Brdtextmedindrag"/>
      </w:pPr>
      <w:r w:rsidRPr="004E30E8">
        <w:rPr>
          <w:spacing w:val="-2"/>
        </w:rPr>
        <w:t>Brottskatalogerna i de aktuella bestämmelserna omfattar inte bara</w:t>
      </w:r>
      <w:r>
        <w:t xml:space="preserve"> full</w:t>
      </w:r>
      <w:r>
        <w:softHyphen/>
        <w:t>bordade brott utan även försök, förberedelse och stämpling till de upp</w:t>
      </w:r>
      <w:r>
        <w:softHyphen/>
        <w:t xml:space="preserve">räknade brotten, om en sådan gärning är belagd med straff </w:t>
      </w:r>
      <w:r w:rsidRPr="004E30E8">
        <w:rPr>
          <w:spacing w:val="-2"/>
        </w:rPr>
        <w:t>(27</w:t>
      </w:r>
      <w:r>
        <w:rPr>
          <w:spacing w:val="-2"/>
        </w:rPr>
        <w:t> kap.</w:t>
      </w:r>
      <w:r w:rsidRPr="004E30E8">
        <w:rPr>
          <w:spacing w:val="-2"/>
        </w:rPr>
        <w:t xml:space="preserve"> 18 a</w:t>
      </w:r>
      <w:r>
        <w:rPr>
          <w:spacing w:val="-2"/>
        </w:rPr>
        <w:t> §</w:t>
      </w:r>
      <w:r w:rsidRPr="004E30E8">
        <w:rPr>
          <w:spacing w:val="-2"/>
        </w:rPr>
        <w:t xml:space="preserve"> andra stycket 19 och 20 rättegångsbalken). Detta bör</w:t>
      </w:r>
      <w:r>
        <w:t xml:space="preserve"> </w:t>
      </w:r>
      <w:r w:rsidRPr="004E30E8">
        <w:rPr>
          <w:spacing w:val="-4"/>
        </w:rPr>
        <w:t>gälla även för brotten äktenskapstvång och barnäktenskapsbrott, som</w:t>
      </w:r>
      <w:r>
        <w:t xml:space="preserve"> är kriminaliserade på försöks-, förberedelse- och stämplingsstadiet.</w:t>
      </w:r>
    </w:p>
    <w:p w14:paraId="058E9FBD" w14:textId="77777777" w:rsidR="00A050BF" w:rsidRDefault="00A050BF" w:rsidP="00DC7920">
      <w:pPr>
        <w:pStyle w:val="Rubrik3utannumrering"/>
      </w:pPr>
      <w:r>
        <w:t xml:space="preserve">Förbud mot erkännande av vissa utländska äktenskap </w:t>
      </w:r>
    </w:p>
    <w:p w14:paraId="4B92C923" w14:textId="77777777" w:rsidR="00A050BF" w:rsidRDefault="00A050BF" w:rsidP="00DC7920">
      <w:pPr>
        <w:pStyle w:val="Rubrik5utannumrering"/>
        <w:spacing w:before="0"/>
      </w:pPr>
      <w:r>
        <w:t>Ett nytt synsätt på erkännande av utländska äktenskap</w:t>
      </w:r>
    </w:p>
    <w:p w14:paraId="593B1563" w14:textId="77777777" w:rsidR="00A050BF" w:rsidRDefault="00A050BF" w:rsidP="00DC7920">
      <w:pPr>
        <w:pStyle w:val="Brdtext"/>
      </w:pPr>
      <w:r w:rsidRPr="004E30E8">
        <w:rPr>
          <w:spacing w:val="-4"/>
        </w:rPr>
        <w:t>Huvudregeln i svensk rätt är att utländska barnäktenskap, månggiften</w:t>
      </w:r>
      <w:r w:rsidRPr="007D5B1F">
        <w:t>, tvångs</w:t>
      </w:r>
      <w:r>
        <w:softHyphen/>
      </w:r>
      <w:r w:rsidRPr="007D5B1F">
        <w:t>äktenskap</w:t>
      </w:r>
      <w:r>
        <w:t>, släktskapsäktenskap</w:t>
      </w:r>
      <w:r w:rsidRPr="007D5B1F">
        <w:t xml:space="preserve"> </w:t>
      </w:r>
      <w:r>
        <w:t>samt</w:t>
      </w:r>
      <w:r w:rsidRPr="007D5B1F">
        <w:t xml:space="preserve"> fullmaktsäktenskap där </w:t>
      </w:r>
      <w:r w:rsidRPr="004E30E8">
        <w:t>minst en av parterna var svensk medborgare eller hade hemvist i Sverige</w:t>
      </w:r>
      <w:r w:rsidRPr="007D5B1F">
        <w:t xml:space="preserve"> </w:t>
      </w:r>
      <w:r w:rsidRPr="004E30E8">
        <w:rPr>
          <w:spacing w:val="-2"/>
        </w:rPr>
        <w:t>vid full</w:t>
      </w:r>
      <w:r>
        <w:rPr>
          <w:spacing w:val="-2"/>
        </w:rPr>
        <w:softHyphen/>
      </w:r>
      <w:r w:rsidRPr="004E30E8">
        <w:rPr>
          <w:spacing w:val="-2"/>
        </w:rPr>
        <w:t>makts</w:t>
      </w:r>
      <w:r>
        <w:rPr>
          <w:spacing w:val="-2"/>
        </w:rPr>
        <w:softHyphen/>
      </w:r>
      <w:r w:rsidRPr="004E30E8">
        <w:rPr>
          <w:spacing w:val="-2"/>
        </w:rPr>
        <w:t>äktenskapets ingående inte erkänns här (1</w:t>
      </w:r>
      <w:r>
        <w:rPr>
          <w:spacing w:val="-2"/>
        </w:rPr>
        <w:t> </w:t>
      </w:r>
      <w:r w:rsidRPr="004E30E8">
        <w:rPr>
          <w:spacing w:val="-2"/>
        </w:rPr>
        <w:t>kap. 8</w:t>
      </w:r>
      <w:r>
        <w:rPr>
          <w:spacing w:val="-2"/>
        </w:rPr>
        <w:t> </w:t>
      </w:r>
      <w:r w:rsidRPr="004E30E8">
        <w:rPr>
          <w:spacing w:val="-2"/>
        </w:rPr>
        <w:t>a</w:t>
      </w:r>
      <w:r>
        <w:rPr>
          <w:spacing w:val="-2"/>
        </w:rPr>
        <w:t> </w:t>
      </w:r>
      <w:r w:rsidRPr="004E30E8">
        <w:rPr>
          <w:spacing w:val="-2"/>
        </w:rPr>
        <w:t>§ lag</w:t>
      </w:r>
      <w:r>
        <w:t xml:space="preserve"> </w:t>
      </w:r>
      <w:r w:rsidRPr="004E30E8">
        <w:rPr>
          <w:spacing w:val="2"/>
        </w:rPr>
        <w:t>[1904:26</w:t>
      </w:r>
      <w:r>
        <w:rPr>
          <w:spacing w:val="2"/>
        </w:rPr>
        <w:t> </w:t>
      </w:r>
      <w:r w:rsidRPr="004E30E8">
        <w:rPr>
          <w:spacing w:val="2"/>
        </w:rPr>
        <w:t>s.</w:t>
      </w:r>
      <w:r>
        <w:rPr>
          <w:spacing w:val="2"/>
        </w:rPr>
        <w:t> </w:t>
      </w:r>
      <w:r w:rsidRPr="004E30E8">
        <w:rPr>
          <w:spacing w:val="2"/>
        </w:rPr>
        <w:t>1]</w:t>
      </w:r>
      <w:r>
        <w:rPr>
          <w:spacing w:val="2"/>
        </w:rPr>
        <w:t xml:space="preserve"> </w:t>
      </w:r>
      <w:r w:rsidRPr="004E30E8">
        <w:rPr>
          <w:spacing w:val="2"/>
        </w:rPr>
        <w:t>om vissa internationella rättsförhållanden rörande</w:t>
      </w:r>
      <w:r w:rsidRPr="00004CEF">
        <w:t xml:space="preserve"> äkten</w:t>
      </w:r>
      <w:r>
        <w:softHyphen/>
      </w:r>
      <w:r w:rsidRPr="00004CEF">
        <w:t>skap och förmynder</w:t>
      </w:r>
      <w:r>
        <w:softHyphen/>
      </w:r>
      <w:r w:rsidRPr="00004CEF">
        <w:t>skap</w:t>
      </w:r>
      <w:r>
        <w:t>, förkortad IÄL). Ända sedan erkän</w:t>
      </w:r>
      <w:r>
        <w:softHyphen/>
        <w:t xml:space="preserve">nandeförbudet för vissa utländska äktenskap infördes 2004 har det funnits en möjlighet att i undantagsfall ändå kunna erkänna </w:t>
      </w:r>
      <w:r w:rsidRPr="004E30E8">
        <w:rPr>
          <w:spacing w:val="-2"/>
        </w:rPr>
        <w:t>äkten</w:t>
      </w:r>
      <w:r w:rsidRPr="004E30E8">
        <w:rPr>
          <w:spacing w:val="-2"/>
        </w:rPr>
        <w:softHyphen/>
        <w:t>skapet i fråga genom att tillämpa den s.k. ventilen i 1</w:t>
      </w:r>
      <w:r>
        <w:rPr>
          <w:spacing w:val="-2"/>
        </w:rPr>
        <w:t> kap.</w:t>
      </w:r>
      <w:r w:rsidRPr="004E30E8">
        <w:rPr>
          <w:spacing w:val="-2"/>
        </w:rPr>
        <w:t xml:space="preserve"> 8 a</w:t>
      </w:r>
      <w:r>
        <w:rPr>
          <w:spacing w:val="-2"/>
        </w:rPr>
        <w:t> §</w:t>
      </w:r>
      <w:r w:rsidRPr="004E30E8">
        <w:rPr>
          <w:spacing w:val="-2"/>
        </w:rPr>
        <w:t xml:space="preserve"> andra</w:t>
      </w:r>
      <w:r>
        <w:t xml:space="preserve"> stycket IÄL. För att ventilen ska kunna tillämpas krävs synnerliga skäl. Ventilen är tänkt att tillämpas mycket restriktivt och endast då ett nekat erkännande av äktenskap i det enskilda fallet medför allvarliga konsekvenser eller det annars framstår som orimligt.</w:t>
      </w:r>
    </w:p>
    <w:p w14:paraId="4AB0505B" w14:textId="77777777" w:rsidR="00A050BF" w:rsidRDefault="00A050BF" w:rsidP="00DC7920">
      <w:pPr>
        <w:pStyle w:val="Brdtextmedindrag"/>
      </w:pPr>
      <w:r w:rsidRPr="00F14A97">
        <w:rPr>
          <w:spacing w:val="-4"/>
        </w:rPr>
        <w:t>Utredningens uppdrag handlar enligt direktiven om att analysera</w:t>
      </w:r>
      <w:r>
        <w:t xml:space="preserve"> </w:t>
      </w:r>
      <w:r w:rsidRPr="004E30E8">
        <w:rPr>
          <w:spacing w:val="-2"/>
        </w:rPr>
        <w:t xml:space="preserve">och ta </w:t>
      </w:r>
      <w:r w:rsidRPr="004E30E8">
        <w:rPr>
          <w:spacing w:val="-4"/>
        </w:rPr>
        <w:t>ställning till om förbudet mot erkännande av utländska</w:t>
      </w:r>
      <w:r w:rsidRPr="004E30E8">
        <w:rPr>
          <w:spacing w:val="-2"/>
        </w:rPr>
        <w:t xml:space="preserve"> mång</w:t>
      </w:r>
      <w:r w:rsidRPr="004E30E8">
        <w:rPr>
          <w:spacing w:val="-2"/>
        </w:rPr>
        <w:softHyphen/>
      </w:r>
      <w:r w:rsidRPr="004E30E8">
        <w:rPr>
          <w:spacing w:val="2"/>
        </w:rPr>
        <w:t xml:space="preserve">giften bör gälla utan undantag. Det betyder att hanteringen av </w:t>
      </w:r>
      <w:r>
        <w:t xml:space="preserve">utländska månggiften skulle skilja sig från hanteringen av övriga utländska äktenskap som omfattas av erkännandeförbudet i 1 kap. </w:t>
      </w:r>
      <w:r w:rsidRPr="004E30E8">
        <w:rPr>
          <w:spacing w:val="-4"/>
        </w:rPr>
        <w:t>8 a</w:t>
      </w:r>
      <w:r>
        <w:rPr>
          <w:spacing w:val="-4"/>
        </w:rPr>
        <w:t> §</w:t>
      </w:r>
      <w:r w:rsidRPr="004E30E8">
        <w:rPr>
          <w:spacing w:val="-4"/>
        </w:rPr>
        <w:t xml:space="preserve"> IÄL. Utredningen föreslår dock att det tas ett samlat grepp om</w:t>
      </w:r>
      <w:r>
        <w:t xml:space="preserve"> erkännandereglerna och att föränd</w:t>
      </w:r>
      <w:r>
        <w:softHyphen/>
        <w:t xml:space="preserve">ringarna som föreslås bör gälla för samtliga </w:t>
      </w:r>
      <w:r w:rsidRPr="004E30E8">
        <w:rPr>
          <w:spacing w:val="-2"/>
        </w:rPr>
        <w:t xml:space="preserve">äktenskap som omfattas av </w:t>
      </w:r>
      <w:r w:rsidRPr="004E30E8">
        <w:rPr>
          <w:spacing w:val="-2"/>
        </w:rPr>
        <w:lastRenderedPageBreak/>
        <w:t>1</w:t>
      </w:r>
      <w:r>
        <w:rPr>
          <w:spacing w:val="-2"/>
        </w:rPr>
        <w:t> </w:t>
      </w:r>
      <w:r w:rsidRPr="004E30E8">
        <w:rPr>
          <w:spacing w:val="-2"/>
        </w:rPr>
        <w:t>kap. 8 a</w:t>
      </w:r>
      <w:r>
        <w:rPr>
          <w:spacing w:val="-2"/>
        </w:rPr>
        <w:t> §</w:t>
      </w:r>
      <w:r w:rsidRPr="004E30E8">
        <w:rPr>
          <w:spacing w:val="-2"/>
        </w:rPr>
        <w:t xml:space="preserve"> IÄL. Det skulle</w:t>
      </w:r>
      <w:r>
        <w:t xml:space="preserve"> </w:t>
      </w:r>
      <w:r w:rsidRPr="004E30E8">
        <w:rPr>
          <w:spacing w:val="-2"/>
        </w:rPr>
        <w:t>vara en enklare och tydligare lösning som också skulle sända en mer</w:t>
      </w:r>
      <w:r>
        <w:t xml:space="preserve"> passande signal om Sveriges syn på dessa äktenskap. </w:t>
      </w:r>
    </w:p>
    <w:p w14:paraId="69078148" w14:textId="77777777" w:rsidR="00A050BF" w:rsidRDefault="00A050BF" w:rsidP="00DC7920">
      <w:pPr>
        <w:pStyle w:val="Brdtextmedindrag"/>
      </w:pPr>
      <w:r>
        <w:t xml:space="preserve">Utredningen föreslår en lösning som innebär att äktenskapen </w:t>
      </w:r>
      <w:r w:rsidRPr="004E30E8">
        <w:rPr>
          <w:spacing w:val="-2"/>
        </w:rPr>
        <w:t>som omfattas av 1</w:t>
      </w:r>
      <w:r>
        <w:rPr>
          <w:spacing w:val="-2"/>
        </w:rPr>
        <w:t> kap.</w:t>
      </w:r>
      <w:r w:rsidRPr="004E30E8">
        <w:rPr>
          <w:spacing w:val="-2"/>
        </w:rPr>
        <w:t xml:space="preserve"> 8 a</w:t>
      </w:r>
      <w:r>
        <w:rPr>
          <w:spacing w:val="-2"/>
        </w:rPr>
        <w:t> §</w:t>
      </w:r>
      <w:r w:rsidRPr="004E30E8">
        <w:rPr>
          <w:spacing w:val="-2"/>
        </w:rPr>
        <w:t xml:space="preserve"> IÄL, utan att erkännas som sådana, kan</w:t>
      </w:r>
      <w:r>
        <w:t xml:space="preserve"> tillerkännas vissa rättsverkningar om det finns synnerliga skäl och </w:t>
      </w:r>
      <w:r w:rsidRPr="004E30E8">
        <w:rPr>
          <w:spacing w:val="-4"/>
        </w:rPr>
        <w:t>båda parterna är över 18 år. Utredningen bedömer att en sådan regler</w:t>
      </w:r>
      <w:r w:rsidRPr="004E30E8">
        <w:rPr>
          <w:spacing w:val="-4"/>
        </w:rPr>
        <w:softHyphen/>
        <w:t>ing</w:t>
      </w:r>
      <w:r>
        <w:t xml:space="preserve"> skulle innebära att intresset av att motverka och i längden eli</w:t>
      </w:r>
      <w:r>
        <w:softHyphen/>
        <w:t>mi</w:t>
      </w:r>
      <w:r>
        <w:softHyphen/>
        <w:t>nera otillåtna äktenskap i Sverige i ännu större utsträckning värnas om. För en sådan ordning talar också intresset av klarhet och förut</w:t>
      </w:r>
      <w:r>
        <w:softHyphen/>
      </w:r>
      <w:r w:rsidRPr="004E30E8">
        <w:t>sebarhet när det gäller reglerna om erkännande av utländska äkten</w:t>
      </w:r>
      <w:r>
        <w:softHyphen/>
      </w:r>
      <w:r w:rsidRPr="004E30E8">
        <w:rPr>
          <w:spacing w:val="-2"/>
        </w:rPr>
        <w:t>skap. Den innebär nämligen att man skiljer på frågan om en persons</w:t>
      </w:r>
      <w:r>
        <w:t xml:space="preserve"> </w:t>
      </w:r>
      <w:r w:rsidRPr="004E30E8">
        <w:rPr>
          <w:spacing w:val="-2"/>
        </w:rPr>
        <w:t>civilstånd, dvs. huruvida en enskild betraktas som gift eller inte, och</w:t>
      </w:r>
      <w:r>
        <w:t xml:space="preserve"> frågan om tillämpningen av vissa rättsverkningar.</w:t>
      </w:r>
    </w:p>
    <w:p w14:paraId="5FF79945" w14:textId="77777777" w:rsidR="00A050BF" w:rsidRDefault="00A050BF" w:rsidP="00DC7920">
      <w:pPr>
        <w:pStyle w:val="Brdtextmedindrag"/>
        <w:rPr>
          <w:spacing w:val="-4"/>
        </w:rPr>
      </w:pPr>
      <w:r w:rsidRPr="004E30E8">
        <w:rPr>
          <w:spacing w:val="-4"/>
        </w:rPr>
        <w:t xml:space="preserve">Även om den föreslagna ordningen kan liknas vid ett systemskifte, </w:t>
      </w:r>
      <w:r w:rsidRPr="004E30E8">
        <w:rPr>
          <w:spacing w:val="-2"/>
        </w:rPr>
        <w:t>eftersom inga utländska äktenskap som omfattas av 1 kap. 8 a</w:t>
      </w:r>
      <w:r>
        <w:rPr>
          <w:spacing w:val="-2"/>
        </w:rPr>
        <w:t> §</w:t>
      </w:r>
      <w:r w:rsidRPr="004E30E8">
        <w:rPr>
          <w:spacing w:val="-2"/>
        </w:rPr>
        <w:t xml:space="preserve"> IÄL kommer att erkännas i Sverige, anser utredningen att den i praktiken inte kommer att skilja sig på något avgörande sätt från den ordning </w:t>
      </w:r>
      <w:r w:rsidRPr="004E30E8">
        <w:t>som gäller i dag. Redan den nuvarande ordningen utgår från tänke</w:t>
      </w:r>
      <w:r w:rsidRPr="004E30E8">
        <w:softHyphen/>
        <w:t>sättet</w:t>
      </w:r>
      <w:r w:rsidRPr="004E30E8">
        <w:rPr>
          <w:spacing w:val="-4"/>
        </w:rPr>
        <w:t xml:space="preserve"> att </w:t>
      </w:r>
      <w:r w:rsidRPr="004E30E8">
        <w:rPr>
          <w:spacing w:val="-2"/>
        </w:rPr>
        <w:t>äktenskapen som omfattas av 1</w:t>
      </w:r>
      <w:r>
        <w:rPr>
          <w:spacing w:val="-2"/>
        </w:rPr>
        <w:t> kap.</w:t>
      </w:r>
      <w:r w:rsidRPr="004E30E8">
        <w:rPr>
          <w:spacing w:val="-2"/>
        </w:rPr>
        <w:t xml:space="preserve"> 8 a</w:t>
      </w:r>
      <w:r>
        <w:rPr>
          <w:spacing w:val="-2"/>
        </w:rPr>
        <w:t> §</w:t>
      </w:r>
      <w:r w:rsidRPr="004E30E8">
        <w:rPr>
          <w:spacing w:val="-2"/>
        </w:rPr>
        <w:t xml:space="preserve"> IÄL inte erkänns</w:t>
      </w:r>
      <w:r w:rsidRPr="004E30E8">
        <w:rPr>
          <w:spacing w:val="-4"/>
        </w:rPr>
        <w:t xml:space="preserve"> här, och om en domstol eller en annan myndighet erkänner äkten</w:t>
      </w:r>
      <w:r w:rsidRPr="004E30E8">
        <w:rPr>
          <w:spacing w:val="-4"/>
        </w:rPr>
        <w:softHyphen/>
        <w:t>ska</w:t>
      </w:r>
      <w:r>
        <w:rPr>
          <w:spacing w:val="-4"/>
        </w:rPr>
        <w:softHyphen/>
      </w:r>
      <w:r w:rsidRPr="004E30E8">
        <w:rPr>
          <w:spacing w:val="-4"/>
        </w:rPr>
        <w:t xml:space="preserve">pet, </w:t>
      </w:r>
      <w:r w:rsidRPr="004E30E8">
        <w:rPr>
          <w:spacing w:val="-2"/>
        </w:rPr>
        <w:t>och därmed ger det en rättsverkan, gäller den bedömningen</w:t>
      </w:r>
      <w:r w:rsidRPr="004E30E8">
        <w:rPr>
          <w:spacing w:val="-4"/>
        </w:rPr>
        <w:t xml:space="preserve"> en</w:t>
      </w:r>
      <w:r>
        <w:rPr>
          <w:spacing w:val="-4"/>
        </w:rPr>
        <w:softHyphen/>
      </w:r>
      <w:r w:rsidRPr="004E30E8">
        <w:rPr>
          <w:spacing w:val="-5"/>
        </w:rPr>
        <w:t>dast i förhållande till den sak som domstolen eller myndigheten prövar.</w:t>
      </w:r>
      <w:r w:rsidRPr="004E30E8">
        <w:rPr>
          <w:spacing w:val="-4"/>
        </w:rPr>
        <w:t xml:space="preserve"> </w:t>
      </w:r>
    </w:p>
    <w:p w14:paraId="38BFDE68" w14:textId="77777777" w:rsidR="00A050BF" w:rsidRDefault="00A050BF" w:rsidP="00DC7920">
      <w:pPr>
        <w:pStyle w:val="Rubrik5utannumrering"/>
      </w:pPr>
      <w:r>
        <w:t>Reglerna om erkännande av utländska fullmaktsäktenskap bör inte ändras</w:t>
      </w:r>
    </w:p>
    <w:p w14:paraId="33C41CAA" w14:textId="77777777" w:rsidR="00A050BF" w:rsidRDefault="00A050BF" w:rsidP="00DC7920">
      <w:pPr>
        <w:pStyle w:val="Brdtext"/>
      </w:pPr>
      <w:r>
        <w:t>Fullmaktsäktenskap är äktenskap som har ingåtts utan båda parters närvaro. Sådana äktenskap är vanligt förekommande i stora delar av världen men kan inte ingås på giltigt sätt i Sverige (4 kap. 2 § äkten</w:t>
      </w:r>
      <w:r>
        <w:softHyphen/>
      </w:r>
      <w:r w:rsidRPr="00A33093">
        <w:rPr>
          <w:spacing w:val="-2"/>
        </w:rPr>
        <w:t>skaps</w:t>
      </w:r>
      <w:r>
        <w:rPr>
          <w:spacing w:val="-2"/>
        </w:rPr>
        <w:softHyphen/>
      </w:r>
      <w:r w:rsidRPr="00A33093">
        <w:rPr>
          <w:spacing w:val="-2"/>
        </w:rPr>
        <w:t>balken). Enligt gällande rätt erkänns inte ett äktenskap som har</w:t>
      </w:r>
      <w:r>
        <w:t xml:space="preserve"> </w:t>
      </w:r>
      <w:r w:rsidRPr="00A33093">
        <w:rPr>
          <w:spacing w:val="-2"/>
        </w:rPr>
        <w:t>ingåtts enligt utländsk lag om parterna inte var närvarande samtidigt</w:t>
      </w:r>
      <w:r>
        <w:t xml:space="preserve"> vid äktenskapets ingående och minst en av dem då hade anknytning till Sverige (1 kap. 8 a § första stycket 3 IÄL).</w:t>
      </w:r>
    </w:p>
    <w:p w14:paraId="058C7A48" w14:textId="77777777" w:rsidR="00A050BF" w:rsidRDefault="00A050BF" w:rsidP="00DC7920">
      <w:pPr>
        <w:pStyle w:val="Brdtextmedindrag"/>
      </w:pPr>
      <w:r w:rsidRPr="00A33093">
        <w:rPr>
          <w:spacing w:val="-4"/>
        </w:rPr>
        <w:t>Det är långt svårare att säkerställa att det verkligen är parternas fria</w:t>
      </w:r>
      <w:r>
        <w:t xml:space="preserve"> vilja som kommer till uttryck om en av makarna inte är närvarande när äktenskapet ingås. Fullmaktsäktenskap kan därför användas av den som vill åstadkomma att någon blir gift mot sin vilja. Samtidigt </w:t>
      </w:r>
      <w:r w:rsidRPr="00A33093">
        <w:rPr>
          <w:spacing w:val="-2"/>
        </w:rPr>
        <w:t>är det många fullmaktsäktenskap som bygger på frivillighet och som</w:t>
      </w:r>
      <w:r>
        <w:t xml:space="preserve"> av godtagbara skäl har ingåtts utan personlig och samtidig närvaro. </w:t>
      </w:r>
    </w:p>
    <w:p w14:paraId="793BCB6F" w14:textId="77777777" w:rsidR="00A050BF" w:rsidRDefault="00A050BF" w:rsidP="00DC7920">
      <w:pPr>
        <w:pStyle w:val="Brdtextmedindrag"/>
      </w:pPr>
      <w:r w:rsidRPr="00A33093">
        <w:rPr>
          <w:spacing w:val="-2"/>
        </w:rPr>
        <w:t>Utredningen har övervägt om en skärpning av reglerna om erkän</w:t>
      </w:r>
      <w:r w:rsidRPr="00A33093">
        <w:rPr>
          <w:spacing w:val="-2"/>
        </w:rPr>
        <w:softHyphen/>
        <w:t>nande</w:t>
      </w:r>
      <w:r>
        <w:t xml:space="preserve"> av fullmaktsäktenskap </w:t>
      </w:r>
      <w:r w:rsidRPr="00490EF1">
        <w:t xml:space="preserve">bör åstadkommas genom att </w:t>
      </w:r>
      <w:r w:rsidRPr="00A33093">
        <w:rPr>
          <w:spacing w:val="-2"/>
        </w:rPr>
        <w:t>anknyt</w:t>
      </w:r>
      <w:r w:rsidRPr="00A33093">
        <w:rPr>
          <w:spacing w:val="-2"/>
        </w:rPr>
        <w:softHyphen/>
        <w:t>ningskravet för fullmaktsäktenskap tas bort. Även om utredningens</w:t>
      </w:r>
      <w:r>
        <w:t xml:space="preserve"> utgångspunkt är att det finns anledning att motverka tvångsäkten</w:t>
      </w:r>
      <w:r>
        <w:softHyphen/>
        <w:t xml:space="preserve">skap, oavsett anknytning till Sverige när äktenskapet ingicks, skulle det vara en alltför långtgående åtgärd att ta bort anknytningskravet </w:t>
      </w:r>
      <w:r w:rsidRPr="00A33093">
        <w:rPr>
          <w:spacing w:val="-2"/>
        </w:rPr>
        <w:t>för fullmaktsäktenskap. Ett sådant förslag skulle vara oproportioner</w:t>
      </w:r>
      <w:r w:rsidRPr="00A33093">
        <w:rPr>
          <w:spacing w:val="-2"/>
        </w:rPr>
        <w:softHyphen/>
        <w:t>ligt</w:t>
      </w:r>
      <w:r>
        <w:t xml:space="preserve"> i förhållande till skyddsintresset eftersom det skulle leda till att en oöverskådlig mängd äktenskap skulle vägras erkännande utan att </w:t>
      </w:r>
      <w:r w:rsidRPr="00A33093">
        <w:rPr>
          <w:spacing w:val="-2"/>
        </w:rPr>
        <w:t>det finns en indikation på att samtycke hos båda parterna saknats vid</w:t>
      </w:r>
      <w:r>
        <w:t xml:space="preserve"> </w:t>
      </w:r>
      <w:r w:rsidRPr="00A33093">
        <w:rPr>
          <w:spacing w:val="-2"/>
        </w:rPr>
        <w:t>tidpunkten för äktenskapets ingående. Utredningen bedömer således</w:t>
      </w:r>
      <w:r>
        <w:t xml:space="preserve"> att fullmaktsäktenskap även fortsättningsvis bör vägras er</w:t>
      </w:r>
      <w:r>
        <w:softHyphen/>
        <w:t xml:space="preserve">kännande </w:t>
      </w:r>
      <w:r w:rsidRPr="00A33093">
        <w:rPr>
          <w:spacing w:val="-4"/>
        </w:rPr>
        <w:t>endast om minst en av parterna hade anknytning till Sverige vid</w:t>
      </w:r>
      <w:r>
        <w:t xml:space="preserve"> äkten</w:t>
      </w:r>
      <w:r>
        <w:softHyphen/>
        <w:t xml:space="preserve">skapets ingående genom medborgarskap eller hemvist. </w:t>
      </w:r>
    </w:p>
    <w:p w14:paraId="05F852C5" w14:textId="77777777" w:rsidR="00A050BF" w:rsidRDefault="00A050BF" w:rsidP="00DC7920">
      <w:pPr>
        <w:pStyle w:val="Brdtextmedindrag"/>
      </w:pPr>
      <w:r>
        <w:lastRenderedPageBreak/>
        <w:t>Utredningen har övervägt en annan tänkbar skärpning av erkän</w:t>
      </w:r>
      <w:r>
        <w:softHyphen/>
      </w:r>
      <w:r w:rsidRPr="00A33093">
        <w:rPr>
          <w:spacing w:val="-4"/>
        </w:rPr>
        <w:t>nandereglerna för fullmaktsäktenskap som innebär att vägrans</w:t>
      </w:r>
      <w:r w:rsidRPr="00A33093">
        <w:rPr>
          <w:spacing w:val="-4"/>
        </w:rPr>
        <w:softHyphen/>
        <w:t>grunden</w:t>
      </w:r>
      <w:r>
        <w:t xml:space="preserve"> a</w:t>
      </w:r>
      <w:r w:rsidRPr="00A33093">
        <w:rPr>
          <w:spacing w:val="-2"/>
        </w:rPr>
        <w:t>vseende fullmaktsäktenskap utvidgas till att även omfatta äktenskap</w:t>
      </w:r>
      <w:r>
        <w:t xml:space="preserve"> som ingåtts vid samtidig närvaro men där en eller båda parter före</w:t>
      </w:r>
      <w:r>
        <w:softHyphen/>
        <w:t>tr</w:t>
      </w:r>
      <w:r w:rsidRPr="00A33093">
        <w:rPr>
          <w:spacing w:val="-2"/>
        </w:rPr>
        <w:t>ätts av någon annan. Det är i vissa länder vanligt, eller obligatorisk</w:t>
      </w:r>
      <w:r>
        <w:t xml:space="preserve">, att en eller båda av de tilltänkta makarna företräds av ett ombud vid äktenskapets ingående, även om makarna närvarar personligen. Att </w:t>
      </w:r>
      <w:r w:rsidRPr="00A33093">
        <w:rPr>
          <w:spacing w:val="-4"/>
        </w:rPr>
        <w:t>en part måste företrädas av ombud trots sin närvaro vid äktenskapets</w:t>
      </w:r>
      <w:r>
        <w:t xml:space="preserve"> ingående ger anledning att ifråga</w:t>
      </w:r>
      <w:r>
        <w:softHyphen/>
        <w:t xml:space="preserve">sätta om äktenskapet ingåtts av egen fri vilja. </w:t>
      </w:r>
    </w:p>
    <w:p w14:paraId="228C0358" w14:textId="77777777" w:rsidR="00A050BF" w:rsidRDefault="00A050BF" w:rsidP="00DC7920">
      <w:pPr>
        <w:pStyle w:val="Brdtextmedindrag"/>
      </w:pPr>
      <w:r>
        <w:t xml:space="preserve">Utredningen bedömer dock att ett sådant förslag riskerar att träffa situationer där en ordning med ett ombud enbart fyller en symbolisk funktion och egentligen inte används i syfte att någon ska bli gift mot sin vilja. </w:t>
      </w:r>
    </w:p>
    <w:p w14:paraId="70690E26" w14:textId="77777777" w:rsidR="00A050BF" w:rsidRDefault="00A050BF" w:rsidP="00DC7920">
      <w:pPr>
        <w:pStyle w:val="Brdtextmedindrag"/>
      </w:pPr>
      <w:r w:rsidRPr="00CF3944">
        <w:rPr>
          <w:spacing w:val="-2"/>
        </w:rPr>
        <w:t>Utredningen</w:t>
      </w:r>
      <w:r>
        <w:t xml:space="preserve"> ska trots bedömningen föreslå hur en skärpning av re</w:t>
      </w:r>
      <w:r w:rsidRPr="00A33093">
        <w:rPr>
          <w:spacing w:val="-2"/>
        </w:rPr>
        <w:t>glerna om erkännande av utländska fullmaktsäktenskap kan utfor</w:t>
      </w:r>
      <w:r w:rsidRPr="00A33093">
        <w:rPr>
          <w:spacing w:val="-2"/>
        </w:rPr>
        <w:softHyphen/>
      </w:r>
      <w:r w:rsidRPr="00A33093">
        <w:rPr>
          <w:spacing w:val="-4"/>
        </w:rPr>
        <w:t>mas. Utredningen har därför lämnat ett alternativt förslag som inne</w:t>
      </w:r>
      <w:r w:rsidRPr="00A33093">
        <w:rPr>
          <w:spacing w:val="-4"/>
        </w:rPr>
        <w:softHyphen/>
        <w:t>bär</w:t>
      </w:r>
      <w:r>
        <w:t xml:space="preserve"> </w:t>
      </w:r>
      <w:r w:rsidRPr="00A33093">
        <w:rPr>
          <w:spacing w:val="-4"/>
        </w:rPr>
        <w:t>att vägransgrunden avseende fullmaktsäktenskap utvidgas till att även</w:t>
      </w:r>
      <w:r>
        <w:t xml:space="preserve"> </w:t>
      </w:r>
      <w:r w:rsidRPr="00A33093">
        <w:rPr>
          <w:spacing w:val="-2"/>
        </w:rPr>
        <w:t>omfatta äktenskap som ingåtts vid samtidig närvaro men där en eller</w:t>
      </w:r>
      <w:r>
        <w:t xml:space="preserve"> båda parter företrätts av någon annan. </w:t>
      </w:r>
    </w:p>
    <w:p w14:paraId="0950B714" w14:textId="77777777" w:rsidR="00A050BF" w:rsidRPr="00495E3D" w:rsidRDefault="00A050BF" w:rsidP="00DC7920">
      <w:pPr>
        <w:pStyle w:val="Rubrik2utannumrering"/>
      </w:pPr>
      <w:r>
        <w:t>Konsekvenser av förslagen</w:t>
      </w:r>
    </w:p>
    <w:p w14:paraId="788C23B3" w14:textId="77777777" w:rsidR="00A050BF" w:rsidRPr="00A33093" w:rsidRDefault="00A050BF" w:rsidP="00DC7920">
      <w:pPr>
        <w:pStyle w:val="Brdtext"/>
        <w:rPr>
          <w:spacing w:val="-4"/>
        </w:rPr>
      </w:pPr>
      <w:r>
        <w:t>Utredningens straffrättsliga förslag och förslaget om att hemliga tvångs</w:t>
      </w:r>
      <w:r>
        <w:softHyphen/>
        <w:t xml:space="preserve">medel ska få användas i utredningar om äktenskapstvång och </w:t>
      </w:r>
      <w:r w:rsidRPr="00A33093">
        <w:rPr>
          <w:spacing w:val="-4"/>
        </w:rPr>
        <w:t>barnäkten</w:t>
      </w:r>
      <w:r>
        <w:rPr>
          <w:spacing w:val="-4"/>
        </w:rPr>
        <w:softHyphen/>
      </w:r>
      <w:r w:rsidRPr="00A33093">
        <w:rPr>
          <w:spacing w:val="-4"/>
        </w:rPr>
        <w:t>skapsbrott kommer att medföra ökade kostnader för staten</w:t>
      </w:r>
      <w:r>
        <w:t xml:space="preserve">. </w:t>
      </w:r>
      <w:r w:rsidRPr="00A33093">
        <w:rPr>
          <w:spacing w:val="-2"/>
        </w:rPr>
        <w:t>Polismyndigheten och Kriminalvården behöver tilldelas mer resurser</w:t>
      </w:r>
      <w:r>
        <w:t xml:space="preserve"> </w:t>
      </w:r>
      <w:r w:rsidRPr="00A33093">
        <w:rPr>
          <w:spacing w:val="-2"/>
        </w:rPr>
        <w:t>på grund av förslagen. För övriga berörda myndigheter bedöms kost</w:t>
      </w:r>
      <w:r w:rsidRPr="00A33093">
        <w:rPr>
          <w:spacing w:val="-2"/>
        </w:rPr>
        <w:softHyphen/>
      </w:r>
      <w:r w:rsidRPr="00A33093">
        <w:rPr>
          <w:spacing w:val="-4"/>
        </w:rPr>
        <w:t xml:space="preserve">nadsökningarna rymmas inom befintliga anslagsramar. </w:t>
      </w:r>
    </w:p>
    <w:p w14:paraId="33427507" w14:textId="77777777" w:rsidR="00A050BF" w:rsidRDefault="00A050BF" w:rsidP="00DC7920">
      <w:pPr>
        <w:pStyle w:val="Brdtextmedindrag"/>
      </w:pPr>
      <w:r w:rsidRPr="00A33093">
        <w:rPr>
          <w:spacing w:val="-4"/>
        </w:rPr>
        <w:t>Förslagen kan även antas leda till ökade kostnader avseende rätts</w:t>
      </w:r>
      <w:r w:rsidRPr="00A33093">
        <w:rPr>
          <w:spacing w:val="-4"/>
        </w:rPr>
        <w:softHyphen/>
        <w:t>liga</w:t>
      </w:r>
      <w:r>
        <w:t xml:space="preserve"> biträden. Kostnaderna bör finansieras genom ett ökat anslag.</w:t>
      </w:r>
    </w:p>
    <w:p w14:paraId="17904FB5" w14:textId="77777777" w:rsidR="00A050BF" w:rsidRDefault="00A050BF" w:rsidP="00DC7920">
      <w:pPr>
        <w:pStyle w:val="Brdtextmedindrag"/>
      </w:pPr>
      <w:r w:rsidRPr="00A33093">
        <w:rPr>
          <w:spacing w:val="2"/>
        </w:rPr>
        <w:t>Förslaget om att äktenskap som omfattas av bestämmelsen i</w:t>
      </w:r>
      <w:r>
        <w:t xml:space="preserve"> 1 kap. 8 a § IÄL inte längre ska erkännas utan i stället tillerkännas vissa rätts</w:t>
      </w:r>
      <w:r>
        <w:softHyphen/>
        <w:t>verk</w:t>
      </w:r>
      <w:r>
        <w:softHyphen/>
        <w:t>ningar bedöms inte leda till ökade kostnader för be</w:t>
      </w:r>
      <w:r>
        <w:softHyphen/>
        <w:t xml:space="preserve">rörda myndigheter. </w:t>
      </w:r>
    </w:p>
    <w:p w14:paraId="164E9525" w14:textId="77777777" w:rsidR="00A050BF" w:rsidRDefault="00A050BF" w:rsidP="00DC7920">
      <w:pPr>
        <w:pStyle w:val="Brdtextmedindrag"/>
      </w:pPr>
      <w:r w:rsidRPr="00A33093">
        <w:rPr>
          <w:spacing w:val="-4"/>
        </w:rPr>
        <w:t>Våra straffrättsliga förslag medför i viss utsträckning konse</w:t>
      </w:r>
      <w:r w:rsidRPr="00A33093">
        <w:rPr>
          <w:spacing w:val="-4"/>
        </w:rPr>
        <w:softHyphen/>
        <w:t>kven</w:t>
      </w:r>
      <w:r w:rsidRPr="00A33093">
        <w:rPr>
          <w:spacing w:val="-4"/>
        </w:rPr>
        <w:softHyphen/>
        <w:t>ser</w:t>
      </w:r>
      <w:r>
        <w:t xml:space="preserve"> </w:t>
      </w:r>
      <w:r w:rsidRPr="00A33093">
        <w:rPr>
          <w:spacing w:val="-2"/>
        </w:rPr>
        <w:t>för brottsligheten och det brottsförebyggande arbetet. Avsikten med</w:t>
      </w:r>
      <w:r>
        <w:t xml:space="preserve"> lagänd</w:t>
      </w:r>
      <w:r>
        <w:softHyphen/>
        <w:t>ringarna som föreslås är att skapa en mer ändamålsenlig lag</w:t>
      </w:r>
      <w:r>
        <w:softHyphen/>
        <w:t xml:space="preserve">stiftning </w:t>
      </w:r>
      <w:r w:rsidRPr="00A33093">
        <w:rPr>
          <w:spacing w:val="2"/>
        </w:rPr>
        <w:t>som speglar allvaret i hedersrelaterad</w:t>
      </w:r>
      <w:r>
        <w:t xml:space="preserve"> brottslighet. Skärp</w:t>
      </w:r>
      <w:r>
        <w:softHyphen/>
      </w:r>
      <w:r w:rsidRPr="00A33093">
        <w:rPr>
          <w:spacing w:val="-2"/>
        </w:rPr>
        <w:t>ningen av straff</w:t>
      </w:r>
      <w:r>
        <w:rPr>
          <w:spacing w:val="-2"/>
        </w:rPr>
        <w:softHyphen/>
      </w:r>
      <w:r w:rsidRPr="00A33093">
        <w:rPr>
          <w:spacing w:val="-2"/>
        </w:rPr>
        <w:t>skalorna för vissa hedersrelaterade brott avses spegla</w:t>
      </w:r>
      <w:r>
        <w:t xml:space="preserve"> en strängare syn på de aktuella brotten. Vårt förslag om att hemliga tvångsmedel ska få användas i utredningar om äktenskapstvång och barnäktenskapsbrott innebär en ökad risk för den personliga integ</w:t>
      </w:r>
      <w:r>
        <w:softHyphen/>
        <w:t>riteten men bidrar samtidigt till att förbättra möjligheterna för de brottsbekämpande myndigheterna att upptäcka, utreda och lagföra hedersrelaterad brottslighet, vilket innebär en ökad rättstrygghet för enskilda.</w:t>
      </w:r>
    </w:p>
    <w:p w14:paraId="5FBC5D5E" w14:textId="77777777" w:rsidR="00A050BF" w:rsidRPr="00495E3D" w:rsidRDefault="00A050BF" w:rsidP="00DC7920">
      <w:pPr>
        <w:pStyle w:val="Brdtextmedindrag"/>
      </w:pPr>
      <w:r w:rsidRPr="00A33093">
        <w:rPr>
          <w:spacing w:val="2"/>
        </w:rPr>
        <w:t>Våra förslag kan bl.a. förväntas leda till en ökad jämställdhet</w:t>
      </w:r>
      <w:r>
        <w:t xml:space="preserve"> </w:t>
      </w:r>
      <w:r w:rsidRPr="00A33093">
        <w:rPr>
          <w:spacing w:val="-2"/>
        </w:rPr>
        <w:t>mellan män och kvinnor och förbättrade möjligheter att nå de integ</w:t>
      </w:r>
      <w:r w:rsidRPr="00A33093">
        <w:rPr>
          <w:spacing w:val="-2"/>
        </w:rPr>
        <w:softHyphen/>
        <w:t>rationspolitiska</w:t>
      </w:r>
      <w:r>
        <w:t xml:space="preserve"> målen. Vidare bedöms förslagen få positiva effekter </w:t>
      </w:r>
      <w:r w:rsidRPr="00A33093">
        <w:rPr>
          <w:spacing w:val="-2"/>
        </w:rPr>
        <w:t>för barn genom att de bidrar till att skydda dem från att fara illa och</w:t>
      </w:r>
      <w:r>
        <w:t xml:space="preserve"> stärka </w:t>
      </w:r>
      <w:r w:rsidRPr="00A33093">
        <w:rPr>
          <w:spacing w:val="2"/>
        </w:rPr>
        <w:t>deras rätt till själv</w:t>
      </w:r>
      <w:r>
        <w:rPr>
          <w:spacing w:val="2"/>
        </w:rPr>
        <w:softHyphen/>
      </w:r>
      <w:r w:rsidRPr="00A33093">
        <w:rPr>
          <w:spacing w:val="2"/>
        </w:rPr>
        <w:t>bestämmande. Även hbtqi-personer och</w:t>
      </w:r>
      <w:r>
        <w:t xml:space="preserve"> personer med funktionsnedsätt</w:t>
      </w:r>
      <w:r>
        <w:softHyphen/>
      </w:r>
      <w:r>
        <w:lastRenderedPageBreak/>
        <w:t>ning kan drabbas av hedersrelaterad brottslighet. De straffrättsliga förslagen kan bidra till att förbättra även deras rättigheter.</w:t>
      </w:r>
    </w:p>
    <w:p w14:paraId="5856D070" w14:textId="77777777" w:rsidR="00A050BF" w:rsidRDefault="00A050BF" w:rsidP="00DC7920">
      <w:pPr>
        <w:pStyle w:val="Rubrik2utannumrering"/>
      </w:pPr>
      <w:r>
        <w:t xml:space="preserve">Ikraftträdande- och övergångsbestämmelser </w:t>
      </w:r>
    </w:p>
    <w:p w14:paraId="15874B1B" w14:textId="77777777" w:rsidR="00A050BF" w:rsidRDefault="00A050BF" w:rsidP="00DC7920">
      <w:pPr>
        <w:pStyle w:val="Brdtext"/>
      </w:pPr>
      <w:r>
        <w:t xml:space="preserve">Ändringarna föreslås </w:t>
      </w:r>
      <w:r w:rsidRPr="00A80859">
        <w:t>träda i</w:t>
      </w:r>
      <w:r>
        <w:t> </w:t>
      </w:r>
      <w:r w:rsidRPr="00A80859">
        <w:t>kraft den 1</w:t>
      </w:r>
      <w:r>
        <w:t> </w:t>
      </w:r>
      <w:r w:rsidRPr="00A80859">
        <w:t>juli</w:t>
      </w:r>
      <w:r>
        <w:t> </w:t>
      </w:r>
      <w:r w:rsidRPr="00A80859">
        <w:t>2026.</w:t>
      </w:r>
    </w:p>
    <w:p w14:paraId="02590C4D" w14:textId="77777777" w:rsidR="00A050BF" w:rsidRDefault="00A050BF" w:rsidP="00DC7920">
      <w:pPr>
        <w:pStyle w:val="Brdtextmedindrag"/>
      </w:pPr>
      <w:r>
        <w:t>I fråga om reglerna om erkännande av utländska äktenskap före</w:t>
      </w:r>
      <w:r>
        <w:softHyphen/>
        <w:t xml:space="preserve">slås äldre </w:t>
      </w:r>
      <w:r w:rsidRPr="00A33093">
        <w:rPr>
          <w:spacing w:val="2"/>
        </w:rPr>
        <w:t>bestämmelser om erkännande i IÄL gälla för äktenskap</w:t>
      </w:r>
      <w:r>
        <w:t xml:space="preserve"> som har registrerats av Skatteverket i folkbokföringsdatabasen före ikraftträdandet.</w:t>
      </w:r>
    </w:p>
    <w:p w14:paraId="2D399002" w14:textId="77777777" w:rsidR="00A050BF" w:rsidRDefault="00A050BF" w:rsidP="00DC7920">
      <w:pPr>
        <w:pStyle w:val="Brdtextmedindrag"/>
      </w:pPr>
    </w:p>
    <w:p w14:paraId="70DBDC21" w14:textId="77777777" w:rsidR="00A050BF" w:rsidRDefault="00A050BF" w:rsidP="00EE3346">
      <w:pPr>
        <w:pStyle w:val="Brdtextmedindrag"/>
      </w:pPr>
    </w:p>
    <w:p w14:paraId="05C7FB5D" w14:textId="77777777" w:rsidR="00A050BF" w:rsidRDefault="00A050BF" w:rsidP="00EE3346">
      <w:pPr>
        <w:pStyle w:val="Brdtextmedindrag"/>
      </w:pPr>
    </w:p>
    <w:p w14:paraId="2E287F77" w14:textId="77777777" w:rsidR="00A050BF" w:rsidRPr="00EE3346" w:rsidRDefault="00A050BF" w:rsidP="00EE3346">
      <w:pPr>
        <w:pStyle w:val="Brdtextmedindrag"/>
        <w:sectPr w:rsidR="00A050BF" w:rsidRPr="00EE3346" w:rsidSect="00EE3346">
          <w:headerReference w:type="even" r:id="rId41"/>
          <w:headerReference w:type="default" r:id="rId42"/>
          <w:footerReference w:type="even" r:id="rId43"/>
          <w:footerReference w:type="default" r:id="rId44"/>
          <w:headerReference w:type="first" r:id="rId45"/>
          <w:footerReference w:type="first" r:id="rId46"/>
          <w:footnotePr>
            <w:numRestart w:val="eachSect"/>
          </w:footnotePr>
          <w:pgSz w:w="9356" w:h="13721" w:code="9"/>
          <w:pgMar w:top="794" w:right="2438" w:bottom="1191" w:left="1021" w:header="0" w:footer="709" w:gutter="0"/>
          <w:cols w:space="708"/>
          <w:docGrid w:linePitch="360"/>
        </w:sectPr>
      </w:pPr>
    </w:p>
    <w:p w14:paraId="7DE19030" w14:textId="77777777" w:rsidR="00A050BF" w:rsidRDefault="00A050BF" w:rsidP="00664811">
      <w:pPr>
        <w:pStyle w:val="Bilagarubrik"/>
      </w:pPr>
      <w:bookmarkStart w:id="160" w:name="_Toc221561272"/>
      <w:bookmarkStart w:id="161" w:name="_Toc224807624"/>
      <w:r>
        <w:lastRenderedPageBreak/>
        <w:t>Betänkandets lagförslag</w:t>
      </w:r>
      <w:bookmarkEnd w:id="160"/>
      <w:bookmarkEnd w:id="161"/>
    </w:p>
    <w:p w14:paraId="51658F47" w14:textId="77777777" w:rsidR="00A050BF" w:rsidRDefault="00A050BF" w:rsidP="00664811">
      <w:pPr>
        <w:pStyle w:val="Rubrik2utannumrering"/>
        <w:spacing w:before="0"/>
      </w:pPr>
      <w:bookmarkStart w:id="162" w:name="_Toc197669328"/>
      <w:r>
        <w:t>Förslag till lag om ändring i rättegångsbalken</w:t>
      </w:r>
      <w:bookmarkEnd w:id="162"/>
    </w:p>
    <w:p w14:paraId="40366ACA" w14:textId="77777777" w:rsidR="00A050BF" w:rsidRDefault="00A050BF" w:rsidP="00664811">
      <w:pPr>
        <w:pStyle w:val="Brdtext"/>
      </w:pPr>
      <w:r>
        <w:t>Härigenom föreskrivs att 27 kap. 18 a § rättegångsbalken ska ha föl</w:t>
      </w:r>
      <w:r>
        <w:softHyphen/>
        <w:t xml:space="preserve">jande lydelse. </w:t>
      </w:r>
    </w:p>
    <w:p w14:paraId="02AB929D" w14:textId="77777777" w:rsidR="00A050BF" w:rsidRDefault="00A050BF" w:rsidP="0066481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664811" w:rsidRPr="005B0E77" w14:paraId="0455E92C" w14:textId="77777777" w:rsidTr="00A9083F">
        <w:tc>
          <w:tcPr>
            <w:tcW w:w="2500" w:type="pct"/>
            <w:shd w:val="clear" w:color="auto" w:fill="auto"/>
            <w:tcMar>
              <w:left w:w="0" w:type="dxa"/>
            </w:tcMar>
          </w:tcPr>
          <w:p w14:paraId="0B24529A" w14:textId="77777777" w:rsidR="00A050BF" w:rsidRPr="005B0E77" w:rsidRDefault="00A050BF" w:rsidP="00A9083F">
            <w:pPr>
              <w:pStyle w:val="Brdtext"/>
              <w:rPr>
                <w:i/>
              </w:rPr>
            </w:pPr>
            <w:r w:rsidRPr="005B0E77">
              <w:rPr>
                <w:i/>
              </w:rPr>
              <w:t>Nuvarande lydelse</w:t>
            </w:r>
          </w:p>
        </w:tc>
        <w:tc>
          <w:tcPr>
            <w:tcW w:w="2500" w:type="pct"/>
            <w:shd w:val="clear" w:color="auto" w:fill="auto"/>
            <w:tcMar>
              <w:right w:w="0" w:type="dxa"/>
            </w:tcMar>
          </w:tcPr>
          <w:p w14:paraId="0B818EF4" w14:textId="77777777" w:rsidR="00A050BF" w:rsidRPr="005B0E77" w:rsidRDefault="00A050BF" w:rsidP="00A9083F">
            <w:pPr>
              <w:pStyle w:val="Brdtext"/>
              <w:rPr>
                <w:i/>
              </w:rPr>
            </w:pPr>
            <w:r w:rsidRPr="005B0E77">
              <w:rPr>
                <w:i/>
              </w:rPr>
              <w:t>Föreslagen lydelse</w:t>
            </w:r>
          </w:p>
        </w:tc>
      </w:tr>
    </w:tbl>
    <w:p w14:paraId="6EDEEC97" w14:textId="77777777" w:rsidR="00A050BF" w:rsidRDefault="00A050BF" w:rsidP="00664811">
      <w:pPr>
        <w:pStyle w:val="Brdtext"/>
        <w:jc w:val="center"/>
        <w:rPr>
          <w:b/>
        </w:rPr>
      </w:pPr>
    </w:p>
    <w:p w14:paraId="79274B36" w14:textId="77777777" w:rsidR="00A050BF" w:rsidRDefault="00A050BF" w:rsidP="00664811">
      <w:pPr>
        <w:pStyle w:val="Brdtext"/>
        <w:jc w:val="center"/>
        <w:rPr>
          <w:b/>
        </w:rPr>
      </w:pPr>
      <w:r>
        <w:rPr>
          <w:b/>
        </w:rPr>
        <w:t>27 kap.</w:t>
      </w:r>
    </w:p>
    <w:p w14:paraId="737D5CF6" w14:textId="77777777" w:rsidR="00A050BF" w:rsidRDefault="00A050BF" w:rsidP="00664811">
      <w:pPr>
        <w:pStyle w:val="Brdtext"/>
        <w:jc w:val="center"/>
      </w:pPr>
      <w:r>
        <w:t>18 a §</w:t>
      </w:r>
      <w:r>
        <w:rPr>
          <w:rStyle w:val="Fotnotsreferens"/>
        </w:rPr>
        <w:footnoteReference w:id="10"/>
      </w:r>
    </w:p>
    <w:p w14:paraId="2B643D6F" w14:textId="77777777" w:rsidR="00A050BF" w:rsidRDefault="00A050BF" w:rsidP="00664811">
      <w:pPr>
        <w:pStyle w:val="Brdtextmedindrag"/>
      </w:pPr>
      <w:r w:rsidRPr="00C36219">
        <w:rPr>
          <w:spacing w:val="-4"/>
        </w:rPr>
        <w:t>Hemlig avlyssning av elektronisk kommunikation får användas om</w:t>
      </w:r>
      <w:r w:rsidRPr="006C2D34">
        <w:t xml:space="preserve"> </w:t>
      </w:r>
      <w:r w:rsidRPr="00A312F3">
        <w:rPr>
          <w:spacing w:val="-4"/>
        </w:rPr>
        <w:t>någon är skäligen misstänkt för brott som avses i andra stycket och</w:t>
      </w:r>
      <w:r>
        <w:t xml:space="preserve"> </w:t>
      </w:r>
      <w:r w:rsidRPr="006C2D34">
        <w:t>åt</w:t>
      </w:r>
      <w:r>
        <w:softHyphen/>
      </w:r>
      <w:r w:rsidRPr="006C2D34">
        <w:t>gärden är av synnerlig vikt</w:t>
      </w:r>
      <w:r>
        <w:t xml:space="preserve"> </w:t>
      </w:r>
      <w:r w:rsidRPr="006C2D34">
        <w:t>för utredningen.</w:t>
      </w:r>
    </w:p>
    <w:p w14:paraId="3F958CBD" w14:textId="77777777" w:rsidR="00A050BF" w:rsidRDefault="00A050BF" w:rsidP="00664811">
      <w:pPr>
        <w:pStyle w:val="Brdtextmedindrag"/>
      </w:pPr>
      <w:r>
        <w:t>Hemlig avlyssning av elektronisk kommunikation enligt denna paragraf får användas vid en förundersökning om</w:t>
      </w:r>
    </w:p>
    <w:p w14:paraId="6744F816" w14:textId="77777777" w:rsidR="00A050BF" w:rsidRDefault="00A050BF" w:rsidP="00664811">
      <w:pPr>
        <w:pStyle w:val="Brdtextmedindrag"/>
      </w:pPr>
      <w:r>
        <w:t>1. ett brott för vilket det inte är föreskrivet lindrigare straff än fängelse i två år,</w:t>
      </w:r>
    </w:p>
    <w:tbl>
      <w:tblPr>
        <w:tblW w:w="5000" w:type="pct"/>
        <w:tblLook w:val="0600" w:firstRow="0" w:lastRow="0" w:firstColumn="0" w:lastColumn="0" w:noHBand="1" w:noVBand="1"/>
      </w:tblPr>
      <w:tblGrid>
        <w:gridCol w:w="2948"/>
        <w:gridCol w:w="2949"/>
      </w:tblGrid>
      <w:tr w:rsidR="00664811" w14:paraId="7861C9B1" w14:textId="77777777" w:rsidTr="00A9083F">
        <w:tc>
          <w:tcPr>
            <w:tcW w:w="2500" w:type="pct"/>
            <w:shd w:val="clear" w:color="auto" w:fill="auto"/>
            <w:tcMar>
              <w:left w:w="0" w:type="dxa"/>
            </w:tcMar>
          </w:tcPr>
          <w:p w14:paraId="5BEE647E" w14:textId="77777777" w:rsidR="00A050BF" w:rsidRPr="002F31F7" w:rsidRDefault="00A050BF" w:rsidP="00A9083F">
            <w:pPr>
              <w:pStyle w:val="Brdtextmedindrag"/>
            </w:pPr>
            <w:r w:rsidRPr="002F31F7">
              <w:rPr>
                <w:spacing w:val="2"/>
              </w:rPr>
              <w:t>2.</w:t>
            </w:r>
            <w:r w:rsidRPr="002F31F7">
              <w:rPr>
                <w:i/>
                <w:iCs/>
                <w:spacing w:val="2"/>
              </w:rPr>
              <w:t> </w:t>
            </w:r>
            <w:r w:rsidRPr="002F31F7">
              <w:rPr>
                <w:spacing w:val="2"/>
              </w:rPr>
              <w:t>grovt dataintrång enligt 4 kap.</w:t>
            </w:r>
            <w:r w:rsidRPr="00212B67">
              <w:t xml:space="preserve"> 9</w:t>
            </w:r>
            <w:r>
              <w:t> </w:t>
            </w:r>
            <w:r w:rsidRPr="00212B67">
              <w:t>c</w:t>
            </w:r>
            <w:r>
              <w:t> </w:t>
            </w:r>
            <w:r w:rsidRPr="00212B67">
              <w:t>§ andra stycket brotts</w:t>
            </w:r>
            <w:r>
              <w:softHyphen/>
            </w:r>
            <w:r w:rsidRPr="00212B67">
              <w:t>balken,</w:t>
            </w:r>
          </w:p>
        </w:tc>
        <w:tc>
          <w:tcPr>
            <w:tcW w:w="2500" w:type="pct"/>
            <w:shd w:val="clear" w:color="auto" w:fill="auto"/>
            <w:tcMar>
              <w:right w:w="0" w:type="dxa"/>
            </w:tcMar>
          </w:tcPr>
          <w:p w14:paraId="63922351" w14:textId="77777777" w:rsidR="00A050BF" w:rsidRPr="00806C3B" w:rsidRDefault="00A050BF" w:rsidP="00A9083F">
            <w:pPr>
              <w:pStyle w:val="Brdtextmedindrag"/>
              <w:rPr>
                <w:i/>
                <w:iCs/>
              </w:rPr>
            </w:pPr>
            <w:r w:rsidRPr="002F31F7">
              <w:rPr>
                <w:spacing w:val="-4"/>
              </w:rPr>
              <w:t>2. </w:t>
            </w:r>
            <w:r w:rsidRPr="002F31F7">
              <w:rPr>
                <w:i/>
                <w:iCs/>
                <w:spacing w:val="-4"/>
              </w:rPr>
              <w:t>äktenskapstvång, barn</w:t>
            </w:r>
            <w:r w:rsidRPr="002F31F7">
              <w:rPr>
                <w:i/>
                <w:iCs/>
                <w:spacing w:val="-4"/>
              </w:rPr>
              <w:softHyphen/>
              <w:t>äkten</w:t>
            </w:r>
            <w:r w:rsidRPr="002F31F7">
              <w:rPr>
                <w:i/>
                <w:iCs/>
                <w:spacing w:val="-4"/>
              </w:rPr>
              <w:softHyphen/>
              <w:t>skapsbrott</w:t>
            </w:r>
            <w:r w:rsidRPr="00274ADF">
              <w:rPr>
                <w:i/>
                <w:iCs/>
              </w:rPr>
              <w:t xml:space="preserve"> </w:t>
            </w:r>
            <w:r>
              <w:rPr>
                <w:i/>
                <w:iCs/>
              </w:rPr>
              <w:t>eller</w:t>
            </w:r>
            <w:r>
              <w:t xml:space="preserve"> </w:t>
            </w:r>
            <w:r w:rsidRPr="00212B67">
              <w:t xml:space="preserve">grovt dataintrång </w:t>
            </w:r>
            <w:r w:rsidRPr="002F31F7">
              <w:rPr>
                <w:spacing w:val="-6"/>
              </w:rPr>
              <w:t xml:space="preserve">enligt 4 kap. </w:t>
            </w:r>
            <w:r w:rsidRPr="002F31F7">
              <w:rPr>
                <w:i/>
                <w:iCs/>
                <w:spacing w:val="-6"/>
              </w:rPr>
              <w:t>4 c § första eller tredje</w:t>
            </w:r>
            <w:r>
              <w:rPr>
                <w:i/>
                <w:iCs/>
              </w:rPr>
              <w:t xml:space="preserve"> </w:t>
            </w:r>
            <w:r w:rsidRPr="002F31F7">
              <w:rPr>
                <w:i/>
                <w:iCs/>
                <w:spacing w:val="2"/>
              </w:rPr>
              <w:t>stycket eller</w:t>
            </w:r>
            <w:r w:rsidRPr="002F31F7">
              <w:rPr>
                <w:spacing w:val="2"/>
              </w:rPr>
              <w:t xml:space="preserve"> 9 c § andra stycket brotts</w:t>
            </w:r>
            <w:r w:rsidRPr="002F31F7">
              <w:rPr>
                <w:spacing w:val="2"/>
              </w:rPr>
              <w:softHyphen/>
              <w:t>balken,</w:t>
            </w:r>
          </w:p>
        </w:tc>
      </w:tr>
    </w:tbl>
    <w:p w14:paraId="5A838163" w14:textId="77777777" w:rsidR="00A050BF" w:rsidRDefault="00A050BF" w:rsidP="00664811">
      <w:pPr>
        <w:pStyle w:val="Brdtextmedindrag"/>
      </w:pPr>
      <w:r w:rsidRPr="00934762">
        <w:t>3</w:t>
      </w:r>
      <w:r>
        <w:t xml:space="preserve">. grovt sexuellt övergrepp, sexuellt utnyttjande av barn, sexuellt övergrepp mot barn, grovt sexuellt övergrepp mot barn, utnyttjande av barn för sexuell posering, grovt utnyttjande av barn för sexuell </w:t>
      </w:r>
      <w:r w:rsidRPr="002F31F7">
        <w:rPr>
          <w:spacing w:val="-2"/>
        </w:rPr>
        <w:t>posering, utnyttjande av barn genom köp av sexuell handling</w:t>
      </w:r>
      <w:r w:rsidRPr="002F31F7">
        <w:rPr>
          <w:spacing w:val="-4"/>
        </w:rPr>
        <w:t xml:space="preserve">, </w:t>
      </w:r>
      <w:r w:rsidRPr="002F31F7">
        <w:rPr>
          <w:spacing w:val="-2"/>
        </w:rPr>
        <w:t>sexuellt ofredande</w:t>
      </w:r>
      <w:r>
        <w:t xml:space="preserve"> mot barn eller grovt sexuellt ofredande mot barn enligt 6 kap. 2 § tredje stycket, 5 §, 6 §, 8 §, 9 § eller 10 § första eller tredje stycket brottsbalken,</w:t>
      </w:r>
    </w:p>
    <w:p w14:paraId="02079700" w14:textId="77777777" w:rsidR="00A050BF" w:rsidRDefault="00A050BF" w:rsidP="00664811">
      <w:pPr>
        <w:pStyle w:val="Brdtextmedindrag"/>
      </w:pPr>
      <w:r>
        <w:t>4. kontakt för att träffa ett barn i sexuellt syfte enligt 6 kap. 10 a § brottsbalken, om det kan antas att brottet inte leder till endast böter,</w:t>
      </w:r>
    </w:p>
    <w:p w14:paraId="78387AEB" w14:textId="77777777" w:rsidR="00A050BF" w:rsidRDefault="00A050BF" w:rsidP="00664811">
      <w:pPr>
        <w:pStyle w:val="Brdtextmedindrag"/>
      </w:pPr>
      <w:r w:rsidRPr="003A2DB0">
        <w:rPr>
          <w:spacing w:val="-2"/>
        </w:rPr>
        <w:t>5. grovt bedrägeri enligt 9 kap. 3 § brottsbalken, om gärningen har</w:t>
      </w:r>
      <w:r>
        <w:t xml:space="preserve"> begåtts med hjälp av elektronisk kommunikation,</w:t>
      </w:r>
    </w:p>
    <w:p w14:paraId="29D071C0" w14:textId="77777777" w:rsidR="00A050BF" w:rsidRDefault="00A050BF" w:rsidP="00664811">
      <w:pPr>
        <w:pStyle w:val="Brdtextmedindrag"/>
      </w:pPr>
      <w:r w:rsidRPr="003A2DB0">
        <w:rPr>
          <w:spacing w:val="-4"/>
        </w:rPr>
        <w:t>6. utpressning enligt 9 kap. 4 § första stycket brottsbalken, om det</w:t>
      </w:r>
      <w:r>
        <w:t xml:space="preserve"> kan antas att brottets straffvärde överstiger fängelse i tre månader,</w:t>
      </w:r>
    </w:p>
    <w:p w14:paraId="3CA89E34" w14:textId="77777777" w:rsidR="00A050BF" w:rsidRDefault="00A050BF" w:rsidP="00664811">
      <w:pPr>
        <w:pStyle w:val="Brdtextmedindrag"/>
      </w:pPr>
      <w:r>
        <w:t>7. sabotage enligt 13 kap. 4 § brottsbalken,</w:t>
      </w:r>
    </w:p>
    <w:p w14:paraId="2BCA075C" w14:textId="77777777" w:rsidR="00A050BF" w:rsidRDefault="00A050BF" w:rsidP="00664811">
      <w:pPr>
        <w:pStyle w:val="Brdtextmedindrag"/>
      </w:pPr>
      <w:r>
        <w:t>8. </w:t>
      </w:r>
      <w:r w:rsidRPr="00370D08">
        <w:rPr>
          <w:spacing w:val="2"/>
        </w:rPr>
        <w:t>mordbrand, allmänfarlig ödeläggelse, kapning, sjö- eller</w:t>
      </w:r>
      <w:r>
        <w:t xml:space="preserve"> </w:t>
      </w:r>
      <w:r w:rsidRPr="003A2DB0">
        <w:rPr>
          <w:spacing w:val="-4"/>
        </w:rPr>
        <w:t>luft</w:t>
      </w:r>
      <w:r w:rsidRPr="003A2DB0">
        <w:rPr>
          <w:spacing w:val="-4"/>
        </w:rPr>
        <w:softHyphen/>
        <w:t>farts</w:t>
      </w:r>
      <w:r>
        <w:rPr>
          <w:spacing w:val="-4"/>
        </w:rPr>
        <w:softHyphen/>
      </w:r>
      <w:r w:rsidRPr="003A2DB0">
        <w:rPr>
          <w:spacing w:val="-4"/>
        </w:rPr>
        <w:t>sabotage eller flygplatssabotage enligt 13 kap. 1 §, 3 § första eller</w:t>
      </w:r>
      <w:r>
        <w:t xml:space="preserve"> </w:t>
      </w:r>
      <w:r w:rsidRPr="00151471">
        <w:rPr>
          <w:spacing w:val="2"/>
        </w:rPr>
        <w:t>andra stycket, 5 a § eller 5 b § brottsbalken, om brottet innefattar sabotage</w:t>
      </w:r>
      <w:r>
        <w:t xml:space="preserve"> enligt 4 § samma kapitel,</w:t>
      </w:r>
    </w:p>
    <w:p w14:paraId="00891F6E" w14:textId="77777777" w:rsidR="00A050BF" w:rsidRDefault="00A050BF" w:rsidP="00664811">
      <w:pPr>
        <w:pStyle w:val="Brdtextmedindrag"/>
      </w:pPr>
      <w:r w:rsidRPr="003A2DB0">
        <w:rPr>
          <w:spacing w:val="-2"/>
        </w:rPr>
        <w:t>9. mened enligt 15 kap. 1 § första stycket brottsbalken, om det kan</w:t>
      </w:r>
      <w:r>
        <w:t xml:space="preserve"> antas att brottets straffvärde överstiger fängelse i tre månader,</w:t>
      </w:r>
    </w:p>
    <w:p w14:paraId="27876B9F" w14:textId="77777777" w:rsidR="00A050BF" w:rsidRDefault="00A050BF" w:rsidP="00664811">
      <w:pPr>
        <w:pStyle w:val="Brdtextmedindrag"/>
      </w:pPr>
      <w:r>
        <w:t>10. grovt barnpornografibrott eller barnpornografibrott som inte är ringa enligt 16 kap. 10 a § brottsbalken,</w:t>
      </w:r>
    </w:p>
    <w:p w14:paraId="11387022" w14:textId="77777777" w:rsidR="00A050BF" w:rsidRDefault="00A050BF" w:rsidP="00664811">
      <w:pPr>
        <w:pStyle w:val="Brdtextmedindrag"/>
      </w:pPr>
      <w:r w:rsidRPr="003A2DB0">
        <w:rPr>
          <w:spacing w:val="-4"/>
        </w:rPr>
        <w:t>11. övergrepp i rättssak eller skyddande av brottsling enligt 17 kap</w:t>
      </w:r>
      <w:r>
        <w:t xml:space="preserve">. 10 § första eller fjärde stycket eller 11 § första eller andra stycket </w:t>
      </w:r>
      <w:r w:rsidRPr="003A2DB0">
        <w:rPr>
          <w:spacing w:val="-4"/>
        </w:rPr>
        <w:t>brottsbalken, om det kan antas att brottets straffvärde överstiger fäng</w:t>
      </w:r>
      <w:r w:rsidRPr="003A2DB0">
        <w:rPr>
          <w:spacing w:val="-4"/>
        </w:rPr>
        <w:softHyphen/>
        <w:t>else</w:t>
      </w:r>
      <w:r>
        <w:t xml:space="preserve"> i tre månader,</w:t>
      </w:r>
    </w:p>
    <w:p w14:paraId="3D327E43" w14:textId="77777777" w:rsidR="00A050BF" w:rsidRDefault="00A050BF" w:rsidP="00664811">
      <w:pPr>
        <w:pStyle w:val="Brdtextmedindrag"/>
      </w:pPr>
      <w:r w:rsidRPr="003A2DB0">
        <w:rPr>
          <w:spacing w:val="-2"/>
        </w:rPr>
        <w:lastRenderedPageBreak/>
        <w:t>12. grovt skyddande av brottsling enligt 17 kap. 11 § tredje stycket</w:t>
      </w:r>
      <w:r>
        <w:t xml:space="preserve"> brottsbalken,</w:t>
      </w:r>
    </w:p>
    <w:p w14:paraId="5522B17C" w14:textId="77777777" w:rsidR="00A050BF" w:rsidRDefault="00A050BF" w:rsidP="00664811">
      <w:pPr>
        <w:pStyle w:val="Brdtextmedindrag"/>
      </w:pPr>
      <w:r>
        <w:t>13. brott mot medborgerlig frihet enligt 18 kap. 5 § brottsbalken,</w:t>
      </w:r>
    </w:p>
    <w:p w14:paraId="2EFFBBD0" w14:textId="77777777" w:rsidR="00A050BF" w:rsidRDefault="00A050BF" w:rsidP="00664811">
      <w:pPr>
        <w:pStyle w:val="Brdtextmedindrag"/>
      </w:pPr>
      <w:r>
        <w:t xml:space="preserve">14. spioneri, utlandsspioneri, obehörig befattning med hemlig uppgift, grov obehörig befattning med hemlig uppgift eller olovlig </w:t>
      </w:r>
      <w:r w:rsidRPr="003A2DB0">
        <w:rPr>
          <w:spacing w:val="-2"/>
        </w:rPr>
        <w:t>underrättelse</w:t>
      </w:r>
      <w:r>
        <w:rPr>
          <w:spacing w:val="-2"/>
        </w:rPr>
        <w:softHyphen/>
      </w:r>
      <w:r w:rsidRPr="003A2DB0">
        <w:rPr>
          <w:spacing w:val="-2"/>
        </w:rPr>
        <w:t>verksamhet mot Sverige, mot främmande makt eller mot</w:t>
      </w:r>
      <w:r>
        <w:t xml:space="preserve"> person enligt 19 kap. 5, 6 a, 7, 8, 10, 10 a eller 10 b § brottsbalken,</w:t>
      </w:r>
    </w:p>
    <w:p w14:paraId="23D4E545" w14:textId="77777777" w:rsidR="00A050BF" w:rsidRDefault="00A050BF" w:rsidP="00664811">
      <w:pPr>
        <w:pStyle w:val="Brdtextmedindrag"/>
      </w:pPr>
      <w:r w:rsidRPr="002C5825">
        <w:rPr>
          <w:spacing w:val="-4"/>
        </w:rPr>
        <w:t>15. grovt penningtvättsbrott eller näringspenningtvätt, grovt brott,</w:t>
      </w:r>
      <w:r>
        <w:t xml:space="preserve"> </w:t>
      </w:r>
      <w:r w:rsidRPr="002C5825">
        <w:rPr>
          <w:spacing w:val="-4"/>
        </w:rPr>
        <w:t>enligt 5 § eller 7 § andra stycket lagen (2014:307) om straff för penning</w:t>
      </w:r>
      <w:r w:rsidRPr="002C5825">
        <w:rPr>
          <w:spacing w:val="-4"/>
        </w:rPr>
        <w:softHyphen/>
        <w:t>tvättsbrott</w:t>
      </w:r>
      <w:r>
        <w:t>,</w:t>
      </w:r>
    </w:p>
    <w:p w14:paraId="396C3F37" w14:textId="77777777" w:rsidR="00A050BF" w:rsidRDefault="00A050BF" w:rsidP="00664811">
      <w:pPr>
        <w:pStyle w:val="Brdtextmedindrag"/>
      </w:pPr>
      <w:r w:rsidRPr="002C5825">
        <w:rPr>
          <w:spacing w:val="2"/>
        </w:rPr>
        <w:t xml:space="preserve">16. grovt insiderbrott enligt 2 kap. 1 § tredje stycket lagen </w:t>
      </w:r>
      <w:r w:rsidRPr="002C5825">
        <w:rPr>
          <w:spacing w:val="-2"/>
        </w:rPr>
        <w:t>(2016:1307) om straff för marknadsmissbruk på värdepappers</w:t>
      </w:r>
      <w:r w:rsidRPr="002C5825">
        <w:rPr>
          <w:spacing w:val="-2"/>
        </w:rPr>
        <w:softHyphen/>
        <w:t>mark</w:t>
      </w:r>
      <w:r w:rsidRPr="002C5825">
        <w:rPr>
          <w:spacing w:val="-2"/>
        </w:rPr>
        <w:softHyphen/>
        <w:t>naden,</w:t>
      </w:r>
    </w:p>
    <w:p w14:paraId="08C1EED6" w14:textId="77777777" w:rsidR="00A050BF" w:rsidRDefault="00A050BF" w:rsidP="00664811">
      <w:pPr>
        <w:pStyle w:val="Brdtextmedindrag"/>
      </w:pPr>
      <w:r w:rsidRPr="002C5825">
        <w:rPr>
          <w:spacing w:val="-2"/>
        </w:rPr>
        <w:t>17. företagsspioneri enligt 26 § lagen (2018:558) om företags</w:t>
      </w:r>
      <w:r w:rsidRPr="002C5825">
        <w:rPr>
          <w:spacing w:val="-2"/>
        </w:rPr>
        <w:softHyphen/>
        <w:t>hem</w:t>
      </w:r>
      <w:r w:rsidRPr="002C5825">
        <w:rPr>
          <w:spacing w:val="-2"/>
        </w:rPr>
        <w:softHyphen/>
        <w:t>lig</w:t>
      </w:r>
      <w:r>
        <w:rPr>
          <w:spacing w:val="-2"/>
        </w:rPr>
        <w:softHyphen/>
      </w:r>
      <w:r w:rsidRPr="002C5825">
        <w:rPr>
          <w:spacing w:val="-2"/>
        </w:rPr>
        <w:t>heter</w:t>
      </w:r>
      <w:r>
        <w:t xml:space="preserve">, om det finns anledning att anta att gärningen har begåtts på </w:t>
      </w:r>
      <w:r w:rsidRPr="002C5825">
        <w:rPr>
          <w:spacing w:val="-2"/>
        </w:rPr>
        <w:t>uppdrag av eller har understötts av en främmande makt eller av någon</w:t>
      </w:r>
      <w:r>
        <w:t xml:space="preserve"> som har agerat för en främmande makts räkning,</w:t>
      </w:r>
    </w:p>
    <w:p w14:paraId="12F430A8" w14:textId="77777777" w:rsidR="00A050BF" w:rsidRDefault="00A050BF" w:rsidP="00664811">
      <w:pPr>
        <w:pStyle w:val="Brdtextmedindrag"/>
      </w:pPr>
      <w:r>
        <w:t xml:space="preserve">18. deltagande i en terroristorganisation, samröre med en </w:t>
      </w:r>
      <w:r w:rsidRPr="002C5825">
        <w:rPr>
          <w:spacing w:val="-4"/>
        </w:rPr>
        <w:t>ter</w:t>
      </w:r>
      <w:r w:rsidRPr="002C5825">
        <w:rPr>
          <w:spacing w:val="-4"/>
        </w:rPr>
        <w:softHyphen/>
        <w:t>ro</w:t>
      </w:r>
      <w:r w:rsidRPr="002C5825">
        <w:rPr>
          <w:spacing w:val="-4"/>
        </w:rPr>
        <w:softHyphen/>
        <w:t>rist</w:t>
      </w:r>
      <w:r>
        <w:rPr>
          <w:spacing w:val="-4"/>
        </w:rPr>
        <w:softHyphen/>
      </w:r>
      <w:r w:rsidRPr="002C5825">
        <w:rPr>
          <w:spacing w:val="-4"/>
        </w:rPr>
        <w:t>organisation, finansiering av terrorism eller särskilt allvarlig brotts</w:t>
      </w:r>
      <w:r w:rsidRPr="002C5825">
        <w:rPr>
          <w:spacing w:val="-4"/>
        </w:rPr>
        <w:softHyphen/>
      </w:r>
      <w:r w:rsidRPr="00943E77">
        <w:rPr>
          <w:spacing w:val="-2"/>
        </w:rPr>
        <w:t xml:space="preserve">lighet, offentlig uppmaning till terrorism eller särskilt allvarlig </w:t>
      </w:r>
      <w:r w:rsidRPr="00943E77">
        <w:rPr>
          <w:spacing w:val="2"/>
        </w:rPr>
        <w:t>brotts</w:t>
      </w:r>
      <w:r w:rsidRPr="00943E77">
        <w:rPr>
          <w:spacing w:val="2"/>
        </w:rPr>
        <w:softHyphen/>
        <w:t>lighet, rekrytering till terrorism eller särskilt allvarlig brotts</w:t>
      </w:r>
      <w:r w:rsidRPr="00943E77">
        <w:rPr>
          <w:spacing w:val="2"/>
        </w:rPr>
        <w:softHyphen/>
        <w:t>lighet</w:t>
      </w:r>
      <w:r>
        <w:t>, utbildning för terrorism eller särskilt allvarlig brottslighet eller resa för terrorism eller särskilt allvarlig brottslighet enligt 4 a, 5, 6, 7, 8, 9 eller 10 § terrorist</w:t>
      </w:r>
      <w:r>
        <w:softHyphen/>
        <w:t>brottslagen (2022:666),</w:t>
      </w:r>
    </w:p>
    <w:p w14:paraId="3CFB5740" w14:textId="77777777" w:rsidR="00A050BF" w:rsidRDefault="00A050BF" w:rsidP="00664811">
      <w:pPr>
        <w:pStyle w:val="Brdtextmedindrag"/>
      </w:pPr>
      <w:r>
        <w:t>19. försök, förberedelse eller stämpling till ett brott som avses i 1–5, 7, 8, 10 eller 12–18, om en sådan gärning är belagd med straff,</w:t>
      </w:r>
    </w:p>
    <w:p w14:paraId="114F1143" w14:textId="77777777" w:rsidR="00A050BF" w:rsidRDefault="00A050BF" w:rsidP="00664811">
      <w:pPr>
        <w:pStyle w:val="Brdtextmedindrag"/>
      </w:pPr>
      <w:r>
        <w:t>20. försök, förberedelse eller stämpling till ett brott som avses i 6, 9 eller 11, om en sådan gärning är belagd med straff och det kan antas att gärningens straffvärde överstiger fängelse i tre månader,</w:t>
      </w:r>
    </w:p>
    <w:p w14:paraId="2155F71B" w14:textId="77777777" w:rsidR="00A050BF" w:rsidRDefault="00A050BF" w:rsidP="00664811">
      <w:pPr>
        <w:pStyle w:val="Brdtextmedindrag"/>
      </w:pPr>
      <w:r>
        <w:t>21. ett annat brott, om det kan antas att brottets straffvärde över</w:t>
      </w:r>
      <w:r>
        <w:softHyphen/>
        <w:t>stiger fängelse i två år, eller</w:t>
      </w:r>
    </w:p>
    <w:p w14:paraId="79F59063" w14:textId="77777777" w:rsidR="00A050BF" w:rsidRDefault="00A050BF" w:rsidP="00664811">
      <w:pPr>
        <w:pStyle w:val="Brdtextmedindrag"/>
      </w:pPr>
      <w:r>
        <w:t>22. flera brott, om</w:t>
      </w:r>
    </w:p>
    <w:p w14:paraId="5CB10E0A" w14:textId="77777777" w:rsidR="00A050BF" w:rsidRDefault="00A050BF" w:rsidP="00664811">
      <w:pPr>
        <w:pStyle w:val="Brdtextmedindrag"/>
      </w:pPr>
      <w:r>
        <w:t>a) en och samma person är skäligen misstänkt för samtliga brott,</w:t>
      </w:r>
    </w:p>
    <w:p w14:paraId="0F747B04" w14:textId="77777777" w:rsidR="00A050BF" w:rsidRDefault="00A050BF" w:rsidP="00664811">
      <w:pPr>
        <w:pStyle w:val="Brdtextmedindrag"/>
      </w:pPr>
      <w:r>
        <w:t>b) det kan antas att den samlade brottslighetens straffvärde över</w:t>
      </w:r>
      <w:r>
        <w:softHyphen/>
        <w:t>stiger fängelse i två år,</w:t>
      </w:r>
    </w:p>
    <w:p w14:paraId="029FF2B7" w14:textId="77777777" w:rsidR="00A050BF" w:rsidRDefault="00A050BF" w:rsidP="00664811">
      <w:pPr>
        <w:pStyle w:val="Brdtextmedindrag"/>
      </w:pPr>
      <w:r>
        <w:t xml:space="preserve">c) det kan antas att vart och ett av brotten har utgjort ett led i en </w:t>
      </w:r>
      <w:r w:rsidRPr="002C5825">
        <w:rPr>
          <w:spacing w:val="-2"/>
        </w:rPr>
        <w:t>brottslig</w:t>
      </w:r>
      <w:r>
        <w:rPr>
          <w:spacing w:val="-2"/>
        </w:rPr>
        <w:softHyphen/>
      </w:r>
      <w:r w:rsidRPr="002C5825">
        <w:rPr>
          <w:spacing w:val="-2"/>
        </w:rPr>
        <w:t>het som har utövats i organiserad form eller systematiskt, och</w:t>
      </w:r>
    </w:p>
    <w:p w14:paraId="4D2F1B0A" w14:textId="77777777" w:rsidR="00A050BF" w:rsidRPr="002C5825" w:rsidRDefault="00A050BF" w:rsidP="00664811">
      <w:pPr>
        <w:pStyle w:val="Brdtextmedindrag"/>
        <w:rPr>
          <w:spacing w:val="2"/>
        </w:rPr>
      </w:pPr>
      <w:r w:rsidRPr="002C5825">
        <w:rPr>
          <w:spacing w:val="2"/>
        </w:rPr>
        <w:t>d) det för vart och ett av brotten är föreskrivet fängelse i ett år eller mer.</w:t>
      </w:r>
    </w:p>
    <w:p w14:paraId="232D3032" w14:textId="77777777" w:rsidR="00A050BF" w:rsidRPr="00C74C45" w:rsidRDefault="00A050BF" w:rsidP="00664811">
      <w:pPr>
        <w:pStyle w:val="Brdtextmedindrag"/>
      </w:pPr>
      <w:r w:rsidRPr="00C74C45">
        <w:t>Hemlig avlyssning av elektronisk kommunikation enligt denna paragraf får endast avse ett telefonnummer eller en annan adress eller en viss elektronisk kommunikationsutrustning som</w:t>
      </w:r>
    </w:p>
    <w:p w14:paraId="179EA550" w14:textId="77777777" w:rsidR="00A050BF" w:rsidRDefault="00A050BF" w:rsidP="00664811">
      <w:pPr>
        <w:pStyle w:val="Brdtextmedindrag"/>
      </w:pPr>
      <w:r w:rsidRPr="00996515">
        <w:t>1.</w:t>
      </w:r>
      <w:r>
        <w:t> </w:t>
      </w:r>
      <w:r w:rsidRPr="00996515">
        <w:t>under</w:t>
      </w:r>
      <w:r w:rsidRPr="00C74C45">
        <w:t xml:space="preserve"> den tid som tillståndet avser innehas eller har innehafts av den misstänkte eller annars kan antas ha använts eller komma att användas av den misstänkte,</w:t>
      </w:r>
      <w:r>
        <w:t xml:space="preserve"> </w:t>
      </w:r>
      <w:r w:rsidRPr="00C74C45">
        <w:t>eller</w:t>
      </w:r>
    </w:p>
    <w:p w14:paraId="3C38BBEA" w14:textId="77777777" w:rsidR="00A050BF" w:rsidRDefault="00A050BF" w:rsidP="00664811">
      <w:pPr>
        <w:pStyle w:val="Brdtextmedindrag"/>
      </w:pPr>
      <w:r>
        <w:t>2. </w:t>
      </w:r>
      <w:r w:rsidRPr="00C74C45">
        <w:t xml:space="preserve">det finns synnerlig anledning att anta att den misstänkte under </w:t>
      </w:r>
      <w:r w:rsidRPr="002C5825">
        <w:rPr>
          <w:spacing w:val="-4"/>
        </w:rPr>
        <w:t>den tid som tillståndet avser har kontaktat eller kommer att kontakta.</w:t>
      </w:r>
    </w:p>
    <w:p w14:paraId="678DCF48" w14:textId="77777777" w:rsidR="00A050BF" w:rsidRDefault="00A050BF" w:rsidP="00664811">
      <w:pPr>
        <w:pStyle w:val="Slutstreck"/>
      </w:pPr>
      <w:r w:rsidRPr="00660EEA">
        <w:t>                      </w:t>
      </w:r>
    </w:p>
    <w:p w14:paraId="4655DDBD" w14:textId="77777777" w:rsidR="00A050BF" w:rsidRDefault="00A050BF" w:rsidP="00664811">
      <w:pPr>
        <w:pStyle w:val="Brdtextmedindrag"/>
      </w:pPr>
      <w:r>
        <w:t>Denna lag träder i kraft den 1 juli 2026.</w:t>
      </w:r>
    </w:p>
    <w:p w14:paraId="67287AAB" w14:textId="77777777" w:rsidR="00A050BF" w:rsidRDefault="00A050BF" w:rsidP="00664811">
      <w:pPr>
        <w:pStyle w:val="Brdtextmedindrag"/>
      </w:pPr>
    </w:p>
    <w:p w14:paraId="3594A618" w14:textId="77777777" w:rsidR="00A050BF" w:rsidRDefault="00A050BF" w:rsidP="00EE3346">
      <w:pPr>
        <w:pStyle w:val="Brdtextmedindrag"/>
        <w:sectPr w:rsidR="00A050BF" w:rsidSect="00EE3346">
          <w:headerReference w:type="even" r:id="rId47"/>
          <w:headerReference w:type="default" r:id="rId48"/>
          <w:footerReference w:type="even" r:id="rId49"/>
          <w:footerReference w:type="default" r:id="rId50"/>
          <w:headerReference w:type="first" r:id="rId51"/>
          <w:footerReference w:type="first" r:id="rId52"/>
          <w:footnotePr>
            <w:numRestart w:val="eachSect"/>
          </w:footnotePr>
          <w:pgSz w:w="9356" w:h="13721" w:code="9"/>
          <w:pgMar w:top="794" w:right="2438" w:bottom="1191" w:left="1021" w:header="0" w:footer="709" w:gutter="0"/>
          <w:cols w:space="708"/>
          <w:docGrid w:linePitch="360"/>
        </w:sectPr>
      </w:pPr>
    </w:p>
    <w:p w14:paraId="5BD31ABB" w14:textId="77777777" w:rsidR="00A050BF" w:rsidRDefault="00A050BF" w:rsidP="00664811">
      <w:pPr>
        <w:pStyle w:val="Rubrik2utannumrering"/>
        <w:spacing w:before="0"/>
      </w:pPr>
      <w:bookmarkStart w:id="163" w:name="_Toc197669329"/>
      <w:r>
        <w:lastRenderedPageBreak/>
        <w:t>Förslag till lag om ändring i brottsbalken</w:t>
      </w:r>
      <w:bookmarkEnd w:id="163"/>
    </w:p>
    <w:p w14:paraId="4CB54F60" w14:textId="77777777" w:rsidR="00A050BF" w:rsidRPr="00F52597" w:rsidRDefault="00A050BF" w:rsidP="00664811">
      <w:pPr>
        <w:pStyle w:val="Brdtext"/>
      </w:pPr>
      <w:r w:rsidRPr="00FF6353">
        <w:rPr>
          <w:spacing w:val="-4"/>
        </w:rPr>
        <w:t>Härigenom föreskrivs att 2 kap. 5 § och 4 kap. 4 c, 4 d och 10 §§ brotts</w:t>
      </w:r>
      <w:r w:rsidRPr="00FF6353">
        <w:rPr>
          <w:spacing w:val="-4"/>
        </w:rPr>
        <w:softHyphen/>
        <w:t>balken</w:t>
      </w:r>
      <w:r>
        <w:t xml:space="preserve"> ska ha följande lydelse.</w:t>
      </w:r>
    </w:p>
    <w:p w14:paraId="62B2EEBD" w14:textId="77777777" w:rsidR="00A050BF" w:rsidRDefault="00A050BF" w:rsidP="00664811">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664811" w:rsidRPr="005B0E77" w14:paraId="0BE7CF8B" w14:textId="77777777" w:rsidTr="00A9083F">
        <w:tc>
          <w:tcPr>
            <w:tcW w:w="2500" w:type="pct"/>
            <w:shd w:val="clear" w:color="auto" w:fill="auto"/>
            <w:tcMar>
              <w:left w:w="0" w:type="dxa"/>
            </w:tcMar>
          </w:tcPr>
          <w:p w14:paraId="057DB2D6" w14:textId="77777777" w:rsidR="00A050BF" w:rsidRPr="005B0E77" w:rsidRDefault="00A050BF" w:rsidP="00A9083F">
            <w:pPr>
              <w:pStyle w:val="Brdtext"/>
              <w:rPr>
                <w:i/>
              </w:rPr>
            </w:pPr>
            <w:r w:rsidRPr="005B0E77">
              <w:rPr>
                <w:i/>
              </w:rPr>
              <w:t>Nuvarande lydelse</w:t>
            </w:r>
          </w:p>
        </w:tc>
        <w:tc>
          <w:tcPr>
            <w:tcW w:w="2500" w:type="pct"/>
            <w:shd w:val="clear" w:color="auto" w:fill="auto"/>
            <w:tcMar>
              <w:right w:w="0" w:type="dxa"/>
            </w:tcMar>
          </w:tcPr>
          <w:p w14:paraId="42427DFB" w14:textId="77777777" w:rsidR="00A050BF" w:rsidRPr="005B0E77" w:rsidRDefault="00A050BF" w:rsidP="00A9083F">
            <w:pPr>
              <w:pStyle w:val="Brdtext"/>
              <w:rPr>
                <w:i/>
              </w:rPr>
            </w:pPr>
            <w:r w:rsidRPr="005B0E77">
              <w:rPr>
                <w:i/>
              </w:rPr>
              <w:t>Föreslagen lydelse</w:t>
            </w:r>
          </w:p>
        </w:tc>
      </w:tr>
    </w:tbl>
    <w:p w14:paraId="5711B44D" w14:textId="77777777" w:rsidR="00A050BF" w:rsidRDefault="00A050BF" w:rsidP="00664811">
      <w:pPr>
        <w:pStyle w:val="Brdtext"/>
        <w:jc w:val="center"/>
        <w:rPr>
          <w:b/>
        </w:rPr>
      </w:pPr>
    </w:p>
    <w:p w14:paraId="5D3EDFA3" w14:textId="77777777" w:rsidR="00A050BF" w:rsidRDefault="00A050BF" w:rsidP="00664811">
      <w:pPr>
        <w:pStyle w:val="Brdtext"/>
        <w:jc w:val="center"/>
        <w:rPr>
          <w:b/>
        </w:rPr>
      </w:pPr>
      <w:r>
        <w:rPr>
          <w:b/>
        </w:rPr>
        <w:t>2 kap.</w:t>
      </w:r>
    </w:p>
    <w:p w14:paraId="50165F1C" w14:textId="77777777" w:rsidR="00A050BF" w:rsidRDefault="00A050BF" w:rsidP="00664811">
      <w:pPr>
        <w:pStyle w:val="Brdtext"/>
        <w:jc w:val="center"/>
      </w:pPr>
      <w:r>
        <w:t>5 §</w:t>
      </w:r>
      <w:r>
        <w:rPr>
          <w:rStyle w:val="Fotnotsreferens"/>
        </w:rPr>
        <w:footnoteReference w:id="11"/>
      </w:r>
    </w:p>
    <w:p w14:paraId="054B886C" w14:textId="77777777" w:rsidR="00A050BF" w:rsidRDefault="00A050BF" w:rsidP="00664811">
      <w:pPr>
        <w:pStyle w:val="Brdtextmedindrag"/>
      </w:pPr>
      <w:r w:rsidRPr="00705FEA">
        <w:rPr>
          <w:spacing w:val="-2"/>
        </w:rPr>
        <w:t>I de fall som avses i 3 § 2, 3 och 5 är svensk domstol behörig en</w:t>
      </w:r>
      <w:r w:rsidRPr="00705FEA">
        <w:rPr>
          <w:spacing w:val="-2"/>
        </w:rPr>
        <w:softHyphen/>
        <w:t>dast</w:t>
      </w:r>
      <w:r>
        <w:t xml:space="preserve"> om gärningen är straffbar även enligt lagen på gärningsorten (dubbel </w:t>
      </w:r>
      <w:r w:rsidRPr="00705FEA">
        <w:rPr>
          <w:spacing w:val="-2"/>
        </w:rPr>
        <w:t>straffbarhet). Om brottet har begåtts på flera staters område är kravet</w:t>
      </w:r>
      <w:r>
        <w:t xml:space="preserve"> på dubbel straffbarhet uppfyllt om gärningen är straffbar enligt lagen på någon av gärningsorterna. Det får inte dömas till påföljd som är strängare än det svåraste straff som är föreskrivet för brottet enligt lagen på gärningsorten.</w:t>
      </w:r>
    </w:p>
    <w:p w14:paraId="3DBD4325" w14:textId="77777777" w:rsidR="00A050BF" w:rsidRDefault="00A050BF" w:rsidP="00664811">
      <w:pPr>
        <w:pStyle w:val="Brdtextmedindrag"/>
      </w:pPr>
      <w:r>
        <w:t xml:space="preserve">Första stycket gäller inte om </w:t>
      </w:r>
    </w:p>
    <w:p w14:paraId="20C5A6DA" w14:textId="77777777" w:rsidR="00A050BF" w:rsidRDefault="00A050BF" w:rsidP="00664811">
      <w:pPr>
        <w:pStyle w:val="Brdtextmedindrag"/>
      </w:pPr>
      <w:r w:rsidRPr="00256F0E">
        <w:t>1.</w:t>
      </w:r>
      <w:r>
        <w:t> brottet har begåtts av någon som tillhör Försvarsmakten på ett område där en avdelning av Försvarsmakten befann sig,</w:t>
      </w:r>
    </w:p>
    <w:p w14:paraId="599ECCD0" w14:textId="77777777" w:rsidR="00A050BF" w:rsidRDefault="00A050BF" w:rsidP="00664811">
      <w:pPr>
        <w:pStyle w:val="Brdtextmedindrag"/>
      </w:pPr>
      <w:r>
        <w:t xml:space="preserve">2. om brottet har begåtts vid tjänstgöringen av någon som är </w:t>
      </w:r>
      <w:r w:rsidRPr="00705FEA">
        <w:rPr>
          <w:spacing w:val="-2"/>
        </w:rPr>
        <w:t>anställd av en svensk myndighet för att delta i en internationell militär</w:t>
      </w:r>
      <w:r>
        <w:t xml:space="preserve"> insats eller i internationell civil krishantering,</w:t>
      </w:r>
    </w:p>
    <w:p w14:paraId="3C243CAD" w14:textId="77777777" w:rsidR="00A050BF" w:rsidRDefault="00A050BF" w:rsidP="00664811">
      <w:pPr>
        <w:pStyle w:val="Brdtextmedindrag"/>
      </w:pPr>
      <w:r>
        <w:t>3. b</w:t>
      </w:r>
      <w:r w:rsidRPr="00FA4726">
        <w:t>rott</w:t>
      </w:r>
      <w:r>
        <w:t xml:space="preserve"> för vilket det lindrigaste straff som är föreskrivet enligt svensk lag är fängelse i fyra år eller mer, och</w:t>
      </w:r>
    </w:p>
    <w:p w14:paraId="55388F04" w14:textId="77777777" w:rsidR="00A050BF" w:rsidRDefault="00A050BF" w:rsidP="00664811">
      <w:pPr>
        <w:pStyle w:val="Brdtextmedindrag"/>
      </w:pPr>
      <w:r>
        <w:t>4. brott som avses i</w:t>
      </w:r>
    </w:p>
    <w:p w14:paraId="75D361F1" w14:textId="77777777" w:rsidR="00A050BF" w:rsidRDefault="00A050BF" w:rsidP="00664811">
      <w:pPr>
        <w:pStyle w:val="Brdtextmedindrag"/>
      </w:pPr>
      <w:r>
        <w:t>a) 4 kap. 1 a, 4 c och 4 e §§ och 16 kap. 10 a § första stycket 1 och sjätte stycket eller försök till sådana brott</w:t>
      </w:r>
      <w:r w:rsidRPr="00806F67">
        <w:t>,</w:t>
      </w:r>
    </w:p>
    <w:tbl>
      <w:tblPr>
        <w:tblW w:w="5000" w:type="pct"/>
        <w:tblLook w:val="0600" w:firstRow="0" w:lastRow="0" w:firstColumn="0" w:lastColumn="0" w:noHBand="1" w:noVBand="1"/>
      </w:tblPr>
      <w:tblGrid>
        <w:gridCol w:w="2948"/>
        <w:gridCol w:w="2949"/>
      </w:tblGrid>
      <w:tr w:rsidR="00664811" w14:paraId="5FBFA74E" w14:textId="77777777" w:rsidTr="00A9083F">
        <w:tc>
          <w:tcPr>
            <w:tcW w:w="2500" w:type="pct"/>
            <w:shd w:val="clear" w:color="auto" w:fill="auto"/>
            <w:tcMar>
              <w:left w:w="0" w:type="dxa"/>
            </w:tcMar>
          </w:tcPr>
          <w:p w14:paraId="4961646B" w14:textId="77777777" w:rsidR="00A050BF" w:rsidRDefault="00A050BF" w:rsidP="00A9083F">
            <w:pPr>
              <w:pStyle w:val="Brdtextmedindrag"/>
            </w:pPr>
            <w:r w:rsidRPr="00705FEA">
              <w:rPr>
                <w:spacing w:val="-4"/>
              </w:rPr>
              <w:t>b) </w:t>
            </w:r>
            <w:r w:rsidRPr="00705FEA">
              <w:rPr>
                <w:i/>
                <w:iCs/>
                <w:spacing w:val="-4"/>
              </w:rPr>
              <w:t>4 kap. 4 § andra stycket vari</w:t>
            </w:r>
            <w:r w:rsidRPr="00705FEA">
              <w:rPr>
                <w:i/>
                <w:iCs/>
                <w:spacing w:val="-4"/>
              </w:rPr>
              <w:softHyphen/>
              <w:t>genom</w:t>
            </w:r>
            <w:r w:rsidRPr="00266474">
              <w:rPr>
                <w:i/>
                <w:iCs/>
              </w:rPr>
              <w:t xml:space="preserve"> någon förmåtts att ingå ett </w:t>
            </w:r>
            <w:r w:rsidRPr="002F01BC">
              <w:rPr>
                <w:i/>
                <w:iCs/>
                <w:spacing w:val="2"/>
              </w:rPr>
              <w:t>sådant äktenskap eller en sådan</w:t>
            </w:r>
            <w:r w:rsidRPr="00266474">
              <w:rPr>
                <w:i/>
                <w:iCs/>
              </w:rPr>
              <w:t xml:space="preserve"> </w:t>
            </w:r>
            <w:r w:rsidRPr="00705FEA">
              <w:rPr>
                <w:i/>
                <w:iCs/>
                <w:spacing w:val="-6"/>
              </w:rPr>
              <w:t>äktenskapsliknande förbindelse som</w:t>
            </w:r>
            <w:r w:rsidRPr="00266474">
              <w:rPr>
                <w:i/>
                <w:iCs/>
              </w:rPr>
              <w:t xml:space="preserve"> avses i 4 c</w:t>
            </w:r>
            <w:r>
              <w:rPr>
                <w:i/>
                <w:iCs/>
              </w:rPr>
              <w:t> §</w:t>
            </w:r>
            <w:r w:rsidRPr="00266474">
              <w:rPr>
                <w:i/>
                <w:iCs/>
              </w:rPr>
              <w:t xml:space="preserve"> eller försök till sådant brott</w:t>
            </w:r>
          </w:p>
        </w:tc>
        <w:tc>
          <w:tcPr>
            <w:tcW w:w="2500" w:type="pct"/>
            <w:shd w:val="clear" w:color="auto" w:fill="auto"/>
            <w:tcMar>
              <w:right w:w="0" w:type="dxa"/>
            </w:tcMar>
          </w:tcPr>
          <w:p w14:paraId="38563F1A" w14:textId="77777777" w:rsidR="00A050BF" w:rsidRDefault="00A050BF" w:rsidP="00A9083F">
            <w:pPr>
              <w:pStyle w:val="Brdtextmedindrag"/>
            </w:pPr>
          </w:p>
        </w:tc>
      </w:tr>
      <w:tr w:rsidR="00664811" w14:paraId="61E85291" w14:textId="77777777" w:rsidTr="00A9083F">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56823387" w14:textId="77777777" w:rsidR="00A050BF" w:rsidRDefault="00A050BF" w:rsidP="00A9083F">
            <w:pPr>
              <w:pStyle w:val="Brdtextmedindrag"/>
            </w:pPr>
            <w:r w:rsidRPr="002F6441">
              <w:rPr>
                <w:i/>
                <w:iCs/>
              </w:rPr>
              <w:t>c)</w:t>
            </w:r>
            <w:r>
              <w:t xml:space="preserve"> 6 kap. 1–6, 8, 9 och 12 §§ </w:t>
            </w:r>
            <w:r w:rsidRPr="00705FEA">
              <w:rPr>
                <w:spacing w:val="-4"/>
              </w:rPr>
              <w:t>eller försök till brott enligt 6 kap</w:t>
            </w:r>
            <w:r>
              <w:t xml:space="preserve">. </w:t>
            </w:r>
            <w:r w:rsidRPr="00705FEA">
              <w:rPr>
                <w:spacing w:val="-6"/>
              </w:rPr>
              <w:t>1, 2, 4–6, 8, 9 och 12 §§, om brottet</w:t>
            </w:r>
            <w:r>
              <w:t xml:space="preserve"> begåtts mot en person som inte fyllt arton år,</w:t>
            </w:r>
          </w:p>
          <w:p w14:paraId="5BFF93DD" w14:textId="77777777" w:rsidR="00A050BF" w:rsidRDefault="00A050BF" w:rsidP="00A9083F">
            <w:pPr>
              <w:pStyle w:val="Brdtextmedindrag"/>
            </w:pPr>
            <w:r w:rsidRPr="002F6441">
              <w:rPr>
                <w:i/>
                <w:iCs/>
              </w:rPr>
              <w:t>d)</w:t>
            </w:r>
            <w:r>
              <w:t> 14 kap. 6 § eller försök till sådant brott,</w:t>
            </w:r>
          </w:p>
          <w:p w14:paraId="76D86C9C" w14:textId="77777777" w:rsidR="00A050BF" w:rsidRDefault="00A050BF" w:rsidP="00A9083F">
            <w:pPr>
              <w:pStyle w:val="Brdtextmedindrag"/>
            </w:pPr>
            <w:r w:rsidRPr="00A46231">
              <w:rPr>
                <w:i/>
                <w:iCs/>
              </w:rPr>
              <w:t>e)</w:t>
            </w:r>
            <w:r>
              <w:t> 22 kap. 6 a och 6 b §§,</w:t>
            </w:r>
          </w:p>
          <w:p w14:paraId="67CB8904" w14:textId="77777777" w:rsidR="00A050BF" w:rsidRDefault="00A050BF" w:rsidP="00A9083F">
            <w:pPr>
              <w:pStyle w:val="Brdtextmedindrag"/>
            </w:pPr>
            <w:r w:rsidRPr="00A46231">
              <w:rPr>
                <w:i/>
                <w:iCs/>
              </w:rPr>
              <w:t>f)</w:t>
            </w:r>
            <w:r>
              <w:t> 2 § lagen (1982:316) med för</w:t>
            </w:r>
            <w:r>
              <w:softHyphen/>
              <w:t>bud mot könsstympning av kvinnor,</w:t>
            </w:r>
          </w:p>
          <w:p w14:paraId="06545179" w14:textId="77777777" w:rsidR="00A050BF" w:rsidRDefault="00A050BF" w:rsidP="00A9083F">
            <w:pPr>
              <w:pStyle w:val="Brdtextmedindrag"/>
            </w:pPr>
            <w:r w:rsidRPr="003518E0">
              <w:rPr>
                <w:i/>
                <w:iCs/>
                <w:spacing w:val="-6"/>
              </w:rPr>
              <w:t>g)</w:t>
            </w:r>
            <w:r w:rsidRPr="003518E0">
              <w:rPr>
                <w:spacing w:val="-6"/>
              </w:rPr>
              <w:t> 8 § lagen (1996:95) om vissa</w:t>
            </w:r>
            <w:r>
              <w:t xml:space="preserve"> internationella sanktioner, eller</w:t>
            </w:r>
          </w:p>
          <w:p w14:paraId="6BC63B76" w14:textId="77777777" w:rsidR="00A050BF" w:rsidRDefault="00A050BF" w:rsidP="00A9083F">
            <w:pPr>
              <w:pStyle w:val="Brdtextmedindrag"/>
            </w:pPr>
            <w:r w:rsidRPr="00A46231">
              <w:rPr>
                <w:i/>
                <w:iCs/>
              </w:rPr>
              <w:t>h)</w:t>
            </w:r>
            <w:r>
              <w:t> 19 § lagen (2023:677) om frys</w:t>
            </w:r>
            <w:r>
              <w:softHyphen/>
              <w:t>ning av tillgångar.</w:t>
            </w:r>
          </w:p>
        </w:tc>
        <w:tc>
          <w:tcPr>
            <w:tcW w:w="2500" w:type="pct"/>
            <w:shd w:val="clear" w:color="auto" w:fill="auto"/>
            <w:tcMar>
              <w:right w:w="0" w:type="dxa"/>
            </w:tcMar>
          </w:tcPr>
          <w:p w14:paraId="2EE41A06" w14:textId="77777777" w:rsidR="00A050BF" w:rsidRDefault="00A050BF" w:rsidP="00A9083F">
            <w:pPr>
              <w:pStyle w:val="Brdtextmedindrag"/>
            </w:pPr>
            <w:r w:rsidRPr="002F6441">
              <w:rPr>
                <w:i/>
                <w:iCs/>
              </w:rPr>
              <w:t>b)</w:t>
            </w:r>
            <w:r>
              <w:t xml:space="preserve"> 6 kap. 1–6, 8, 9 och 12 §§ </w:t>
            </w:r>
            <w:r w:rsidRPr="00705FEA">
              <w:rPr>
                <w:spacing w:val="-4"/>
              </w:rPr>
              <w:t>eller försök till brott enligt 6 kap</w:t>
            </w:r>
            <w:r>
              <w:t xml:space="preserve">. </w:t>
            </w:r>
            <w:r w:rsidRPr="00705FEA">
              <w:rPr>
                <w:spacing w:val="-6"/>
              </w:rPr>
              <w:t>1, 2, 4–6, 8, 9 och 12 §§, om brottet</w:t>
            </w:r>
            <w:r>
              <w:t xml:space="preserve"> begåtts mot en person som inte fyllt arton år,</w:t>
            </w:r>
          </w:p>
          <w:p w14:paraId="7FC73144" w14:textId="77777777" w:rsidR="00A050BF" w:rsidRDefault="00A050BF" w:rsidP="00A9083F">
            <w:pPr>
              <w:pStyle w:val="Brdtextmedindrag"/>
            </w:pPr>
            <w:r w:rsidRPr="002F6441">
              <w:rPr>
                <w:i/>
                <w:iCs/>
              </w:rPr>
              <w:t>c)</w:t>
            </w:r>
            <w:r>
              <w:t> 14 kap. 6 § eller försök till sådant brott,</w:t>
            </w:r>
          </w:p>
          <w:p w14:paraId="17B9FCC9" w14:textId="77777777" w:rsidR="00A050BF" w:rsidRDefault="00A050BF" w:rsidP="00A9083F">
            <w:pPr>
              <w:pStyle w:val="Brdtextmedindrag"/>
            </w:pPr>
            <w:r w:rsidRPr="00A46231">
              <w:rPr>
                <w:i/>
                <w:iCs/>
              </w:rPr>
              <w:t>d)</w:t>
            </w:r>
            <w:r>
              <w:t> 22 kap. 6 a och 6 b §§,</w:t>
            </w:r>
          </w:p>
          <w:p w14:paraId="552360E4" w14:textId="77777777" w:rsidR="00A050BF" w:rsidRDefault="00A050BF" w:rsidP="00A9083F">
            <w:pPr>
              <w:pStyle w:val="Brdtextmedindrag"/>
            </w:pPr>
            <w:r w:rsidRPr="00A46231">
              <w:rPr>
                <w:i/>
                <w:iCs/>
              </w:rPr>
              <w:t>e)</w:t>
            </w:r>
            <w:r>
              <w:t> 2 § lagen (1982:316) med förbud mot könsstympning av kvinnor,</w:t>
            </w:r>
          </w:p>
          <w:p w14:paraId="4948FBAB" w14:textId="77777777" w:rsidR="00A050BF" w:rsidRDefault="00A050BF" w:rsidP="00A9083F">
            <w:pPr>
              <w:pStyle w:val="Brdtextmedindrag"/>
            </w:pPr>
            <w:r w:rsidRPr="003518E0">
              <w:rPr>
                <w:i/>
                <w:iCs/>
                <w:spacing w:val="-4"/>
              </w:rPr>
              <w:t>f)</w:t>
            </w:r>
            <w:r w:rsidRPr="003518E0">
              <w:rPr>
                <w:spacing w:val="-4"/>
              </w:rPr>
              <w:t> 8 § lagen (1996:95) om vissa</w:t>
            </w:r>
            <w:r>
              <w:t xml:space="preserve"> internationella sanktioner, eller</w:t>
            </w:r>
          </w:p>
          <w:p w14:paraId="0FEBBE18" w14:textId="77777777" w:rsidR="00A050BF" w:rsidRDefault="00A050BF" w:rsidP="00A9083F">
            <w:pPr>
              <w:pStyle w:val="Brdtextmedindrag"/>
            </w:pPr>
            <w:r w:rsidRPr="00A46231">
              <w:rPr>
                <w:i/>
                <w:iCs/>
              </w:rPr>
              <w:t>g)</w:t>
            </w:r>
            <w:r>
              <w:t> 19 § lagen (2023:677) om frysning av tillgångar.</w:t>
            </w:r>
          </w:p>
        </w:tc>
      </w:tr>
    </w:tbl>
    <w:p w14:paraId="28B47931" w14:textId="77777777" w:rsidR="00A050BF" w:rsidRDefault="00A050BF" w:rsidP="00664811">
      <w:pPr>
        <w:pStyle w:val="Brdtext"/>
        <w:jc w:val="center"/>
        <w:rPr>
          <w:b/>
        </w:rPr>
      </w:pPr>
      <w:r>
        <w:rPr>
          <w:b/>
        </w:rPr>
        <w:lastRenderedPageBreak/>
        <w:t>4 kap.</w:t>
      </w:r>
    </w:p>
    <w:p w14:paraId="2E9A1196" w14:textId="77777777" w:rsidR="00A050BF" w:rsidRDefault="00A050BF" w:rsidP="00664811">
      <w:pPr>
        <w:pStyle w:val="Brdtext"/>
        <w:jc w:val="center"/>
        <w:rPr>
          <w:rStyle w:val="Fotnotsreferens"/>
        </w:rPr>
      </w:pPr>
      <w:r>
        <w:t>4 c §</w:t>
      </w:r>
      <w:r>
        <w:rPr>
          <w:rStyle w:val="Fotnotsreferens"/>
        </w:rPr>
        <w:footnoteReference w:customMarkFollows="1" w:id="12"/>
        <w:t>2</w:t>
      </w:r>
    </w:p>
    <w:tbl>
      <w:tblPr>
        <w:tblW w:w="5000" w:type="pct"/>
        <w:tblLook w:val="0600" w:firstRow="0" w:lastRow="0" w:firstColumn="0" w:lastColumn="0" w:noHBand="1" w:noVBand="1"/>
      </w:tblPr>
      <w:tblGrid>
        <w:gridCol w:w="2948"/>
        <w:gridCol w:w="2949"/>
      </w:tblGrid>
      <w:tr w:rsidR="00664811" w14:paraId="71AD6FE6" w14:textId="77777777" w:rsidTr="00A9083F">
        <w:tc>
          <w:tcPr>
            <w:tcW w:w="2500" w:type="pct"/>
            <w:shd w:val="clear" w:color="auto" w:fill="auto"/>
            <w:tcMar>
              <w:left w:w="0" w:type="dxa"/>
            </w:tcMar>
          </w:tcPr>
          <w:p w14:paraId="67A17797" w14:textId="77777777" w:rsidR="00A050BF" w:rsidRDefault="00A050BF" w:rsidP="00A9083F">
            <w:pPr>
              <w:pStyle w:val="Brdtextmedindrag"/>
            </w:pPr>
            <w:r w:rsidRPr="007E62E3">
              <w:t xml:space="preserve">Den som, i annat fall än som </w:t>
            </w:r>
            <w:r w:rsidRPr="00623B09">
              <w:rPr>
                <w:spacing w:val="2"/>
              </w:rPr>
              <w:t>av</w:t>
            </w:r>
            <w:r w:rsidRPr="00623B09">
              <w:rPr>
                <w:spacing w:val="2"/>
              </w:rPr>
              <w:softHyphen/>
              <w:t xml:space="preserve">ses i 1 a §, genom olaga tvång </w:t>
            </w:r>
            <w:r w:rsidRPr="00623B09">
              <w:rPr>
                <w:i/>
                <w:iCs/>
                <w:spacing w:val="2"/>
              </w:rPr>
              <w:t>eller</w:t>
            </w:r>
            <w:r w:rsidRPr="007E62E3">
              <w:t xml:space="preserve"> utnyttjande av utsatt belä</w:t>
            </w:r>
            <w:r>
              <w:softHyphen/>
            </w:r>
            <w:r w:rsidRPr="007E62E3">
              <w:t>genhet förmår en person att ingå</w:t>
            </w:r>
            <w:r>
              <w:t xml:space="preserve"> </w:t>
            </w:r>
            <w:r w:rsidRPr="007E62E3">
              <w:t xml:space="preserve">ett äktenskap som är giltigt i den stat där det ingås, i den stat enligt vars lag det ingås eller i en stat i </w:t>
            </w:r>
            <w:r w:rsidRPr="00623B09">
              <w:rPr>
                <w:spacing w:val="-6"/>
              </w:rPr>
              <w:t>vilken minst en av makarna är med</w:t>
            </w:r>
            <w:r w:rsidRPr="00623B09">
              <w:rPr>
                <w:spacing w:val="-6"/>
              </w:rPr>
              <w:softHyphen/>
            </w:r>
            <w:r w:rsidRPr="00623B09">
              <w:rPr>
                <w:spacing w:val="-4"/>
              </w:rPr>
              <w:t>borgare eller har hemvist döms för</w:t>
            </w:r>
            <w:r w:rsidRPr="007E62E3">
              <w:t xml:space="preserve"> </w:t>
            </w:r>
            <w:r w:rsidRPr="00623B09">
              <w:rPr>
                <w:i/>
                <w:iCs/>
                <w:spacing w:val="-6"/>
                <w:u w:val="single"/>
              </w:rPr>
              <w:t>äktenskapstvång</w:t>
            </w:r>
            <w:r w:rsidRPr="00623B09">
              <w:rPr>
                <w:spacing w:val="-6"/>
              </w:rPr>
              <w:t xml:space="preserve"> till fängelse i högst</w:t>
            </w:r>
            <w:r w:rsidRPr="007E62E3">
              <w:t xml:space="preserve"> </w:t>
            </w:r>
            <w:r w:rsidRPr="007E3BA8">
              <w:rPr>
                <w:i/>
                <w:iCs/>
              </w:rPr>
              <w:t>fyra</w:t>
            </w:r>
            <w:r>
              <w:t> </w:t>
            </w:r>
            <w:r w:rsidRPr="007E62E3">
              <w:t>år.</w:t>
            </w:r>
          </w:p>
          <w:p w14:paraId="3875BC5D" w14:textId="77777777" w:rsidR="00A050BF" w:rsidRDefault="00A050BF" w:rsidP="00A9083F">
            <w:pPr>
              <w:pStyle w:val="Brdtextmedindrag"/>
            </w:pPr>
          </w:p>
        </w:tc>
        <w:tc>
          <w:tcPr>
            <w:tcW w:w="2500" w:type="pct"/>
            <w:shd w:val="clear" w:color="auto" w:fill="auto"/>
            <w:tcMar>
              <w:right w:w="0" w:type="dxa"/>
            </w:tcMar>
          </w:tcPr>
          <w:p w14:paraId="17C813D4" w14:textId="77777777" w:rsidR="00A050BF" w:rsidRDefault="00A050BF" w:rsidP="00A9083F">
            <w:pPr>
              <w:pStyle w:val="Brdtextmedindrag"/>
            </w:pPr>
            <w:r w:rsidRPr="007E62E3">
              <w:t>Den som, i annat fall än som avses i 1</w:t>
            </w:r>
            <w:r>
              <w:t> </w:t>
            </w:r>
            <w:r w:rsidRPr="007E62E3">
              <w:t>a</w:t>
            </w:r>
            <w:r>
              <w:t> </w:t>
            </w:r>
            <w:r w:rsidRPr="007E62E3">
              <w:t>§, genom olaga tvång</w:t>
            </w:r>
            <w:r w:rsidRPr="00911048">
              <w:rPr>
                <w:i/>
                <w:iCs/>
              </w:rPr>
              <w:t>,</w:t>
            </w:r>
            <w:r>
              <w:t xml:space="preserve"> </w:t>
            </w:r>
            <w:r w:rsidRPr="007E62E3">
              <w:t xml:space="preserve">utnyttjande av utsatt belägenhet </w:t>
            </w:r>
            <w:r w:rsidRPr="006E2263">
              <w:rPr>
                <w:i/>
                <w:iCs/>
              </w:rPr>
              <w:t>eller vilseledande</w:t>
            </w:r>
            <w:r>
              <w:rPr>
                <w:i/>
                <w:iCs/>
              </w:rPr>
              <w:t xml:space="preserve"> angående att ett </w:t>
            </w:r>
            <w:r w:rsidRPr="00623B09">
              <w:rPr>
                <w:i/>
                <w:iCs/>
                <w:spacing w:val="-2"/>
              </w:rPr>
              <w:t>äktenskap ingås eller förutsätt</w:t>
            </w:r>
            <w:r w:rsidRPr="00623B09">
              <w:rPr>
                <w:i/>
                <w:iCs/>
                <w:spacing w:val="-2"/>
              </w:rPr>
              <w:softHyphen/>
              <w:t>ning</w:t>
            </w:r>
            <w:r w:rsidRPr="00623B09">
              <w:rPr>
                <w:i/>
                <w:iCs/>
                <w:spacing w:val="-2"/>
              </w:rPr>
              <w:softHyphen/>
            </w:r>
            <w:r w:rsidRPr="00623B09">
              <w:rPr>
                <w:i/>
                <w:iCs/>
                <w:spacing w:val="2"/>
              </w:rPr>
              <w:t>arna för äktenskapets upplösning</w:t>
            </w:r>
            <w:r w:rsidRPr="00623B09">
              <w:rPr>
                <w:spacing w:val="2"/>
              </w:rPr>
              <w:t xml:space="preserve"> för</w:t>
            </w:r>
            <w:r w:rsidRPr="00623B09">
              <w:rPr>
                <w:spacing w:val="2"/>
              </w:rPr>
              <w:softHyphen/>
              <w:t>mår</w:t>
            </w:r>
            <w:r w:rsidRPr="007E62E3">
              <w:t xml:space="preserve"> en person att ingå</w:t>
            </w:r>
            <w:r>
              <w:t xml:space="preserve"> </w:t>
            </w:r>
            <w:r w:rsidRPr="007E62E3">
              <w:t>ett äktenskap</w:t>
            </w:r>
            <w:r>
              <w:t xml:space="preserve"> </w:t>
            </w:r>
            <w:r w:rsidRPr="007E62E3">
              <w:t xml:space="preserve">som är giltigt i den stat där det ingås, i den stat enligt vars lag det ingås eller i en stat i </w:t>
            </w:r>
            <w:r w:rsidRPr="00623B09">
              <w:rPr>
                <w:spacing w:val="-6"/>
              </w:rPr>
              <w:t>vilken minst en av makarna är med</w:t>
            </w:r>
            <w:r w:rsidRPr="00623B09">
              <w:rPr>
                <w:spacing w:val="-6"/>
              </w:rPr>
              <w:softHyphen/>
              <w:t>borgare eller har hemvist döms</w:t>
            </w:r>
            <w:r w:rsidRPr="007E62E3">
              <w:t xml:space="preserve"> för </w:t>
            </w:r>
            <w:r w:rsidRPr="00623B09">
              <w:rPr>
                <w:i/>
                <w:iCs/>
                <w:spacing w:val="-2"/>
                <w:u w:val="single"/>
              </w:rPr>
              <w:t>äktenskapstvång</w:t>
            </w:r>
            <w:r w:rsidRPr="00623B09">
              <w:rPr>
                <w:spacing w:val="-2"/>
              </w:rPr>
              <w:t xml:space="preserve"> till fängelse i </w:t>
            </w:r>
            <w:r w:rsidRPr="00623B09">
              <w:rPr>
                <w:i/>
                <w:iCs/>
                <w:spacing w:val="-2"/>
              </w:rPr>
              <w:t>lägst</w:t>
            </w:r>
            <w:r>
              <w:rPr>
                <w:i/>
                <w:iCs/>
              </w:rPr>
              <w:t xml:space="preserve"> sex månader och </w:t>
            </w:r>
            <w:r w:rsidRPr="00E85400">
              <w:t>högst</w:t>
            </w:r>
            <w:r>
              <w:rPr>
                <w:i/>
                <w:iCs/>
              </w:rPr>
              <w:t xml:space="preserve"> sex </w:t>
            </w:r>
            <w:r w:rsidRPr="007E62E3">
              <w:t>år.</w:t>
            </w:r>
          </w:p>
        </w:tc>
      </w:tr>
    </w:tbl>
    <w:p w14:paraId="25AABA20" w14:textId="77777777" w:rsidR="00A050BF" w:rsidRDefault="00A050BF" w:rsidP="00664811">
      <w:pPr>
        <w:pStyle w:val="Brdtextmedindrag"/>
      </w:pPr>
      <w:r w:rsidRPr="00E85400">
        <w:t>Detsamma gäller den som på sätt som anges i första stycket</w:t>
      </w:r>
      <w:r>
        <w:t xml:space="preserve"> </w:t>
      </w:r>
      <w:r w:rsidRPr="00E85400">
        <w:t>för</w:t>
      </w:r>
      <w:r>
        <w:softHyphen/>
      </w:r>
      <w:r w:rsidRPr="00E85400">
        <w:t>mår någon att ingå en äktenskapsliknande förbindelse, om den</w:t>
      </w:r>
      <w:r>
        <w:t xml:space="preserve"> </w:t>
      </w:r>
      <w:r w:rsidRPr="00E85400">
        <w:t>ingås enligt regler som gäller inom en grupp och som</w:t>
      </w:r>
      <w:r>
        <w:t xml:space="preserve"> </w:t>
      </w:r>
    </w:p>
    <w:p w14:paraId="21B322F0" w14:textId="77777777" w:rsidR="00A050BF" w:rsidRDefault="00A050BF" w:rsidP="00664811">
      <w:pPr>
        <w:pStyle w:val="Brdtextmedindrag"/>
      </w:pPr>
      <w:r w:rsidRPr="00666CE0">
        <w:t>1.</w:t>
      </w:r>
      <w:r>
        <w:t> </w:t>
      </w:r>
      <w:r w:rsidRPr="00E85400">
        <w:t>innebär att</w:t>
      </w:r>
      <w:r>
        <w:t xml:space="preserve"> </w:t>
      </w:r>
      <w:r w:rsidRPr="00E85400">
        <w:t>parterna betraktas som makar och anses ha rät</w:t>
      </w:r>
      <w:r>
        <w:softHyphen/>
      </w:r>
      <w:r w:rsidRPr="00E85400">
        <w:t>tig</w:t>
      </w:r>
      <w:r>
        <w:softHyphen/>
      </w:r>
      <w:r w:rsidRPr="00E85400">
        <w:t>heter eller</w:t>
      </w:r>
      <w:r>
        <w:t xml:space="preserve"> </w:t>
      </w:r>
      <w:r w:rsidRPr="00E85400">
        <w:t>skyldigheter i förhållande till varandra, och</w:t>
      </w:r>
      <w:r>
        <w:t xml:space="preserve"> </w:t>
      </w:r>
    </w:p>
    <w:p w14:paraId="70500556" w14:textId="77777777" w:rsidR="00A050BF" w:rsidRDefault="00A050BF" w:rsidP="00664811">
      <w:pPr>
        <w:pStyle w:val="Brdtextmedindrag"/>
      </w:pPr>
      <w:r>
        <w:t>2. </w:t>
      </w:r>
      <w:r w:rsidRPr="00E85400">
        <w:t>innefattar frågan om upplösning av förbindelsen</w:t>
      </w:r>
      <w:r>
        <w:t>.</w:t>
      </w:r>
    </w:p>
    <w:tbl>
      <w:tblPr>
        <w:tblW w:w="5000" w:type="pct"/>
        <w:tblLook w:val="0600" w:firstRow="0" w:lastRow="0" w:firstColumn="0" w:lastColumn="0" w:noHBand="1" w:noVBand="1"/>
      </w:tblPr>
      <w:tblGrid>
        <w:gridCol w:w="2948"/>
        <w:gridCol w:w="2949"/>
      </w:tblGrid>
      <w:tr w:rsidR="00664811" w14:paraId="7931D49D" w14:textId="77777777" w:rsidTr="00A9083F">
        <w:tc>
          <w:tcPr>
            <w:tcW w:w="2500" w:type="pct"/>
            <w:shd w:val="clear" w:color="auto" w:fill="auto"/>
            <w:tcMar>
              <w:left w:w="0" w:type="dxa"/>
            </w:tcMar>
          </w:tcPr>
          <w:p w14:paraId="48E99E44" w14:textId="77777777" w:rsidR="00A050BF" w:rsidRDefault="00A050BF"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w:t>
            </w:r>
            <w:r w:rsidRPr="007E2834">
              <w:rPr>
                <w:i/>
                <w:iCs/>
                <w:spacing w:val="-4"/>
                <w:u w:val="single"/>
              </w:rPr>
              <w:softHyphen/>
              <w:t>skaps</w:t>
            </w:r>
            <w:r w:rsidRPr="007E2834">
              <w:rPr>
                <w:i/>
                <w:iCs/>
                <w:spacing w:val="-4"/>
                <w:u w:val="single"/>
              </w:rPr>
              <w:softHyphen/>
              <w:t>brott</w:t>
            </w:r>
            <w:r w:rsidRPr="004E12B0">
              <w:t xml:space="preserve"> till fängelse i högst </w:t>
            </w:r>
            <w:r w:rsidRPr="004E12B0">
              <w:rPr>
                <w:i/>
                <w:iCs/>
              </w:rPr>
              <w:t>fyra</w:t>
            </w:r>
            <w:r>
              <w:t> </w:t>
            </w:r>
            <w:r w:rsidRPr="004E12B0">
              <w:t xml:space="preserve">år. För barnäktenskapsbrott döms också den som i annat fall förmår eller tillåter en person som inte har fyllt arton år att ingå ett äktenskap som är giltigt på sätt </w:t>
            </w:r>
            <w:r w:rsidRPr="007E2834">
              <w:rPr>
                <w:spacing w:val="-4"/>
              </w:rPr>
              <w:t xml:space="preserve">som anges i första stycket eller en </w:t>
            </w:r>
            <w:r w:rsidRPr="007E2834">
              <w:t>äktenskapsliknande förbin</w:t>
            </w:r>
            <w:r w:rsidRPr="007E2834">
              <w:softHyphen/>
              <w:t>delse</w:t>
            </w:r>
            <w:r w:rsidRPr="004E12B0">
              <w:t xml:space="preserve"> </w:t>
            </w:r>
            <w:r w:rsidRPr="0077039E">
              <w:rPr>
                <w:spacing w:val="-4"/>
              </w:rPr>
              <w:t>en</w:t>
            </w:r>
            <w:r w:rsidRPr="0077039E">
              <w:rPr>
                <w:spacing w:val="-4"/>
              </w:rPr>
              <w:softHyphen/>
              <w:t>ligt vad som anges i andra styck</w:t>
            </w:r>
            <w:r w:rsidRPr="0077039E">
              <w:rPr>
                <w:spacing w:val="-4"/>
              </w:rPr>
              <w:softHyphen/>
              <w:t>et</w:t>
            </w:r>
            <w:r w:rsidRPr="004E12B0">
              <w:t>. Detta gäller även om den som begår en sådan gärning inte haft uppsåt till men varit oaktsam be</w:t>
            </w:r>
            <w:r>
              <w:softHyphen/>
            </w:r>
            <w:r w:rsidRPr="004E12B0">
              <w:t xml:space="preserve">träffande </w:t>
            </w:r>
            <w:r>
              <w:t>omständig</w:t>
            </w:r>
            <w:r>
              <w:softHyphen/>
            </w:r>
            <w:r w:rsidRPr="007E2834">
              <w:rPr>
                <w:spacing w:val="-4"/>
              </w:rPr>
              <w:t>heten att den andra personen inte</w:t>
            </w:r>
            <w:r w:rsidRPr="004E12B0">
              <w:t xml:space="preserve"> fyllt arton</w:t>
            </w:r>
            <w:r>
              <w:t> </w:t>
            </w:r>
            <w:r w:rsidRPr="004E12B0">
              <w:t>år</w:t>
            </w:r>
            <w:r>
              <w:t xml:space="preserve">. </w:t>
            </w:r>
          </w:p>
        </w:tc>
        <w:tc>
          <w:tcPr>
            <w:tcW w:w="2500" w:type="pct"/>
            <w:shd w:val="clear" w:color="auto" w:fill="auto"/>
            <w:tcMar>
              <w:right w:w="0" w:type="dxa"/>
            </w:tcMar>
          </w:tcPr>
          <w:p w14:paraId="45697171" w14:textId="77777777" w:rsidR="00A050BF" w:rsidRDefault="00A050BF"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barnäktenskaps</w:t>
            </w:r>
            <w:r w:rsidRPr="007E2834">
              <w:rPr>
                <w:i/>
                <w:iCs/>
                <w:spacing w:val="-4"/>
                <w:u w:val="single"/>
              </w:rPr>
              <w:softHyphen/>
              <w:t>brott</w:t>
            </w:r>
            <w:r w:rsidRPr="004E12B0">
              <w:t xml:space="preserve"> till fängelse </w:t>
            </w:r>
            <w:r w:rsidRPr="007E62E3">
              <w:t>i</w:t>
            </w:r>
            <w:r>
              <w:t xml:space="preserve"> </w:t>
            </w:r>
            <w:r>
              <w:rPr>
                <w:i/>
                <w:iCs/>
              </w:rPr>
              <w:t>lägst sex må</w:t>
            </w:r>
            <w:r>
              <w:rPr>
                <w:i/>
                <w:iCs/>
              </w:rPr>
              <w:softHyphen/>
              <w:t>na</w:t>
            </w:r>
            <w:r>
              <w:rPr>
                <w:i/>
                <w:iCs/>
              </w:rPr>
              <w:softHyphen/>
              <w:t xml:space="preserve">der och </w:t>
            </w:r>
            <w:r w:rsidRPr="00E85400">
              <w:t>högst</w:t>
            </w:r>
            <w:r>
              <w:rPr>
                <w:i/>
                <w:iCs/>
              </w:rPr>
              <w:t xml:space="preserve"> sex</w:t>
            </w:r>
            <w:r>
              <w:t> </w:t>
            </w:r>
            <w:r w:rsidRPr="004E12B0">
              <w:t>år.</w:t>
            </w:r>
            <w:r>
              <w:t xml:space="preserve"> </w:t>
            </w:r>
            <w:r w:rsidRPr="004E12B0">
              <w:t xml:space="preserve">För </w:t>
            </w:r>
            <w:r w:rsidRPr="00B35756">
              <w:t>barn</w:t>
            </w:r>
            <w:r>
              <w:softHyphen/>
            </w:r>
            <w:r w:rsidRPr="00B35756">
              <w:t>äktenskapsbrott</w:t>
            </w:r>
            <w:r w:rsidRPr="004E12B0">
              <w:t xml:space="preserve"> döms också den </w:t>
            </w:r>
            <w:r w:rsidRPr="007E2834">
              <w:rPr>
                <w:spacing w:val="-4"/>
              </w:rPr>
              <w:t>som i annat fall förmår eller tillåter</w:t>
            </w:r>
            <w:r w:rsidRPr="004E12B0">
              <w:t xml:space="preserve"> </w:t>
            </w:r>
            <w:r w:rsidRPr="00BB784E">
              <w:rPr>
                <w:spacing w:val="2"/>
              </w:rPr>
              <w:t>en person som inte har fyllt</w:t>
            </w:r>
            <w:r w:rsidRPr="004E12B0">
              <w:t xml:space="preserve"> </w:t>
            </w:r>
            <w:r w:rsidRPr="007E2834">
              <w:rPr>
                <w:spacing w:val="-4"/>
              </w:rPr>
              <w:t>arton år att ingå ett äkten</w:t>
            </w:r>
            <w:r w:rsidRPr="007E2834">
              <w:rPr>
                <w:spacing w:val="-4"/>
              </w:rPr>
              <w:softHyphen/>
              <w:t>skap som</w:t>
            </w:r>
            <w:r w:rsidRPr="004E12B0">
              <w:t xml:space="preserve"> </w:t>
            </w:r>
            <w:r w:rsidRPr="007E2834">
              <w:rPr>
                <w:spacing w:val="-4"/>
              </w:rPr>
              <w:t>är giltigt på sätt som anges i första</w:t>
            </w:r>
            <w:r w:rsidRPr="004E12B0">
              <w:t xml:space="preserve"> stycket eller en äkten</w:t>
            </w:r>
            <w:r>
              <w:softHyphen/>
            </w:r>
            <w:r w:rsidRPr="004E12B0">
              <w:t>skaps</w:t>
            </w:r>
            <w:r>
              <w:softHyphen/>
            </w:r>
            <w:r w:rsidRPr="004E12B0">
              <w:t>lik</w:t>
            </w:r>
            <w:r>
              <w:softHyphen/>
            </w:r>
            <w:r w:rsidRPr="004E12B0">
              <w:t xml:space="preserve">nande förbindelse enligt vad som </w:t>
            </w:r>
            <w:r w:rsidRPr="00BB784E">
              <w:rPr>
                <w:spacing w:val="-4"/>
              </w:rPr>
              <w:t>anges i andra stycket. Detta gäller</w:t>
            </w:r>
            <w:r w:rsidRPr="004E12B0">
              <w:t xml:space="preserve"> även om den som begår en sådan gärning inte haft uppsåt till men </w:t>
            </w:r>
            <w:r w:rsidRPr="00BB784E">
              <w:rPr>
                <w:spacing w:val="-4"/>
              </w:rPr>
              <w:t>varit oaktsam beträffande om</w:t>
            </w:r>
            <w:r w:rsidRPr="00BB784E">
              <w:rPr>
                <w:spacing w:val="-4"/>
              </w:rPr>
              <w:softHyphen/>
              <w:t>stän</w:t>
            </w:r>
            <w:r w:rsidRPr="00BB784E">
              <w:rPr>
                <w:spacing w:val="-4"/>
              </w:rPr>
              <w:softHyphen/>
              <w:t>digheten</w:t>
            </w:r>
            <w:r w:rsidRPr="004E12B0">
              <w:t xml:space="preserve"> att den andra per</w:t>
            </w:r>
            <w:r>
              <w:softHyphen/>
            </w:r>
            <w:r w:rsidRPr="004E12B0">
              <w:t>sonen inte fyllt arton</w:t>
            </w:r>
            <w:r>
              <w:t> </w:t>
            </w:r>
            <w:r w:rsidRPr="004E12B0">
              <w:t>år</w:t>
            </w:r>
            <w:r>
              <w:t xml:space="preserve">. </w:t>
            </w:r>
          </w:p>
        </w:tc>
      </w:tr>
    </w:tbl>
    <w:p w14:paraId="07B67FB4" w14:textId="77777777" w:rsidR="00A050BF" w:rsidRPr="008574C5" w:rsidRDefault="00A050BF" w:rsidP="00664811">
      <w:pPr>
        <w:pStyle w:val="Brdtextmedindrag"/>
        <w:ind w:firstLine="0"/>
      </w:pPr>
    </w:p>
    <w:p w14:paraId="7F4DC8D2" w14:textId="77777777" w:rsidR="00A050BF" w:rsidRPr="00D967FD" w:rsidRDefault="00A050BF" w:rsidP="00664811">
      <w:pPr>
        <w:pStyle w:val="Brdtext"/>
        <w:jc w:val="center"/>
      </w:pPr>
      <w:r w:rsidRPr="00D967FD">
        <w:t>4 d</w:t>
      </w:r>
      <w:r>
        <w:t> §</w:t>
      </w:r>
      <w:r>
        <w:rPr>
          <w:rStyle w:val="Fotnotsreferens"/>
        </w:rPr>
        <w:footnoteReference w:customMarkFollows="1" w:id="13"/>
        <w:t>3</w:t>
      </w:r>
    </w:p>
    <w:tbl>
      <w:tblPr>
        <w:tblW w:w="5000" w:type="pct"/>
        <w:tblCellMar>
          <w:left w:w="125" w:type="dxa"/>
          <w:right w:w="125" w:type="dxa"/>
        </w:tblCellMar>
        <w:tblLook w:val="0000" w:firstRow="0" w:lastRow="0" w:firstColumn="0" w:lastColumn="0" w:noHBand="0" w:noVBand="0"/>
      </w:tblPr>
      <w:tblGrid>
        <w:gridCol w:w="2948"/>
        <w:gridCol w:w="2949"/>
      </w:tblGrid>
      <w:tr w:rsidR="00664811" w14:paraId="292E4042" w14:textId="77777777" w:rsidTr="00A9083F">
        <w:tc>
          <w:tcPr>
            <w:tcW w:w="2500" w:type="pct"/>
            <w:shd w:val="clear" w:color="auto" w:fill="auto"/>
            <w:tcMar>
              <w:left w:w="0" w:type="dxa"/>
            </w:tcMar>
          </w:tcPr>
          <w:p w14:paraId="661E157A" w14:textId="77777777" w:rsidR="00A050BF" w:rsidRDefault="00A050BF" w:rsidP="00A9083F">
            <w:pPr>
              <w:pStyle w:val="Brdtextmedindrag"/>
            </w:pPr>
            <w:r w:rsidRPr="00627229">
              <w:t>Den som, i annat fall än som avses i 1</w:t>
            </w:r>
            <w:r>
              <w:t> </w:t>
            </w:r>
            <w:r w:rsidRPr="00627229">
              <w:t>a</w:t>
            </w:r>
            <w:r>
              <w:t> </w:t>
            </w:r>
            <w:r w:rsidRPr="00627229">
              <w:t xml:space="preserve">§, </w:t>
            </w:r>
            <w:r w:rsidRPr="0008535D">
              <w:t>genom</w:t>
            </w:r>
            <w:r w:rsidRPr="00F4790E">
              <w:rPr>
                <w:i/>
                <w:iCs/>
              </w:rPr>
              <w:t xml:space="preserve"> </w:t>
            </w:r>
            <w:r w:rsidRPr="0008535D">
              <w:t>vilseledande</w:t>
            </w:r>
            <w:r w:rsidRPr="00627229">
              <w:t xml:space="preserve"> förmår en person att resa till en annan stat än den där han eller hon bor, i syfte att personen ska </w:t>
            </w:r>
            <w:r w:rsidRPr="007150E6">
              <w:rPr>
                <w:spacing w:val="-2"/>
              </w:rPr>
              <w:t>ut</w:t>
            </w:r>
            <w:r w:rsidRPr="007150E6">
              <w:rPr>
                <w:spacing w:val="-2"/>
              </w:rPr>
              <w:softHyphen/>
              <w:t xml:space="preserve">sättas </w:t>
            </w:r>
            <w:r w:rsidRPr="007150E6">
              <w:rPr>
                <w:spacing w:val="-2"/>
              </w:rPr>
              <w:lastRenderedPageBreak/>
              <w:t>för en sådan gärning som</w:t>
            </w:r>
            <w:r w:rsidRPr="00627229">
              <w:t xml:space="preserve"> </w:t>
            </w:r>
            <w:r w:rsidRPr="007150E6">
              <w:rPr>
                <w:spacing w:val="-6"/>
              </w:rPr>
              <w:t xml:space="preserve">anges i 4 c §, döms för </w:t>
            </w:r>
            <w:r w:rsidRPr="007150E6">
              <w:rPr>
                <w:i/>
                <w:iCs/>
                <w:spacing w:val="-6"/>
                <w:u w:val="single"/>
              </w:rPr>
              <w:t>vilse</w:t>
            </w:r>
            <w:r w:rsidRPr="007150E6">
              <w:rPr>
                <w:i/>
                <w:iCs/>
                <w:spacing w:val="-6"/>
                <w:u w:val="single"/>
              </w:rPr>
              <w:softHyphen/>
              <w:t>led</w:t>
            </w:r>
            <w:r w:rsidRPr="007150E6">
              <w:rPr>
                <w:i/>
                <w:iCs/>
                <w:spacing w:val="-6"/>
                <w:u w:val="single"/>
              </w:rPr>
              <w:softHyphen/>
              <w:t>ande</w:t>
            </w:r>
            <w:r w:rsidRPr="00323FB8">
              <w:rPr>
                <w:i/>
                <w:iCs/>
                <w:u w:val="single"/>
              </w:rPr>
              <w:t xml:space="preserve"> till äktenskapsresa</w:t>
            </w:r>
            <w:r w:rsidRPr="00627229">
              <w:t xml:space="preserve"> till fäng</w:t>
            </w:r>
            <w:r>
              <w:softHyphen/>
            </w:r>
            <w:r w:rsidRPr="00627229">
              <w:t xml:space="preserve">else i högst </w:t>
            </w:r>
            <w:r w:rsidRPr="000F6534">
              <w:rPr>
                <w:i/>
                <w:iCs/>
              </w:rPr>
              <w:t>två</w:t>
            </w:r>
            <w:r>
              <w:t> </w:t>
            </w:r>
            <w:r w:rsidRPr="00627229">
              <w:t>år.</w:t>
            </w:r>
          </w:p>
        </w:tc>
        <w:tc>
          <w:tcPr>
            <w:tcW w:w="2500" w:type="pct"/>
            <w:shd w:val="clear" w:color="auto" w:fill="auto"/>
            <w:tcMar>
              <w:right w:w="0" w:type="dxa"/>
            </w:tcMar>
          </w:tcPr>
          <w:p w14:paraId="2B2AC675" w14:textId="77777777" w:rsidR="00A050BF" w:rsidRDefault="00A050BF" w:rsidP="00A9083F">
            <w:pPr>
              <w:pStyle w:val="Brdtextmedindrag"/>
            </w:pPr>
            <w:r w:rsidRPr="00627229">
              <w:lastRenderedPageBreak/>
              <w:t>Den som, i annat fall än som avses i 1</w:t>
            </w:r>
            <w:r>
              <w:t> </w:t>
            </w:r>
            <w:r w:rsidRPr="00627229">
              <w:t>a</w:t>
            </w:r>
            <w:r>
              <w:t> </w:t>
            </w:r>
            <w:r w:rsidRPr="00627229">
              <w:t>§,</w:t>
            </w:r>
            <w:r>
              <w:t xml:space="preserve"> </w:t>
            </w:r>
            <w:r w:rsidRPr="007E62E3">
              <w:t xml:space="preserve">genom </w:t>
            </w:r>
            <w:r w:rsidRPr="00D1092C">
              <w:rPr>
                <w:i/>
                <w:iCs/>
              </w:rPr>
              <w:t>olaga tvång, utnyttjande av utsatt belägenhet eller</w:t>
            </w:r>
            <w:r w:rsidRPr="006E2263">
              <w:rPr>
                <w:i/>
                <w:iCs/>
              </w:rPr>
              <w:t xml:space="preserve"> </w:t>
            </w:r>
            <w:r w:rsidRPr="0008535D">
              <w:t>vilseledande</w:t>
            </w:r>
            <w:r>
              <w:t xml:space="preserve"> </w:t>
            </w:r>
            <w:r w:rsidRPr="00627229">
              <w:t>förmår en per</w:t>
            </w:r>
            <w:r>
              <w:softHyphen/>
            </w:r>
            <w:r w:rsidRPr="00627229">
              <w:t xml:space="preserve">son att resa till en annan stat än den där </w:t>
            </w:r>
            <w:r w:rsidRPr="00627229">
              <w:lastRenderedPageBreak/>
              <w:t>han eller hon bor, i syfte att personen ska utsättas för en sådan gärning som anges i 4</w:t>
            </w:r>
            <w:r>
              <w:t> </w:t>
            </w:r>
            <w:r w:rsidRPr="00627229">
              <w:t>c</w:t>
            </w:r>
            <w:r>
              <w:t> </w:t>
            </w:r>
            <w:r w:rsidRPr="00627229">
              <w:t>§</w:t>
            </w:r>
            <w:r>
              <w:t xml:space="preserve"> </w:t>
            </w:r>
            <w:r w:rsidRPr="007150E6">
              <w:rPr>
                <w:i/>
                <w:iCs/>
                <w:spacing w:val="-4"/>
              </w:rPr>
              <w:t>första stycket</w:t>
            </w:r>
            <w:r w:rsidRPr="007150E6">
              <w:rPr>
                <w:spacing w:val="-4"/>
              </w:rPr>
              <w:t xml:space="preserve">, döms för </w:t>
            </w:r>
            <w:r w:rsidRPr="007150E6">
              <w:rPr>
                <w:i/>
                <w:iCs/>
                <w:spacing w:val="-4"/>
                <w:u w:val="single"/>
              </w:rPr>
              <w:t>äktenskaps</w:t>
            </w:r>
            <w:r w:rsidRPr="007150E6">
              <w:rPr>
                <w:i/>
                <w:iCs/>
                <w:spacing w:val="-4"/>
                <w:u w:val="single"/>
              </w:rPr>
              <w:softHyphen/>
            </w:r>
            <w:r w:rsidRPr="007150E6">
              <w:rPr>
                <w:i/>
                <w:iCs/>
                <w:spacing w:val="-6"/>
                <w:u w:val="single"/>
              </w:rPr>
              <w:t>resebrott</w:t>
            </w:r>
            <w:r w:rsidRPr="007150E6">
              <w:rPr>
                <w:spacing w:val="-6"/>
              </w:rPr>
              <w:t xml:space="preserve"> till fängelse i högst </w:t>
            </w:r>
            <w:r w:rsidRPr="007150E6">
              <w:rPr>
                <w:i/>
                <w:iCs/>
                <w:spacing w:val="-6"/>
              </w:rPr>
              <w:t>fyra</w:t>
            </w:r>
            <w:r>
              <w:rPr>
                <w:spacing w:val="-6"/>
              </w:rPr>
              <w:t> </w:t>
            </w:r>
            <w:r w:rsidRPr="007150E6">
              <w:rPr>
                <w:spacing w:val="-6"/>
              </w:rPr>
              <w:t>år.</w:t>
            </w:r>
          </w:p>
          <w:p w14:paraId="230C47E1" w14:textId="77777777" w:rsidR="00A050BF" w:rsidRDefault="00A050BF" w:rsidP="00A9083F">
            <w:pPr>
              <w:pStyle w:val="Brdtextmedindrag"/>
            </w:pPr>
            <w:r>
              <w:rPr>
                <w:i/>
                <w:iCs/>
              </w:rPr>
              <w:t xml:space="preserve">Den </w:t>
            </w:r>
            <w:r w:rsidRPr="00C62317">
              <w:rPr>
                <w:i/>
                <w:iCs/>
              </w:rPr>
              <w:t>som begår en gärning som avses i första stycket mot en person som inte har fyllt arton</w:t>
            </w:r>
            <w:r>
              <w:rPr>
                <w:i/>
                <w:iCs/>
              </w:rPr>
              <w:t> </w:t>
            </w:r>
            <w:r w:rsidRPr="00C62317">
              <w:rPr>
                <w:i/>
                <w:iCs/>
              </w:rPr>
              <w:t xml:space="preserve">år, döms för </w:t>
            </w:r>
            <w:r w:rsidRPr="00C62317">
              <w:rPr>
                <w:i/>
                <w:iCs/>
                <w:u w:val="single"/>
              </w:rPr>
              <w:t>äktenskapsresebrott mot barn</w:t>
            </w:r>
            <w:r w:rsidRPr="00C62317">
              <w:rPr>
                <w:i/>
                <w:iCs/>
              </w:rPr>
              <w:t xml:space="preserve"> till fängelse i högst fyra</w:t>
            </w:r>
            <w:r>
              <w:rPr>
                <w:i/>
                <w:iCs/>
              </w:rPr>
              <w:t> </w:t>
            </w:r>
            <w:r w:rsidRPr="00C62317">
              <w:rPr>
                <w:i/>
                <w:iCs/>
              </w:rPr>
              <w:t xml:space="preserve">år. För </w:t>
            </w:r>
            <w:r w:rsidRPr="00E67E13">
              <w:rPr>
                <w:i/>
                <w:iCs/>
                <w:spacing w:val="-4"/>
              </w:rPr>
              <w:t>äktenskapsresebrott mot barn döms</w:t>
            </w:r>
            <w:r w:rsidRPr="00C62317">
              <w:rPr>
                <w:i/>
                <w:iCs/>
              </w:rPr>
              <w:t xml:space="preserve"> också den som i annat fall förmår eller tillåter en person som inte har fyllt arton år att resa till en annan stat än den där han eller hon bor, i syfte att personen ska utsättas för en sådan gärning som anges i 4</w:t>
            </w:r>
            <w:r>
              <w:rPr>
                <w:i/>
                <w:iCs/>
              </w:rPr>
              <w:t> </w:t>
            </w:r>
            <w:r w:rsidRPr="00C62317">
              <w:rPr>
                <w:i/>
                <w:iCs/>
              </w:rPr>
              <w:t>c</w:t>
            </w:r>
            <w:r>
              <w:rPr>
                <w:i/>
                <w:iCs/>
              </w:rPr>
              <w:t> </w:t>
            </w:r>
            <w:r w:rsidRPr="00362906">
              <w:rPr>
                <w:i/>
                <w:iCs/>
              </w:rPr>
              <w:t xml:space="preserve">§ </w:t>
            </w:r>
            <w:r w:rsidRPr="00E67E13">
              <w:rPr>
                <w:i/>
                <w:iCs/>
                <w:spacing w:val="-4"/>
              </w:rPr>
              <w:t>tredje stycket. Detta gäller även om</w:t>
            </w:r>
            <w:r w:rsidRPr="00C62317">
              <w:rPr>
                <w:i/>
                <w:iCs/>
              </w:rPr>
              <w:t xml:space="preserve"> </w:t>
            </w:r>
            <w:r w:rsidRPr="00E67E13">
              <w:rPr>
                <w:i/>
                <w:iCs/>
                <w:spacing w:val="2"/>
              </w:rPr>
              <w:t>den som begår en sådan gärning</w:t>
            </w:r>
            <w:r w:rsidRPr="00C62317">
              <w:rPr>
                <w:i/>
                <w:iCs/>
              </w:rPr>
              <w:t xml:space="preserve"> </w:t>
            </w:r>
            <w:r w:rsidRPr="00E67E13">
              <w:rPr>
                <w:i/>
                <w:iCs/>
                <w:spacing w:val="-4"/>
              </w:rPr>
              <w:t>inte haft uppsåt till men varit oakt</w:t>
            </w:r>
            <w:r w:rsidRPr="00E67E13">
              <w:rPr>
                <w:i/>
                <w:iCs/>
                <w:spacing w:val="-4"/>
              </w:rPr>
              <w:softHyphen/>
              <w:t>sam</w:t>
            </w:r>
            <w:r w:rsidRPr="00E67E13">
              <w:rPr>
                <w:i/>
                <w:iCs/>
                <w:spacing w:val="2"/>
              </w:rPr>
              <w:t xml:space="preserve"> beträffande omständig</w:t>
            </w:r>
            <w:r w:rsidRPr="00E67E13">
              <w:rPr>
                <w:i/>
                <w:iCs/>
                <w:spacing w:val="2"/>
              </w:rPr>
              <w:softHyphen/>
              <w:t>heten att den andra personen inte fyllt</w:t>
            </w:r>
            <w:r w:rsidRPr="00C62317">
              <w:rPr>
                <w:i/>
                <w:iCs/>
              </w:rPr>
              <w:t xml:space="preserve"> arton</w:t>
            </w:r>
            <w:r>
              <w:rPr>
                <w:i/>
                <w:iCs/>
              </w:rPr>
              <w:t> </w:t>
            </w:r>
            <w:r w:rsidRPr="00C62317">
              <w:rPr>
                <w:i/>
                <w:iCs/>
              </w:rPr>
              <w:t>år.</w:t>
            </w:r>
          </w:p>
        </w:tc>
      </w:tr>
    </w:tbl>
    <w:p w14:paraId="6E63DC52" w14:textId="77777777" w:rsidR="00A050BF" w:rsidRDefault="00A050BF" w:rsidP="00664811">
      <w:pPr>
        <w:pStyle w:val="Brdtext"/>
        <w:jc w:val="center"/>
      </w:pPr>
    </w:p>
    <w:p w14:paraId="08082669" w14:textId="77777777" w:rsidR="00A050BF" w:rsidRDefault="00A050BF" w:rsidP="00664811">
      <w:pPr>
        <w:pStyle w:val="Brdtext"/>
        <w:jc w:val="center"/>
      </w:pPr>
      <w:r>
        <w:t>10 §</w:t>
      </w:r>
      <w:r>
        <w:rPr>
          <w:rStyle w:val="Fotnotsreferens"/>
        </w:rPr>
        <w:footnoteReference w:customMarkFollows="1" w:id="14"/>
        <w:t>4</w:t>
      </w:r>
    </w:p>
    <w:tbl>
      <w:tblPr>
        <w:tblW w:w="5000" w:type="pct"/>
        <w:tblCellMar>
          <w:left w:w="125" w:type="dxa"/>
          <w:right w:w="125" w:type="dxa"/>
        </w:tblCellMar>
        <w:tblLook w:val="0000" w:firstRow="0" w:lastRow="0" w:firstColumn="0" w:lastColumn="0" w:noHBand="0" w:noVBand="0"/>
      </w:tblPr>
      <w:tblGrid>
        <w:gridCol w:w="2948"/>
        <w:gridCol w:w="2949"/>
      </w:tblGrid>
      <w:tr w:rsidR="00664811" w14:paraId="1123F948" w14:textId="77777777" w:rsidTr="00A9083F">
        <w:tc>
          <w:tcPr>
            <w:tcW w:w="2500" w:type="pct"/>
            <w:shd w:val="clear" w:color="auto" w:fill="auto"/>
            <w:tcMar>
              <w:left w:w="0" w:type="dxa"/>
            </w:tcMar>
          </w:tcPr>
          <w:p w14:paraId="3BB63DEC" w14:textId="77777777" w:rsidR="00A050BF" w:rsidRDefault="00A050BF" w:rsidP="00A9083F">
            <w:pPr>
              <w:pStyle w:val="Brdtextmedindrag"/>
            </w:pPr>
            <w:r w:rsidRPr="00A20387">
              <w:t xml:space="preserve">För försök, förberedelse eller </w:t>
            </w:r>
            <w:r w:rsidRPr="00EB76FB">
              <w:rPr>
                <w:spacing w:val="-2"/>
              </w:rPr>
              <w:t xml:space="preserve">stämpling till människorov, </w:t>
            </w:r>
            <w:r w:rsidRPr="00EB76FB">
              <w:rPr>
                <w:spacing w:val="2"/>
              </w:rPr>
              <w:t>män</w:t>
            </w:r>
            <w:r w:rsidRPr="00EB76FB">
              <w:rPr>
                <w:spacing w:val="2"/>
              </w:rPr>
              <w:softHyphen/>
              <w:t>niskohandel, grov människo</w:t>
            </w:r>
            <w:r w:rsidRPr="00EB76FB">
              <w:rPr>
                <w:spacing w:val="2"/>
              </w:rPr>
              <w:softHyphen/>
              <w:t>ex</w:t>
            </w:r>
            <w:r w:rsidRPr="00EB76FB">
              <w:rPr>
                <w:spacing w:val="2"/>
              </w:rPr>
              <w:softHyphen/>
              <w:t>plo</w:t>
            </w:r>
            <w:r w:rsidRPr="00EB76FB">
              <w:rPr>
                <w:spacing w:val="2"/>
              </w:rPr>
              <w:softHyphen/>
              <w:t>atering</w:t>
            </w:r>
            <w:r w:rsidRPr="00EB76FB">
              <w:t xml:space="preserve"> eller olaga frihets</w:t>
            </w:r>
            <w:r w:rsidRPr="00EB76FB">
              <w:softHyphen/>
              <w:t>be</w:t>
            </w:r>
            <w:r>
              <w:softHyphen/>
            </w:r>
            <w:r w:rsidRPr="00EB76FB">
              <w:rPr>
                <w:spacing w:val="-4"/>
              </w:rPr>
              <w:t>rövande och för underlåtenhet att</w:t>
            </w:r>
            <w:r w:rsidRPr="00A20387">
              <w:t xml:space="preserve"> avslöja eller förhindra ett sådant brott döms det till ansvar enligt 23</w:t>
            </w:r>
            <w:r>
              <w:t> </w:t>
            </w:r>
            <w:r w:rsidRPr="00A20387">
              <w:t>kap. Detsamma gäller för för</w:t>
            </w:r>
            <w:r>
              <w:softHyphen/>
            </w:r>
            <w:r w:rsidRPr="00A20387">
              <w:t>sök, förberedelse eller stämpling till människo</w:t>
            </w:r>
            <w:r>
              <w:softHyphen/>
            </w:r>
            <w:r w:rsidRPr="00A20387">
              <w:t>explo</w:t>
            </w:r>
            <w:r>
              <w:softHyphen/>
            </w:r>
            <w:r w:rsidRPr="00A20387">
              <w:t>a</w:t>
            </w:r>
            <w:r>
              <w:softHyphen/>
            </w:r>
            <w:r w:rsidRPr="00A20387">
              <w:t>te</w:t>
            </w:r>
            <w:r>
              <w:softHyphen/>
            </w:r>
            <w:r w:rsidRPr="00A20387">
              <w:t xml:space="preserve">ring, grovt </w:t>
            </w:r>
            <w:r w:rsidRPr="00EB76FB">
              <w:rPr>
                <w:spacing w:val="2"/>
              </w:rPr>
              <w:t xml:space="preserve">olaga tvång, äktenskapstvång, </w:t>
            </w:r>
            <w:r w:rsidRPr="00EB76FB">
              <w:rPr>
                <w:spacing w:val="-2"/>
              </w:rPr>
              <w:t>barn</w:t>
            </w:r>
            <w:r w:rsidRPr="00EB76FB">
              <w:rPr>
                <w:spacing w:val="-2"/>
              </w:rPr>
              <w:softHyphen/>
              <w:t>äkten</w:t>
            </w:r>
            <w:r w:rsidRPr="00EB76FB">
              <w:rPr>
                <w:spacing w:val="-2"/>
              </w:rPr>
              <w:softHyphen/>
              <w:t>skaps</w:t>
            </w:r>
            <w:r w:rsidRPr="00EB76FB">
              <w:rPr>
                <w:spacing w:val="-2"/>
              </w:rPr>
              <w:softHyphen/>
              <w:t>brott, grovt olaga</w:t>
            </w:r>
            <w:r w:rsidRPr="00A20387">
              <w:t xml:space="preserve"> </w:t>
            </w:r>
            <w:r w:rsidRPr="00EB76FB">
              <w:rPr>
                <w:spacing w:val="2"/>
              </w:rPr>
              <w:t>hot, grovt hemfridsbrott eller grovt</w:t>
            </w:r>
            <w:r w:rsidRPr="00A20387">
              <w:t xml:space="preserve"> olaga intrång och för för</w:t>
            </w:r>
            <w:r>
              <w:softHyphen/>
            </w:r>
            <w:r w:rsidRPr="00A20387">
              <w:t>sök eller förberedelse till data</w:t>
            </w:r>
            <w:r>
              <w:softHyphen/>
            </w:r>
            <w:r w:rsidRPr="00A20387">
              <w:t>intrång som om det fullbordats inte skulle ha varit att anse som ringa, eller grovt dataintrång.</w:t>
            </w:r>
          </w:p>
        </w:tc>
        <w:tc>
          <w:tcPr>
            <w:tcW w:w="2500" w:type="pct"/>
            <w:shd w:val="clear" w:color="auto" w:fill="auto"/>
            <w:tcMar>
              <w:right w:w="0" w:type="dxa"/>
            </w:tcMar>
          </w:tcPr>
          <w:p w14:paraId="59724DEA" w14:textId="77777777" w:rsidR="00A050BF" w:rsidRDefault="00A050BF" w:rsidP="00A9083F">
            <w:pPr>
              <w:pStyle w:val="Brdtextmedindrag"/>
            </w:pPr>
            <w:r w:rsidRPr="00A20387">
              <w:t xml:space="preserve">För försök, förberedelse eller </w:t>
            </w:r>
            <w:r w:rsidRPr="00EB76FB">
              <w:rPr>
                <w:spacing w:val="-2"/>
              </w:rPr>
              <w:t>stämpling till människorov, män</w:t>
            </w:r>
            <w:r w:rsidRPr="00EB76FB">
              <w:rPr>
                <w:spacing w:val="-2"/>
              </w:rPr>
              <w:softHyphen/>
              <w:t>niskohandel</w:t>
            </w:r>
            <w:r w:rsidRPr="00A20387">
              <w:t>,</w:t>
            </w:r>
            <w:r>
              <w:t xml:space="preserve"> </w:t>
            </w:r>
            <w:r w:rsidRPr="00A20387">
              <w:t>grov människoex</w:t>
            </w:r>
            <w:r>
              <w:softHyphen/>
            </w:r>
            <w:r w:rsidRPr="00A20387">
              <w:t>ploatering</w:t>
            </w:r>
            <w:r>
              <w:t xml:space="preserve"> </w:t>
            </w:r>
            <w:r w:rsidRPr="00A20387">
              <w:t>eller olaga frihetsbe</w:t>
            </w:r>
            <w:r>
              <w:softHyphen/>
            </w:r>
            <w:r w:rsidRPr="00EB76FB">
              <w:rPr>
                <w:spacing w:val="-4"/>
              </w:rPr>
              <w:t>rövande och för underlåtenhet att</w:t>
            </w:r>
            <w:r w:rsidRPr="00A20387">
              <w:t xml:space="preserve"> avslöja eller förhindra ett sådant brott döms det till ansvar enligt 23</w:t>
            </w:r>
            <w:r>
              <w:t> </w:t>
            </w:r>
            <w:r w:rsidRPr="00A20387">
              <w:t>kap. Detsamma gäller för för</w:t>
            </w:r>
            <w:r>
              <w:softHyphen/>
            </w:r>
            <w:r w:rsidRPr="00A20387">
              <w:t xml:space="preserve">sök, förberedelse eller stämpling till människoexploatering, grovt olaga tvång, äktenskapstvång, </w:t>
            </w:r>
            <w:r w:rsidRPr="00EB76FB">
              <w:rPr>
                <w:spacing w:val="-2"/>
              </w:rPr>
              <w:t>barnäktenskapsbrott, grovt olaga</w:t>
            </w:r>
            <w:r w:rsidRPr="00A20387">
              <w:t xml:space="preserve"> hot, grovt hemfridsbrott eller grovt olaga intrång och </w:t>
            </w:r>
            <w:r w:rsidRPr="00AD3DAF">
              <w:rPr>
                <w:i/>
                <w:iCs/>
              </w:rPr>
              <w:t xml:space="preserve">för försök </w:t>
            </w:r>
            <w:r w:rsidRPr="00EB76FB">
              <w:rPr>
                <w:i/>
                <w:iCs/>
                <w:spacing w:val="-4"/>
              </w:rPr>
              <w:t>till äktenskapsresebrott eller äkten</w:t>
            </w:r>
            <w:r w:rsidRPr="00EB76FB">
              <w:rPr>
                <w:i/>
                <w:iCs/>
                <w:spacing w:val="-4"/>
              </w:rPr>
              <w:softHyphen/>
              <w:t>skapsresebrott</w:t>
            </w:r>
            <w:r>
              <w:rPr>
                <w:i/>
                <w:iCs/>
              </w:rPr>
              <w:t xml:space="preserve"> mot barn</w:t>
            </w:r>
            <w:r w:rsidRPr="00AD3DAF">
              <w:rPr>
                <w:i/>
                <w:iCs/>
              </w:rPr>
              <w:t xml:space="preserve"> samt </w:t>
            </w:r>
            <w:r w:rsidRPr="00A20387">
              <w:t xml:space="preserve">för </w:t>
            </w:r>
            <w:r w:rsidRPr="00EB76FB">
              <w:rPr>
                <w:spacing w:val="-4"/>
              </w:rPr>
              <w:t>försök eller förberedelse till data</w:t>
            </w:r>
            <w:r w:rsidRPr="00EB76FB">
              <w:rPr>
                <w:spacing w:val="-4"/>
              </w:rPr>
              <w:softHyphen/>
              <w:t>intrång</w:t>
            </w:r>
            <w:r w:rsidRPr="00A20387">
              <w:t xml:space="preserve"> som om det fullbordats inte skulle ha varit att anse som ringa, eller grovt dataintrång.</w:t>
            </w:r>
            <w:r>
              <w:rPr>
                <w:i/>
                <w:iCs/>
              </w:rPr>
              <w:t xml:space="preserve"> </w:t>
            </w:r>
          </w:p>
        </w:tc>
      </w:tr>
    </w:tbl>
    <w:p w14:paraId="2C1EE885" w14:textId="77777777" w:rsidR="00A050BF" w:rsidRDefault="00A050BF" w:rsidP="00664811">
      <w:pPr>
        <w:pStyle w:val="Slutstreck"/>
      </w:pPr>
      <w:r w:rsidRPr="00660EEA">
        <w:t>                      </w:t>
      </w:r>
    </w:p>
    <w:p w14:paraId="6C5A5A0F" w14:textId="77777777" w:rsidR="00A050BF" w:rsidRDefault="00A050BF" w:rsidP="00664811">
      <w:pPr>
        <w:pStyle w:val="Brdtextmedindrag"/>
        <w:sectPr w:rsidR="00A050BF" w:rsidSect="00EE3346">
          <w:headerReference w:type="even" r:id="rId53"/>
          <w:headerReference w:type="default" r:id="rId54"/>
          <w:footerReference w:type="even" r:id="rId55"/>
          <w:footerReference w:type="default" r:id="rId56"/>
          <w:footerReference w:type="first" r:id="rId57"/>
          <w:footnotePr>
            <w:numRestart w:val="eachSect"/>
          </w:footnotePr>
          <w:pgSz w:w="9356" w:h="13721" w:code="9"/>
          <w:pgMar w:top="794" w:right="2438" w:bottom="1191" w:left="1021" w:header="0" w:footer="709" w:gutter="0"/>
          <w:cols w:space="708"/>
          <w:docGrid w:linePitch="360"/>
        </w:sectPr>
      </w:pPr>
      <w:r>
        <w:t xml:space="preserve">Denna lag träder i kraft den 1 juli 2026. </w:t>
      </w:r>
    </w:p>
    <w:p w14:paraId="0EC2FC7E" w14:textId="77777777" w:rsidR="00A050BF" w:rsidRPr="00DC06CD" w:rsidRDefault="00A050BF" w:rsidP="00664811">
      <w:pPr>
        <w:pStyle w:val="Rubrik2utannumrering"/>
        <w:spacing w:before="0"/>
      </w:pPr>
      <w:bookmarkStart w:id="164" w:name="_Toc197669330"/>
      <w:r w:rsidRPr="006B59D3">
        <w:rPr>
          <w:spacing w:val="-2"/>
        </w:rPr>
        <w:lastRenderedPageBreak/>
        <w:t>Förslag till lag om ändring i lagen (1904:26</w:t>
      </w:r>
      <w:r w:rsidRPr="006B59D3">
        <w:rPr>
          <w:rFonts w:ascii="Cambria" w:hAnsi="Cambria"/>
          <w:spacing w:val="-2"/>
        </w:rPr>
        <w:t> </w:t>
      </w:r>
      <w:r w:rsidRPr="006B59D3">
        <w:rPr>
          <w:spacing w:val="-2"/>
        </w:rPr>
        <w:t>s.</w:t>
      </w:r>
      <w:r w:rsidRPr="006B59D3">
        <w:rPr>
          <w:rFonts w:ascii="Cambria" w:hAnsi="Cambria"/>
          <w:spacing w:val="-2"/>
        </w:rPr>
        <w:t> </w:t>
      </w:r>
      <w:r w:rsidRPr="006B59D3">
        <w:rPr>
          <w:spacing w:val="-2"/>
        </w:rPr>
        <w:t>1)</w:t>
      </w:r>
      <w:r>
        <w:t xml:space="preserve"> </w:t>
      </w:r>
      <w:r w:rsidRPr="00FB7C55">
        <w:t>om vissa internationella rättsförhållanden</w:t>
      </w:r>
      <w:r>
        <w:t xml:space="preserve"> </w:t>
      </w:r>
      <w:r w:rsidRPr="00FB7C55">
        <w:t>rörande äktenskap och förmynderskap</w:t>
      </w:r>
      <w:bookmarkEnd w:id="164"/>
    </w:p>
    <w:p w14:paraId="695D1AA7" w14:textId="77777777" w:rsidR="00A050BF" w:rsidRDefault="00A050BF" w:rsidP="00664811">
      <w:pPr>
        <w:pStyle w:val="Brdtext"/>
      </w:pPr>
      <w:r w:rsidRPr="00536C14">
        <w:t>Härigenom föreskrivs att 1</w:t>
      </w:r>
      <w:r>
        <w:t> </w:t>
      </w:r>
      <w:r w:rsidRPr="00536C14">
        <w:t>kap. 8</w:t>
      </w:r>
      <w:r>
        <w:t> </w:t>
      </w:r>
      <w:r w:rsidRPr="00536C14">
        <w:t>a</w:t>
      </w:r>
      <w:r>
        <w:t> </w:t>
      </w:r>
      <w:r w:rsidRPr="00536C14">
        <w:t>§ lagen (1904:26 s.</w:t>
      </w:r>
      <w:r>
        <w:t> </w:t>
      </w:r>
      <w:r w:rsidRPr="00536C14">
        <w:t>1) om vissa internationella rättsförhållanden rörande äktenskap och för</w:t>
      </w:r>
      <w:r>
        <w:softHyphen/>
      </w:r>
      <w:r w:rsidRPr="00536C14">
        <w:t>myn</w:t>
      </w:r>
      <w:r>
        <w:softHyphen/>
      </w:r>
      <w:r w:rsidRPr="00536C14">
        <w:t>der</w:t>
      </w:r>
      <w:r>
        <w:softHyphen/>
      </w:r>
      <w:r w:rsidRPr="00536C14">
        <w:t>ska</w:t>
      </w:r>
      <w:r>
        <w:t>p</w:t>
      </w:r>
      <w:r w:rsidRPr="00536C14">
        <w:t xml:space="preserve"> ska ha följande lydelse.</w:t>
      </w:r>
    </w:p>
    <w:p w14:paraId="33D4714E" w14:textId="77777777" w:rsidR="00A050BF" w:rsidRPr="00AD3DAF" w:rsidRDefault="00A050BF" w:rsidP="0066481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64811" w:rsidRPr="005B0E77" w14:paraId="1E732B7B" w14:textId="77777777" w:rsidTr="00A9083F">
        <w:tc>
          <w:tcPr>
            <w:tcW w:w="2500" w:type="pct"/>
            <w:shd w:val="clear" w:color="auto" w:fill="auto"/>
            <w:tcMar>
              <w:left w:w="0" w:type="dxa"/>
            </w:tcMar>
          </w:tcPr>
          <w:p w14:paraId="780B81BE" w14:textId="77777777" w:rsidR="00A050BF" w:rsidRPr="005B0E77" w:rsidRDefault="00A050BF" w:rsidP="00A9083F">
            <w:pPr>
              <w:pStyle w:val="Brdtext"/>
              <w:rPr>
                <w:i/>
              </w:rPr>
            </w:pPr>
            <w:r w:rsidRPr="005B0E77">
              <w:rPr>
                <w:i/>
              </w:rPr>
              <w:t>Nuvarande lydelse</w:t>
            </w:r>
          </w:p>
        </w:tc>
        <w:tc>
          <w:tcPr>
            <w:tcW w:w="2500" w:type="pct"/>
            <w:shd w:val="clear" w:color="auto" w:fill="auto"/>
            <w:tcMar>
              <w:right w:w="0" w:type="dxa"/>
            </w:tcMar>
          </w:tcPr>
          <w:p w14:paraId="6C7D5001" w14:textId="77777777" w:rsidR="00A050BF" w:rsidRPr="005B0E77" w:rsidRDefault="00A050BF" w:rsidP="00A9083F">
            <w:pPr>
              <w:pStyle w:val="Brdtext"/>
              <w:rPr>
                <w:i/>
              </w:rPr>
            </w:pPr>
            <w:r w:rsidRPr="005B0E77">
              <w:rPr>
                <w:i/>
              </w:rPr>
              <w:t>Föreslagen lydelse</w:t>
            </w:r>
          </w:p>
        </w:tc>
      </w:tr>
    </w:tbl>
    <w:p w14:paraId="4357BD90" w14:textId="77777777" w:rsidR="00A050BF" w:rsidRDefault="00A050BF" w:rsidP="00664811">
      <w:pPr>
        <w:pStyle w:val="Brdtext"/>
        <w:jc w:val="center"/>
        <w:rPr>
          <w:b/>
        </w:rPr>
      </w:pPr>
    </w:p>
    <w:p w14:paraId="181019C7" w14:textId="77777777" w:rsidR="00A050BF" w:rsidRDefault="00A050BF" w:rsidP="00664811">
      <w:pPr>
        <w:pStyle w:val="Brdtext"/>
        <w:jc w:val="center"/>
        <w:rPr>
          <w:b/>
        </w:rPr>
      </w:pPr>
      <w:r>
        <w:rPr>
          <w:b/>
        </w:rPr>
        <w:t>1 kap.</w:t>
      </w:r>
    </w:p>
    <w:p w14:paraId="3CB9A050" w14:textId="77777777" w:rsidR="00A050BF" w:rsidRDefault="00A050BF" w:rsidP="00664811">
      <w:pPr>
        <w:pStyle w:val="Brdtext"/>
        <w:jc w:val="center"/>
      </w:pPr>
      <w:r>
        <w:t>8 a §</w:t>
      </w:r>
      <w:r>
        <w:rPr>
          <w:rStyle w:val="Fotnotsreferens"/>
        </w:rPr>
        <w:footnoteReference w:id="15"/>
      </w:r>
    </w:p>
    <w:p w14:paraId="3847FFAB" w14:textId="77777777" w:rsidR="00A050BF" w:rsidRPr="00C174A4" w:rsidRDefault="00A050BF" w:rsidP="00664811">
      <w:pPr>
        <w:pStyle w:val="Brdtextmedindrag"/>
        <w:rPr>
          <w:spacing w:val="-6"/>
        </w:rPr>
      </w:pPr>
      <w:r w:rsidRPr="00C174A4">
        <w:rPr>
          <w:spacing w:val="-6"/>
        </w:rPr>
        <w:t>Ett äktenskap som har ingåtts enligt utländsk lag erkänns inte i Sverige</w:t>
      </w:r>
    </w:p>
    <w:p w14:paraId="3D281E76" w14:textId="77777777" w:rsidR="00A050BF" w:rsidRDefault="00A050BF" w:rsidP="00664811">
      <w:pPr>
        <w:pStyle w:val="Brdtextmedindrag"/>
      </w:pPr>
      <w:r w:rsidRPr="00C174A4">
        <w:rPr>
          <w:spacing w:val="-4"/>
        </w:rPr>
        <w:t>1. om det vid tidpunkten för äktenskapets ingående skulle ha funnits</w:t>
      </w:r>
      <w:r w:rsidRPr="0088554D">
        <w:t xml:space="preserve"> hinder mot äktenskapet enligt svensk lag</w:t>
      </w:r>
      <w:r>
        <w:t>,</w:t>
      </w:r>
    </w:p>
    <w:p w14:paraId="47255874" w14:textId="77777777" w:rsidR="00A050BF" w:rsidRDefault="00A050BF" w:rsidP="00664811">
      <w:pPr>
        <w:pStyle w:val="Brdtextmedindrag"/>
      </w:pPr>
      <w:r>
        <w:t>2.</w:t>
      </w:r>
      <w:r w:rsidRPr="00C174A4">
        <w:rPr>
          <w:spacing w:val="-2"/>
        </w:rPr>
        <w:t> om det är sannolikt att äktenskapet har ingåtts under tvång, eller</w:t>
      </w:r>
    </w:p>
    <w:p w14:paraId="7EBF2DD5" w14:textId="77777777" w:rsidR="00A050BF" w:rsidRDefault="00A050BF" w:rsidP="00664811">
      <w:pPr>
        <w:pStyle w:val="Brdtextmedindrag"/>
      </w:pPr>
      <w:r>
        <w:t>3. om parterna inte var närvarande samtidigt vid äktenskapets in</w:t>
      </w:r>
      <w:r>
        <w:softHyphen/>
      </w:r>
      <w:r w:rsidRPr="00C174A4">
        <w:rPr>
          <w:spacing w:val="-2"/>
        </w:rPr>
        <w:t>gående och minst en av dem då var svensk medborgare eller hade hem</w:t>
      </w:r>
      <w:r w:rsidRPr="00C174A4">
        <w:rPr>
          <w:spacing w:val="-2"/>
        </w:rPr>
        <w:softHyphen/>
        <w:t>vist</w:t>
      </w:r>
      <w:r>
        <w:t xml:space="preserve"> i Sverige. </w:t>
      </w:r>
    </w:p>
    <w:tbl>
      <w:tblPr>
        <w:tblW w:w="5000" w:type="pct"/>
        <w:tblLook w:val="0600" w:firstRow="0" w:lastRow="0" w:firstColumn="0" w:lastColumn="0" w:noHBand="1" w:noVBand="1"/>
      </w:tblPr>
      <w:tblGrid>
        <w:gridCol w:w="2948"/>
        <w:gridCol w:w="2949"/>
      </w:tblGrid>
      <w:tr w:rsidR="00664811" w14:paraId="3DF4A6E0" w14:textId="77777777" w:rsidTr="00A9083F">
        <w:tc>
          <w:tcPr>
            <w:tcW w:w="2500" w:type="pct"/>
            <w:shd w:val="clear" w:color="auto" w:fill="auto"/>
            <w:tcMar>
              <w:left w:w="0" w:type="dxa"/>
            </w:tcMar>
          </w:tcPr>
          <w:p w14:paraId="074E4077" w14:textId="77777777" w:rsidR="00A050BF" w:rsidRDefault="00A050BF" w:rsidP="00A9083F">
            <w:pPr>
              <w:pStyle w:val="Brdtextmedindrag"/>
            </w:pPr>
            <w:r w:rsidRPr="001557AF">
              <w:rPr>
                <w:i/>
                <w:iCs/>
                <w:spacing w:val="-6"/>
              </w:rPr>
              <w:t>Första stycket gäller inte om båda</w:t>
            </w:r>
            <w:r w:rsidRPr="00694A0E">
              <w:rPr>
                <w:i/>
                <w:iCs/>
              </w:rPr>
              <w:t xml:space="preserve"> </w:t>
            </w:r>
            <w:r w:rsidRPr="001557AF">
              <w:rPr>
                <w:i/>
                <w:iCs/>
                <w:spacing w:val="-4"/>
              </w:rPr>
              <w:t>parterna är över 18 år och det finns</w:t>
            </w:r>
            <w:r w:rsidRPr="00C174A4">
              <w:rPr>
                <w:i/>
                <w:iCs/>
                <w:spacing w:val="2"/>
              </w:rPr>
              <w:t xml:space="preserve"> synnerliga skäl att erkänna äkten</w:t>
            </w:r>
            <w:r w:rsidRPr="00C174A4">
              <w:rPr>
                <w:i/>
                <w:iCs/>
                <w:spacing w:val="2"/>
              </w:rPr>
              <w:softHyphen/>
              <w:t>skapet.</w:t>
            </w:r>
          </w:p>
        </w:tc>
        <w:tc>
          <w:tcPr>
            <w:tcW w:w="2500" w:type="pct"/>
            <w:shd w:val="clear" w:color="auto" w:fill="auto"/>
            <w:tcMar>
              <w:right w:w="0" w:type="dxa"/>
            </w:tcMar>
          </w:tcPr>
          <w:p w14:paraId="600BC0E9" w14:textId="77777777" w:rsidR="00A050BF" w:rsidRDefault="00A050BF" w:rsidP="00A9083F">
            <w:pPr>
              <w:pStyle w:val="Brdtextmedindrag"/>
            </w:pPr>
            <w:r w:rsidRPr="001557AF">
              <w:rPr>
                <w:i/>
                <w:iCs/>
                <w:spacing w:val="-4"/>
              </w:rPr>
              <w:t>Om det finns synnerliga skäl för det och parterna är över 18 år får</w:t>
            </w:r>
            <w:r w:rsidRPr="00C65DB0">
              <w:rPr>
                <w:i/>
                <w:iCs/>
              </w:rPr>
              <w:t xml:space="preserve"> </w:t>
            </w:r>
            <w:r w:rsidRPr="001557AF">
              <w:rPr>
                <w:i/>
                <w:iCs/>
                <w:spacing w:val="2"/>
              </w:rPr>
              <w:t xml:space="preserve">ett </w:t>
            </w:r>
            <w:r w:rsidRPr="001557AF">
              <w:rPr>
                <w:i/>
                <w:iCs/>
                <w:spacing w:val="-4"/>
              </w:rPr>
              <w:t>äktenskap som avses i första stycket tillerkännas vissa rättsverkningar</w:t>
            </w:r>
            <w:r w:rsidRPr="00C65DB0">
              <w:rPr>
                <w:i/>
                <w:iCs/>
              </w:rPr>
              <w:t>.</w:t>
            </w:r>
          </w:p>
        </w:tc>
      </w:tr>
    </w:tbl>
    <w:p w14:paraId="6DB2BF5B" w14:textId="77777777" w:rsidR="00A050BF" w:rsidRDefault="00A050BF" w:rsidP="00664811">
      <w:pPr>
        <w:pStyle w:val="Slutstreck"/>
      </w:pPr>
      <w:r w:rsidRPr="00660EEA">
        <w:t>                     </w:t>
      </w:r>
    </w:p>
    <w:p w14:paraId="7D63FA0B" w14:textId="77777777" w:rsidR="00A050BF" w:rsidRPr="004872FE" w:rsidRDefault="00A050BF" w:rsidP="00664811">
      <w:pPr>
        <w:pStyle w:val="Brdtextmedindrag"/>
      </w:pPr>
      <w:r>
        <w:t>1. </w:t>
      </w:r>
      <w:r w:rsidRPr="00AE23A3">
        <w:t>Denna</w:t>
      </w:r>
      <w:r>
        <w:t xml:space="preserve"> lag träder i kraft den 1 juli 2026.</w:t>
      </w:r>
    </w:p>
    <w:p w14:paraId="7F7C7F17" w14:textId="77777777" w:rsidR="00A050BF" w:rsidRPr="00152749" w:rsidRDefault="00A050BF" w:rsidP="00664811">
      <w:pPr>
        <w:pStyle w:val="Brdtextmedindrag"/>
      </w:pPr>
      <w:r>
        <w:t>2. Äldre bestämmelser gäller för äktenskap som har registrerats av Skatteverket i folkbokföringsdatabasen före ikraftträdandet.</w:t>
      </w:r>
    </w:p>
    <w:p w14:paraId="66248260" w14:textId="77777777" w:rsidR="00A050BF" w:rsidRDefault="00A050BF" w:rsidP="00664811">
      <w:pPr>
        <w:pStyle w:val="Brdtextmedindrag"/>
      </w:pPr>
    </w:p>
    <w:p w14:paraId="50327594" w14:textId="6E6D562A" w:rsidR="00A050BF" w:rsidRDefault="00A050BF" w:rsidP="00664811">
      <w:pPr>
        <w:pStyle w:val="Brdtextmedindrag"/>
      </w:pPr>
    </w:p>
    <w:p w14:paraId="43C3A2D9" w14:textId="77777777" w:rsidR="00A050BF" w:rsidRDefault="00A050BF" w:rsidP="00664811">
      <w:pPr>
        <w:pStyle w:val="Brdtextmedindrag"/>
      </w:pPr>
    </w:p>
    <w:p w14:paraId="2201E62F" w14:textId="77777777" w:rsidR="00A050BF" w:rsidRDefault="00A050BF" w:rsidP="00EE3346">
      <w:pPr>
        <w:pStyle w:val="Brdtextmedindrag"/>
      </w:pPr>
    </w:p>
    <w:p w14:paraId="051B6C45" w14:textId="77777777" w:rsidR="00A050BF" w:rsidRPr="00EE3346" w:rsidRDefault="00A050BF" w:rsidP="00EE3346">
      <w:pPr>
        <w:pStyle w:val="Brdtextmedindrag"/>
        <w:sectPr w:rsidR="00A050BF" w:rsidRPr="00EE3346" w:rsidSect="00EE3346">
          <w:headerReference w:type="even" r:id="rId58"/>
          <w:headerReference w:type="default" r:id="rId59"/>
          <w:footerReference w:type="even" r:id="rId60"/>
          <w:footerReference w:type="default" r:id="rId61"/>
          <w:footerReference w:type="first" r:id="rId62"/>
          <w:footnotePr>
            <w:numRestart w:val="eachSect"/>
          </w:footnotePr>
          <w:pgSz w:w="9356" w:h="13721" w:code="9"/>
          <w:pgMar w:top="794" w:right="2438" w:bottom="1191" w:left="1021" w:header="0" w:footer="709" w:gutter="0"/>
          <w:cols w:space="708"/>
          <w:docGrid w:linePitch="360"/>
        </w:sectPr>
      </w:pPr>
    </w:p>
    <w:p w14:paraId="75023789" w14:textId="77777777" w:rsidR="00A050BF" w:rsidRDefault="00A050BF" w:rsidP="001367FC">
      <w:pPr>
        <w:pStyle w:val="Bilagarubrik"/>
      </w:pPr>
      <w:bookmarkStart w:id="165" w:name="_Toc221561273"/>
      <w:bookmarkStart w:id="166" w:name="_Toc224807625"/>
      <w:r>
        <w:lastRenderedPageBreak/>
        <w:t>Förteckning över remissinstanserna</w:t>
      </w:r>
      <w:bookmarkEnd w:id="165"/>
      <w:bookmarkEnd w:id="166"/>
    </w:p>
    <w:p w14:paraId="7119824B" w14:textId="4051A97D" w:rsidR="00A050BF" w:rsidRPr="00403A69" w:rsidRDefault="00A050BF" w:rsidP="001367FC">
      <w:pPr>
        <w:pStyle w:val="Brdtext"/>
      </w:pPr>
      <w:r>
        <w:t>Efter remiss har yttranden över betänkandet lämnats av Barnombuds</w:t>
      </w:r>
      <w:r>
        <w:softHyphen/>
        <w:t>mannen, Brottsförebyggande rådet, Brottsofferjouren Sverige, Brotts</w:t>
      </w:r>
      <w:r>
        <w:softHyphen/>
        <w:t>offermyndigheten, Diskrimineringsombudsmannen, Domstolsverket, ECPAT Sverige, Försäkringskassan, Förvaltningsrätten i Malmö, Förvalt</w:t>
      </w:r>
      <w:r>
        <w:softHyphen/>
        <w:t>ningsrätten i Umeå, Göteborgs universitet, Hovrätten för Övre Norrland, Integritetsskyddsmyndigheten, Justitiekanslern, Jämställdhets</w:t>
      </w:r>
      <w:r>
        <w:softHyphen/>
        <w:t>myndig</w:t>
      </w:r>
      <w:r>
        <w:softHyphen/>
        <w:t>heten, Kammarrätten i Stockholm, Kriminalvården, Linköpings universi</w:t>
      </w:r>
      <w:r>
        <w:softHyphen/>
        <w:t>tet (Barnafrid – Nationellt centrum för kunskap om våld mot barn), Läns</w:t>
      </w:r>
      <w:r>
        <w:softHyphen/>
        <w:t xml:space="preserve">styrelsen i Östergötlands län (Nationellt centrum mot hedersrelaterat våld och förtryck), Malmö tingsrätt, Migrationsverket, Myndigheten för delaktighet, Myndigheten för familjerätt och föräldraskapsstöd, </w:t>
      </w:r>
      <w:r w:rsidRPr="0062373B">
        <w:t>Myndig</w:t>
      </w:r>
      <w:r>
        <w:softHyphen/>
      </w:r>
      <w:r w:rsidRPr="0062373B">
        <w:t>heten för stöd till trossamfund,</w:t>
      </w:r>
      <w:r w:rsidRPr="00D070BC">
        <w:t xml:space="preserve"> </w:t>
      </w:r>
      <w:r>
        <w:t>Myndig</w:t>
      </w:r>
      <w:r>
        <w:softHyphen/>
        <w:t>heten för ungdoms- och civilsam</w:t>
      </w:r>
      <w:r>
        <w:softHyphen/>
        <w:t>hällesfrågor, Origo, Pensionsmyndig</w:t>
      </w:r>
      <w:r>
        <w:softHyphen/>
        <w:t>heten, Polismyndigheten, Riksföre</w:t>
      </w:r>
      <w:r>
        <w:softHyphen/>
        <w:t>ningen för skolsköterskor, Riks</w:t>
      </w:r>
      <w:r>
        <w:softHyphen/>
        <w:t>organisationen för kvinnojourer och tjejjourer i Sverige, Riksorganisa</w:t>
      </w:r>
      <w:r>
        <w:softHyphen/>
        <w:t>tionen GAPF – Glöm aldrig Pela och Fadime, Skatteverket, Social</w:t>
      </w:r>
      <w:r>
        <w:softHyphen/>
        <w:t>styrelsen, Stockholms universitet, Svenska kyrkan, Sveriges advokatsamfund, Sveriges Domare</w:t>
      </w:r>
      <w:r>
        <w:softHyphen/>
        <w:t>förbund, Sveriges inter</w:t>
      </w:r>
      <w:r>
        <w:softHyphen/>
        <w:t xml:space="preserve">religiösa råd, Sveriges kristna råd, </w:t>
      </w:r>
      <w:r w:rsidRPr="0062373B">
        <w:t>Säkerhets- och integritetsskydds</w:t>
      </w:r>
      <w:r w:rsidRPr="0062373B">
        <w:softHyphen/>
        <w:t>nämnden</w:t>
      </w:r>
      <w:r w:rsidR="005255DA">
        <w:t xml:space="preserve"> (numera </w:t>
      </w:r>
      <w:r w:rsidR="005255DA" w:rsidRPr="005255DA">
        <w:t>Myndigheten för säkerhet och integritetsskydd</w:t>
      </w:r>
      <w:r w:rsidR="005255DA">
        <w:t>)</w:t>
      </w:r>
      <w:r w:rsidRPr="0062373B">
        <w:t>,</w:t>
      </w:r>
      <w:r>
        <w:t xml:space="preserve"> Säkerhetspolisen, </w:t>
      </w:r>
      <w:r w:rsidDel="00D070BC">
        <w:t xml:space="preserve">Terrafem </w:t>
      </w:r>
      <w:r w:rsidRPr="007349C2">
        <w:t xml:space="preserve">– nätverk för kvinnors rätt mot mäns våld, </w:t>
      </w:r>
      <w:r w:rsidRPr="0062373B">
        <w:t>Umeå universitet,</w:t>
      </w:r>
      <w:r>
        <w:t xml:space="preserve"> Unizon, Uppsala universitet (Nationellt centrum för kvinnofrid), Varken hora eller kuvad, Åklagarmyndigheten och Ångermanlands tingsrätt. </w:t>
      </w:r>
    </w:p>
    <w:p w14:paraId="7AA87D70" w14:textId="77777777" w:rsidR="00A050BF" w:rsidRDefault="00A050BF" w:rsidP="001367FC">
      <w:pPr>
        <w:pStyle w:val="Brdtextmedindrag"/>
      </w:pPr>
      <w:r>
        <w:t>Följande remissinstanser har inte svarat eller har angett att de avstår från att lämna några synpunkter: Amnesty International Sverige, Asylrätts</w:t>
      </w:r>
      <w:r>
        <w:softHyphen/>
        <w:t>centrum, Barnens rätt i samhället,</w:t>
      </w:r>
      <w:r w:rsidRPr="006C299B">
        <w:t xml:space="preserve"> </w:t>
      </w:r>
      <w:r>
        <w:t>Funktionsrätt Sverige, Föreningen för Sveriges Ungdomsmottagningar, Islamiska Samarbetsrådet,</w:t>
      </w:r>
      <w:r w:rsidRPr="00D070BC">
        <w:t xml:space="preserve"> </w:t>
      </w:r>
      <w:r>
        <w:t>Judiska centralrådet, Riksdagens ombudsmän, RFSL Ungdom, Riksförbundet för homosexuellas, bisexuellas, transpersoners, queeras och intersexpersoners rättigheter, Riksförbundet Internationella Föreningar för Invandrar</w:t>
      </w:r>
      <w:r>
        <w:softHyphen/>
        <w:t>kvinnor,</w:t>
      </w:r>
      <w:r w:rsidRPr="00D070BC">
        <w:t xml:space="preserve"> </w:t>
      </w:r>
      <w:r>
        <w:t>Rädda Barnen, Samarbetsorgan för etniska organisa</w:t>
      </w:r>
      <w:r>
        <w:softHyphen/>
        <w:t>tioner i Sverige,</w:t>
      </w:r>
      <w:r w:rsidRPr="00D070BC">
        <w:t xml:space="preserve"> </w:t>
      </w:r>
      <w:r>
        <w:t>Somaya stödjour i Stockholm, Statens skolinspektion, Statens skolverk, Stiftelsen Allmänna Barn</w:t>
      </w:r>
      <w:r>
        <w:softHyphen/>
        <w:t>huset,</w:t>
      </w:r>
      <w:r w:rsidRPr="00D070BC">
        <w:t xml:space="preserve"> </w:t>
      </w:r>
      <w:r>
        <w:t>Sveriges Skolkuratorers Förening, Tjejers rätt i samhället och Unicef Sverige.</w:t>
      </w:r>
    </w:p>
    <w:p w14:paraId="2CE13E2E" w14:textId="77777777" w:rsidR="00A050BF" w:rsidRDefault="00A050BF" w:rsidP="001367FC">
      <w:pPr>
        <w:pStyle w:val="Brdtextmedindrag"/>
      </w:pPr>
    </w:p>
    <w:p w14:paraId="581B345D" w14:textId="77777777" w:rsidR="00A050BF" w:rsidRDefault="00A050BF" w:rsidP="001367FC">
      <w:pPr>
        <w:pStyle w:val="Brdtextmedindrag"/>
      </w:pPr>
    </w:p>
    <w:p w14:paraId="26B4C2D5" w14:textId="77777777" w:rsidR="00A050BF" w:rsidRDefault="00A050BF" w:rsidP="001367FC">
      <w:pPr>
        <w:pStyle w:val="Brdtextmedindrag"/>
      </w:pPr>
    </w:p>
    <w:p w14:paraId="04D3A9FA" w14:textId="77777777" w:rsidR="00A050BF" w:rsidRPr="00EE3346" w:rsidRDefault="00A050BF" w:rsidP="00EE3346">
      <w:pPr>
        <w:pStyle w:val="Brdtextmedindrag"/>
        <w:sectPr w:rsidR="00A050BF" w:rsidRPr="00EE3346" w:rsidSect="00EE3346">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9356" w:h="13721" w:code="9"/>
          <w:pgMar w:top="794" w:right="2438" w:bottom="1191" w:left="1021" w:header="0" w:footer="709" w:gutter="0"/>
          <w:cols w:space="708"/>
          <w:docGrid w:linePitch="360"/>
        </w:sectPr>
      </w:pPr>
    </w:p>
    <w:p w14:paraId="55F3DBBC" w14:textId="76B969FF" w:rsidR="00DB62B9" w:rsidRDefault="00A050BF" w:rsidP="00EE3346">
      <w:pPr>
        <w:pStyle w:val="Bilagarubrik"/>
      </w:pPr>
      <w:bookmarkStart w:id="167" w:name="_Toc224807626"/>
      <w:r>
        <w:lastRenderedPageBreak/>
        <w:t>Lagrådsremissens lagförslag</w:t>
      </w:r>
      <w:bookmarkEnd w:id="167"/>
    </w:p>
    <w:p w14:paraId="28951F54" w14:textId="77777777" w:rsidR="00A050BF" w:rsidRDefault="00A050BF" w:rsidP="00EE3346">
      <w:pPr>
        <w:pStyle w:val="Rubrik2utannumrering"/>
        <w:spacing w:before="0"/>
      </w:pPr>
      <w:bookmarkStart w:id="168" w:name="_Toc221561232"/>
      <w:r>
        <w:t>Förslag till lag om ändring i rättegångsbalken</w:t>
      </w:r>
      <w:bookmarkEnd w:id="168"/>
    </w:p>
    <w:p w14:paraId="7BDFAAF6" w14:textId="77777777" w:rsidR="00A050BF" w:rsidRDefault="00A050BF" w:rsidP="00EE3346">
      <w:pPr>
        <w:pStyle w:val="Brdtext"/>
      </w:pPr>
      <w:r>
        <w:t>Härigenom föreskrivs att 27 kap. 18 a och 18 b §§ rättegångsbalken ska ha föl</w:t>
      </w:r>
      <w:r>
        <w:softHyphen/>
        <w:t xml:space="preserve">jande lydelse. </w:t>
      </w:r>
    </w:p>
    <w:p w14:paraId="4EAE8A37" w14:textId="77777777" w:rsidR="00A050BF" w:rsidRDefault="00A050BF" w:rsidP="00EE334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E3346" w:rsidRPr="005B0E77" w14:paraId="5A2DF371" w14:textId="77777777" w:rsidTr="00A9083F">
        <w:tc>
          <w:tcPr>
            <w:tcW w:w="2500" w:type="pct"/>
            <w:shd w:val="clear" w:color="auto" w:fill="auto"/>
            <w:tcMar>
              <w:left w:w="0" w:type="dxa"/>
            </w:tcMar>
          </w:tcPr>
          <w:p w14:paraId="18F93AB9" w14:textId="77777777" w:rsidR="00A050BF" w:rsidRPr="005B0E77" w:rsidRDefault="00A050BF" w:rsidP="00A9083F">
            <w:pPr>
              <w:pStyle w:val="Brdtext"/>
              <w:rPr>
                <w:i/>
              </w:rPr>
            </w:pPr>
            <w:r>
              <w:rPr>
                <w:i/>
              </w:rPr>
              <w:t>Nuvarande lydelse</w:t>
            </w:r>
          </w:p>
        </w:tc>
        <w:tc>
          <w:tcPr>
            <w:tcW w:w="2500" w:type="pct"/>
            <w:shd w:val="clear" w:color="auto" w:fill="auto"/>
            <w:tcMar>
              <w:right w:w="0" w:type="dxa"/>
            </w:tcMar>
          </w:tcPr>
          <w:p w14:paraId="2C4E7D69" w14:textId="77777777" w:rsidR="00A050BF" w:rsidRPr="005B0E77" w:rsidRDefault="00A050BF" w:rsidP="00A9083F">
            <w:pPr>
              <w:pStyle w:val="Brdtext"/>
              <w:rPr>
                <w:i/>
              </w:rPr>
            </w:pPr>
            <w:r w:rsidRPr="005B0E77">
              <w:rPr>
                <w:i/>
              </w:rPr>
              <w:t>Föreslagen lydelse</w:t>
            </w:r>
          </w:p>
        </w:tc>
      </w:tr>
    </w:tbl>
    <w:p w14:paraId="2FE12F23" w14:textId="77777777" w:rsidR="00A050BF" w:rsidRDefault="00A050BF" w:rsidP="00EE3346">
      <w:pPr>
        <w:pStyle w:val="Brdtext"/>
        <w:jc w:val="center"/>
        <w:rPr>
          <w:b/>
        </w:rPr>
      </w:pPr>
    </w:p>
    <w:p w14:paraId="6CDA1992" w14:textId="77777777" w:rsidR="00A050BF" w:rsidRDefault="00A050BF" w:rsidP="00EE3346">
      <w:pPr>
        <w:pStyle w:val="Brdtext"/>
        <w:jc w:val="center"/>
        <w:rPr>
          <w:b/>
        </w:rPr>
      </w:pPr>
      <w:r>
        <w:rPr>
          <w:b/>
        </w:rPr>
        <w:t>27 kap.</w:t>
      </w:r>
    </w:p>
    <w:p w14:paraId="0613D74D" w14:textId="77777777" w:rsidR="00A050BF" w:rsidRDefault="00A050BF" w:rsidP="00EE3346">
      <w:pPr>
        <w:pStyle w:val="Brdtext"/>
        <w:jc w:val="center"/>
      </w:pPr>
      <w:r>
        <w:t>18 a §</w:t>
      </w:r>
      <w:r>
        <w:rPr>
          <w:rStyle w:val="Fotnotsreferens"/>
        </w:rPr>
        <w:footnoteReference w:id="16"/>
      </w:r>
    </w:p>
    <w:p w14:paraId="42374FC2" w14:textId="77777777" w:rsidR="00A050BF" w:rsidRDefault="00A050BF" w:rsidP="00EE3346">
      <w:pPr>
        <w:pStyle w:val="Brdtextmedindrag"/>
        <w:ind w:firstLine="0"/>
      </w:pPr>
      <w:r w:rsidRPr="00C36219">
        <w:rPr>
          <w:spacing w:val="-4"/>
        </w:rPr>
        <w:t>Hemlig avlyssning av elektronisk kommunikation får användas om</w:t>
      </w:r>
      <w:r w:rsidRPr="006C2D34">
        <w:t xml:space="preserve"> </w:t>
      </w:r>
      <w:r w:rsidRPr="00A312F3">
        <w:rPr>
          <w:spacing w:val="-4"/>
        </w:rPr>
        <w:t>någon är skäligen misstänkt för brott som avses i andra stycket och</w:t>
      </w:r>
      <w:r>
        <w:t xml:space="preserve"> </w:t>
      </w:r>
      <w:r w:rsidRPr="006C2D34">
        <w:t>åt</w:t>
      </w:r>
      <w:r>
        <w:softHyphen/>
      </w:r>
      <w:r w:rsidRPr="006C2D34">
        <w:t>gärden är av synnerlig vikt</w:t>
      </w:r>
      <w:r>
        <w:t xml:space="preserve"> </w:t>
      </w:r>
      <w:r w:rsidRPr="006C2D34">
        <w:t>för utredningen.</w:t>
      </w:r>
    </w:p>
    <w:p w14:paraId="5EFB9473" w14:textId="77777777" w:rsidR="00A050BF" w:rsidRDefault="00A050BF" w:rsidP="00EE3346">
      <w:pPr>
        <w:pStyle w:val="Brdtextmedindrag"/>
      </w:pPr>
      <w:r>
        <w:t>Hemlig avlyssning av elektronisk kommunikation enligt denna paragraf får användas vid en förundersökning om</w:t>
      </w:r>
    </w:p>
    <w:p w14:paraId="747AEAD9" w14:textId="77777777" w:rsidR="00A050BF" w:rsidRDefault="00A050BF" w:rsidP="00EE3346">
      <w:pPr>
        <w:pStyle w:val="Brdtextmedindrag"/>
      </w:pPr>
      <w:r>
        <w:t>1. ett brott för vilket det inte är föreskrivet lindrigare straff än fängelse i två år,</w:t>
      </w:r>
    </w:p>
    <w:tbl>
      <w:tblPr>
        <w:tblW w:w="5000" w:type="pct"/>
        <w:tblLook w:val="0600" w:firstRow="0" w:lastRow="0" w:firstColumn="0" w:lastColumn="0" w:noHBand="1" w:noVBand="1"/>
      </w:tblPr>
      <w:tblGrid>
        <w:gridCol w:w="2948"/>
        <w:gridCol w:w="2949"/>
      </w:tblGrid>
      <w:tr w:rsidR="00EE3346" w14:paraId="5260FA52" w14:textId="77777777" w:rsidTr="00A9083F">
        <w:tc>
          <w:tcPr>
            <w:tcW w:w="2500" w:type="pct"/>
            <w:shd w:val="clear" w:color="auto" w:fill="auto"/>
            <w:tcMar>
              <w:left w:w="0" w:type="dxa"/>
            </w:tcMar>
          </w:tcPr>
          <w:p w14:paraId="2A907654" w14:textId="77777777" w:rsidR="00A050BF" w:rsidRPr="002F31F7" w:rsidRDefault="00A050BF" w:rsidP="00A9083F">
            <w:pPr>
              <w:pStyle w:val="Brdtextmedindrag"/>
            </w:pPr>
            <w:r w:rsidRPr="002F31F7">
              <w:rPr>
                <w:spacing w:val="2"/>
              </w:rPr>
              <w:t>2.</w:t>
            </w:r>
            <w:r w:rsidRPr="002F31F7">
              <w:rPr>
                <w:i/>
                <w:iCs/>
                <w:spacing w:val="2"/>
              </w:rPr>
              <w:t> </w:t>
            </w:r>
            <w:r w:rsidRPr="002F31F7">
              <w:rPr>
                <w:spacing w:val="2"/>
              </w:rPr>
              <w:t>grovt dataintrång enligt 4 kap.</w:t>
            </w:r>
            <w:r w:rsidRPr="00212B67">
              <w:t xml:space="preserve"> 9</w:t>
            </w:r>
            <w:r>
              <w:t> </w:t>
            </w:r>
            <w:r w:rsidRPr="00212B67">
              <w:t>c</w:t>
            </w:r>
            <w:r>
              <w:t> </w:t>
            </w:r>
            <w:r w:rsidRPr="00212B67">
              <w:t>§ andra stycket brotts</w:t>
            </w:r>
            <w:r>
              <w:softHyphen/>
            </w:r>
            <w:r w:rsidRPr="00212B67">
              <w:t>balken,</w:t>
            </w:r>
          </w:p>
        </w:tc>
        <w:tc>
          <w:tcPr>
            <w:tcW w:w="2500" w:type="pct"/>
            <w:shd w:val="clear" w:color="auto" w:fill="auto"/>
            <w:tcMar>
              <w:right w:w="0" w:type="dxa"/>
            </w:tcMar>
          </w:tcPr>
          <w:p w14:paraId="031832C9" w14:textId="77777777" w:rsidR="00A050BF" w:rsidRPr="00806C3B" w:rsidRDefault="00A050BF" w:rsidP="00A9083F">
            <w:pPr>
              <w:pStyle w:val="Brdtextmedindrag"/>
              <w:rPr>
                <w:i/>
                <w:iCs/>
              </w:rPr>
            </w:pPr>
            <w:r w:rsidRPr="002F31F7">
              <w:rPr>
                <w:spacing w:val="-4"/>
              </w:rPr>
              <w:t>2. </w:t>
            </w:r>
            <w:r w:rsidRPr="002F31F7">
              <w:rPr>
                <w:i/>
                <w:iCs/>
                <w:spacing w:val="-4"/>
              </w:rPr>
              <w:t>äktenskapstvång, barn</w:t>
            </w:r>
            <w:r w:rsidRPr="002F31F7">
              <w:rPr>
                <w:i/>
                <w:iCs/>
                <w:spacing w:val="-4"/>
              </w:rPr>
              <w:softHyphen/>
              <w:t>äkten</w:t>
            </w:r>
            <w:r w:rsidRPr="002F31F7">
              <w:rPr>
                <w:i/>
                <w:iCs/>
                <w:spacing w:val="-4"/>
              </w:rPr>
              <w:softHyphen/>
              <w:t>skapsbrott</w:t>
            </w:r>
            <w:r w:rsidRPr="00274ADF">
              <w:rPr>
                <w:i/>
                <w:iCs/>
              </w:rPr>
              <w:t xml:space="preserve"> </w:t>
            </w:r>
            <w:r>
              <w:rPr>
                <w:i/>
                <w:iCs/>
              </w:rPr>
              <w:t>eller</w:t>
            </w:r>
            <w:r>
              <w:t xml:space="preserve"> </w:t>
            </w:r>
            <w:r w:rsidRPr="00212B67">
              <w:t xml:space="preserve">grovt dataintrång </w:t>
            </w:r>
            <w:r w:rsidRPr="002F31F7">
              <w:rPr>
                <w:spacing w:val="-6"/>
              </w:rPr>
              <w:t xml:space="preserve">enligt 4 kap. </w:t>
            </w:r>
            <w:r w:rsidRPr="002F31F7">
              <w:rPr>
                <w:i/>
                <w:iCs/>
                <w:spacing w:val="-6"/>
              </w:rPr>
              <w:t xml:space="preserve">4 c § </w:t>
            </w:r>
            <w:r w:rsidRPr="002F31F7">
              <w:rPr>
                <w:i/>
                <w:iCs/>
                <w:spacing w:val="2"/>
              </w:rPr>
              <w:t>eller</w:t>
            </w:r>
            <w:r w:rsidRPr="002F31F7">
              <w:rPr>
                <w:spacing w:val="2"/>
              </w:rPr>
              <w:t xml:space="preserve"> 9 c § andra stycket brotts</w:t>
            </w:r>
            <w:r w:rsidRPr="002F31F7">
              <w:rPr>
                <w:spacing w:val="2"/>
              </w:rPr>
              <w:softHyphen/>
              <w:t>balken,</w:t>
            </w:r>
          </w:p>
        </w:tc>
      </w:tr>
    </w:tbl>
    <w:p w14:paraId="6D70098F" w14:textId="77777777" w:rsidR="00A050BF" w:rsidRDefault="00A050BF" w:rsidP="00EE3346">
      <w:pPr>
        <w:pStyle w:val="Brdtextmedindrag"/>
      </w:pPr>
      <w:r w:rsidRPr="00934762">
        <w:t>3</w:t>
      </w:r>
      <w:r>
        <w:t xml:space="preserve">. grovt sexuellt övergrepp, sexuellt utnyttjande av barn, sexuellt övergrepp mot barn, grovt sexuellt övergrepp mot barn, utnyttjande av barn för sexuell posering, grovt utnyttjande av barn för sexuell </w:t>
      </w:r>
      <w:r w:rsidRPr="002F31F7">
        <w:rPr>
          <w:spacing w:val="-2"/>
        </w:rPr>
        <w:t>posering, utnyttjande av barn genom köp av sexuell handling</w:t>
      </w:r>
      <w:r w:rsidRPr="002F31F7">
        <w:rPr>
          <w:spacing w:val="-4"/>
        </w:rPr>
        <w:t xml:space="preserve">, </w:t>
      </w:r>
      <w:r w:rsidRPr="002F31F7">
        <w:rPr>
          <w:spacing w:val="-2"/>
        </w:rPr>
        <w:t>sexuellt ofredande</w:t>
      </w:r>
      <w:r>
        <w:t xml:space="preserve"> mot barn eller grovt sexuellt ofredande mot barn enligt 6 kap. 2 § tredje stycket, 5 §, 6 §, 8 §, 9 § eller 10 § första eller tredje stycket brottsbalken,</w:t>
      </w:r>
    </w:p>
    <w:p w14:paraId="7E2BA7C2" w14:textId="77777777" w:rsidR="00A050BF" w:rsidRDefault="00A050BF" w:rsidP="00EE3346">
      <w:pPr>
        <w:pStyle w:val="Brdtextmedindrag"/>
      </w:pPr>
      <w:r>
        <w:t>4. kontakt för att träffa ett barn i sexuellt syfte enligt 6 kap. 10 a § brottsbalken, om det kan antas att brottet inte leder till endast böter,</w:t>
      </w:r>
    </w:p>
    <w:p w14:paraId="6BCFC492" w14:textId="77777777" w:rsidR="00A050BF" w:rsidRDefault="00A050BF" w:rsidP="00EE3346">
      <w:pPr>
        <w:pStyle w:val="Brdtextmedindrag"/>
      </w:pPr>
      <w:r w:rsidRPr="003A2DB0">
        <w:rPr>
          <w:spacing w:val="-2"/>
        </w:rPr>
        <w:t>5. grovt bedrägeri enligt 9 kap. 3 § brottsbalken, om gärningen har</w:t>
      </w:r>
      <w:r>
        <w:t xml:space="preserve"> begåtts med hjälp av elektronisk kommunikation,</w:t>
      </w:r>
    </w:p>
    <w:p w14:paraId="1CB50210" w14:textId="77777777" w:rsidR="00A050BF" w:rsidRDefault="00A050BF" w:rsidP="00EE3346">
      <w:pPr>
        <w:pStyle w:val="Brdtextmedindrag"/>
      </w:pPr>
      <w:r w:rsidRPr="003A2DB0">
        <w:rPr>
          <w:spacing w:val="-4"/>
        </w:rPr>
        <w:t>6. utpressning enligt 9 kap. 4 § första stycket brottsbalken, om det</w:t>
      </w:r>
      <w:r>
        <w:t xml:space="preserve"> kan antas att brottets straffvärde överstiger fängelse i tre månader,</w:t>
      </w:r>
    </w:p>
    <w:p w14:paraId="671CDE60" w14:textId="77777777" w:rsidR="00A050BF" w:rsidRDefault="00A050BF" w:rsidP="00EE3346">
      <w:pPr>
        <w:pStyle w:val="Brdtextmedindrag"/>
      </w:pPr>
      <w:r>
        <w:t>7. sabotage enligt 13 kap. 4 § brottsbalken,</w:t>
      </w:r>
    </w:p>
    <w:p w14:paraId="598BFC6A" w14:textId="77777777" w:rsidR="00A050BF" w:rsidRDefault="00A050BF" w:rsidP="00EE3346">
      <w:pPr>
        <w:pStyle w:val="Brdtextmedindrag"/>
      </w:pPr>
      <w:r>
        <w:t>8. </w:t>
      </w:r>
      <w:r w:rsidRPr="00370D08">
        <w:rPr>
          <w:spacing w:val="2"/>
        </w:rPr>
        <w:t>mordbrand, allmänfarlig ödeläggelse, kapning, sjö- eller</w:t>
      </w:r>
      <w:r>
        <w:t xml:space="preserve"> </w:t>
      </w:r>
      <w:r w:rsidRPr="003A2DB0">
        <w:rPr>
          <w:spacing w:val="-4"/>
        </w:rPr>
        <w:t>luft</w:t>
      </w:r>
      <w:r w:rsidRPr="003A2DB0">
        <w:rPr>
          <w:spacing w:val="-4"/>
        </w:rPr>
        <w:softHyphen/>
        <w:t>farts</w:t>
      </w:r>
      <w:r>
        <w:rPr>
          <w:spacing w:val="-4"/>
        </w:rPr>
        <w:softHyphen/>
      </w:r>
      <w:r w:rsidRPr="003A2DB0">
        <w:rPr>
          <w:spacing w:val="-4"/>
        </w:rPr>
        <w:t>sabotage eller flygplatssabotage enligt 13 kap. 1 §, 3 § första eller</w:t>
      </w:r>
      <w:r>
        <w:t xml:space="preserve"> </w:t>
      </w:r>
      <w:r w:rsidRPr="00151471">
        <w:rPr>
          <w:spacing w:val="2"/>
        </w:rPr>
        <w:t>andra stycket, 5 a § eller 5 b § brottsbalken, om brottet innefattar sabotage</w:t>
      </w:r>
      <w:r>
        <w:t xml:space="preserve"> enligt 4 § samma kapitel,</w:t>
      </w:r>
    </w:p>
    <w:p w14:paraId="6A5F4BCB" w14:textId="77777777" w:rsidR="00A050BF" w:rsidRDefault="00A050BF" w:rsidP="00EE3346">
      <w:pPr>
        <w:pStyle w:val="Brdtextmedindrag"/>
      </w:pPr>
      <w:r w:rsidRPr="003A2DB0">
        <w:rPr>
          <w:spacing w:val="-2"/>
        </w:rPr>
        <w:t>9. mened enligt 15 kap. 1 § första stycket brottsbalken, om det kan</w:t>
      </w:r>
      <w:r>
        <w:t xml:space="preserve"> antas att brottets straffvärde överstiger fängelse i tre månader,</w:t>
      </w:r>
    </w:p>
    <w:p w14:paraId="64EB8A0E" w14:textId="77777777" w:rsidR="00A050BF" w:rsidRDefault="00A050BF" w:rsidP="00EE3346">
      <w:pPr>
        <w:pStyle w:val="Brdtextmedindrag"/>
      </w:pPr>
      <w:r>
        <w:t>10. grovt barnpornografibrott eller barnpornografibrott som inte är ringa enligt 16 kap. 10 a § brottsbalken,</w:t>
      </w:r>
    </w:p>
    <w:p w14:paraId="3B1C16B9" w14:textId="77777777" w:rsidR="00A050BF" w:rsidRDefault="00A050BF" w:rsidP="00EE3346">
      <w:pPr>
        <w:pStyle w:val="Brdtextmedindrag"/>
      </w:pPr>
      <w:r w:rsidRPr="003A2DB0">
        <w:rPr>
          <w:spacing w:val="-4"/>
        </w:rPr>
        <w:t>11. övergrepp i rättssak eller skyddande av brottsling enligt 17 kap</w:t>
      </w:r>
      <w:r>
        <w:t xml:space="preserve">. 10 § första eller fjärde stycket eller 11 § första eller andra stycket </w:t>
      </w:r>
      <w:r w:rsidRPr="003A2DB0">
        <w:rPr>
          <w:spacing w:val="-4"/>
        </w:rPr>
        <w:t>brottsbalken, om det kan antas att brottets straffvärde överstiger fäng</w:t>
      </w:r>
      <w:r w:rsidRPr="003A2DB0">
        <w:rPr>
          <w:spacing w:val="-4"/>
        </w:rPr>
        <w:softHyphen/>
        <w:t>else</w:t>
      </w:r>
      <w:r>
        <w:t xml:space="preserve"> i tre månader,</w:t>
      </w:r>
    </w:p>
    <w:p w14:paraId="3FA096AB" w14:textId="77777777" w:rsidR="00A050BF" w:rsidRDefault="00A050BF" w:rsidP="00EE3346">
      <w:pPr>
        <w:pStyle w:val="Brdtextmedindrag"/>
      </w:pPr>
      <w:r w:rsidRPr="003A2DB0">
        <w:rPr>
          <w:spacing w:val="-2"/>
        </w:rPr>
        <w:t>12. grovt skyddande av brottsling enligt 17 kap. 11 § tredje stycket</w:t>
      </w:r>
      <w:r>
        <w:t xml:space="preserve"> brottsbalken,</w:t>
      </w:r>
    </w:p>
    <w:p w14:paraId="0EC0E156" w14:textId="77777777" w:rsidR="00A050BF" w:rsidRDefault="00A050BF" w:rsidP="00EE3346">
      <w:pPr>
        <w:pStyle w:val="Brdtextmedindrag"/>
      </w:pPr>
      <w:r>
        <w:lastRenderedPageBreak/>
        <w:t>13. brott mot medborgerlig frihet enligt 18 kap. 5 § brottsbalken,</w:t>
      </w:r>
    </w:p>
    <w:p w14:paraId="18915119" w14:textId="77777777" w:rsidR="00A050BF" w:rsidRDefault="00A050BF" w:rsidP="00EE3346">
      <w:pPr>
        <w:pStyle w:val="Brdtextmedindrag"/>
      </w:pPr>
      <w:r>
        <w:t xml:space="preserve">14. spioneri, utlandsspioneri, obehörig befattning med hemlig uppgift, grov obehörig befattning med hemlig uppgift eller olovlig </w:t>
      </w:r>
      <w:r w:rsidRPr="003A2DB0">
        <w:rPr>
          <w:spacing w:val="-2"/>
        </w:rPr>
        <w:t>underrättelse</w:t>
      </w:r>
      <w:r>
        <w:rPr>
          <w:spacing w:val="-2"/>
        </w:rPr>
        <w:softHyphen/>
      </w:r>
      <w:r w:rsidRPr="003A2DB0">
        <w:rPr>
          <w:spacing w:val="-2"/>
        </w:rPr>
        <w:t>verksamhet mot Sverige, mot främmande makt eller mot</w:t>
      </w:r>
      <w:r>
        <w:t xml:space="preserve"> person enligt 19 kap. 5, 6 a, 7, 8, 10, 10 a eller 10 b § brottsbalken,</w:t>
      </w:r>
    </w:p>
    <w:p w14:paraId="19E0F00B" w14:textId="77777777" w:rsidR="00A050BF" w:rsidRDefault="00A050BF" w:rsidP="00EE3346">
      <w:pPr>
        <w:pStyle w:val="Brdtextmedindrag"/>
      </w:pPr>
      <w:r w:rsidRPr="002C5825">
        <w:rPr>
          <w:spacing w:val="-4"/>
        </w:rPr>
        <w:t>15. grovt penningtvättsbrott eller näringspenningtvätt, grovt brott,</w:t>
      </w:r>
      <w:r>
        <w:t xml:space="preserve"> </w:t>
      </w:r>
      <w:r w:rsidRPr="002C5825">
        <w:rPr>
          <w:spacing w:val="-4"/>
        </w:rPr>
        <w:t>enligt 5 § eller 7 § andra stycket lagen (2014:307) om straff för penning</w:t>
      </w:r>
      <w:r w:rsidRPr="002C5825">
        <w:rPr>
          <w:spacing w:val="-4"/>
        </w:rPr>
        <w:softHyphen/>
        <w:t>tvättsbrott</w:t>
      </w:r>
      <w:r>
        <w:t>,</w:t>
      </w:r>
    </w:p>
    <w:p w14:paraId="6565A62B" w14:textId="77777777" w:rsidR="00A050BF" w:rsidRDefault="00A050BF" w:rsidP="00EE3346">
      <w:pPr>
        <w:pStyle w:val="Brdtextmedindrag"/>
      </w:pPr>
      <w:r w:rsidRPr="002C5825">
        <w:rPr>
          <w:spacing w:val="2"/>
        </w:rPr>
        <w:t xml:space="preserve">16. grovt insiderbrott enligt 2 kap. 1 § tredje stycket lagen </w:t>
      </w:r>
      <w:r w:rsidRPr="002C5825">
        <w:rPr>
          <w:spacing w:val="-2"/>
        </w:rPr>
        <w:t>(2016:1307) om straff för marknadsmissbruk på värdepappers</w:t>
      </w:r>
      <w:r w:rsidRPr="002C5825">
        <w:rPr>
          <w:spacing w:val="-2"/>
        </w:rPr>
        <w:softHyphen/>
        <w:t>mark</w:t>
      </w:r>
      <w:r w:rsidRPr="002C5825">
        <w:rPr>
          <w:spacing w:val="-2"/>
        </w:rPr>
        <w:softHyphen/>
        <w:t>naden,</w:t>
      </w:r>
    </w:p>
    <w:p w14:paraId="07A4A71A" w14:textId="77777777" w:rsidR="00A050BF" w:rsidRDefault="00A050BF" w:rsidP="00EE3346">
      <w:pPr>
        <w:pStyle w:val="Brdtextmedindrag"/>
      </w:pPr>
      <w:r w:rsidRPr="002C5825">
        <w:rPr>
          <w:spacing w:val="-2"/>
        </w:rPr>
        <w:t>17. </w:t>
      </w:r>
      <w:r w:rsidRPr="00C203C8">
        <w:rPr>
          <w:spacing w:val="-2"/>
        </w:rPr>
        <w:t>företagsspioneri eller olovligt röjande av teknisk företagshemlighet</w:t>
      </w:r>
      <w:r w:rsidRPr="002C5825">
        <w:rPr>
          <w:spacing w:val="-2"/>
        </w:rPr>
        <w:t xml:space="preserve"> enligt 26 </w:t>
      </w:r>
      <w:r w:rsidRPr="00C203C8">
        <w:rPr>
          <w:spacing w:val="-2"/>
        </w:rPr>
        <w:t>eller 26 a</w:t>
      </w:r>
      <w:r>
        <w:rPr>
          <w:spacing w:val="-2"/>
        </w:rPr>
        <w:t> §</w:t>
      </w:r>
      <w:r w:rsidRPr="002C5825">
        <w:rPr>
          <w:spacing w:val="-2"/>
        </w:rPr>
        <w:t xml:space="preserve"> lagen (2018:558) om företags</w:t>
      </w:r>
      <w:r w:rsidRPr="002C5825">
        <w:rPr>
          <w:spacing w:val="-2"/>
        </w:rPr>
        <w:softHyphen/>
        <w:t>hem</w:t>
      </w:r>
      <w:r w:rsidRPr="002C5825">
        <w:rPr>
          <w:spacing w:val="-2"/>
        </w:rPr>
        <w:softHyphen/>
        <w:t>lig</w:t>
      </w:r>
      <w:r>
        <w:rPr>
          <w:spacing w:val="-2"/>
        </w:rPr>
        <w:softHyphen/>
      </w:r>
      <w:r w:rsidRPr="002C5825">
        <w:rPr>
          <w:spacing w:val="-2"/>
        </w:rPr>
        <w:t>heter</w:t>
      </w:r>
      <w:r>
        <w:t xml:space="preserve">, om det finns anledning att anta att gärningen har begåtts på </w:t>
      </w:r>
      <w:r w:rsidRPr="002C5825">
        <w:rPr>
          <w:spacing w:val="-2"/>
        </w:rPr>
        <w:t>uppdrag av eller har understötts av en främmande makt eller av någon</w:t>
      </w:r>
      <w:r>
        <w:t xml:space="preserve"> som har agerat för en främmande makts räkning,</w:t>
      </w:r>
    </w:p>
    <w:p w14:paraId="52AB3E00" w14:textId="77777777" w:rsidR="00A050BF" w:rsidRDefault="00A050BF" w:rsidP="00EE3346">
      <w:pPr>
        <w:pStyle w:val="Brdtextmedindrag"/>
      </w:pPr>
      <w:r>
        <w:t xml:space="preserve">18. deltagande i en terroristorganisation, samröre med en </w:t>
      </w:r>
      <w:r w:rsidRPr="002C5825">
        <w:rPr>
          <w:spacing w:val="-4"/>
        </w:rPr>
        <w:t>ter</w:t>
      </w:r>
      <w:r w:rsidRPr="002C5825">
        <w:rPr>
          <w:spacing w:val="-4"/>
        </w:rPr>
        <w:softHyphen/>
        <w:t>ro</w:t>
      </w:r>
      <w:r w:rsidRPr="002C5825">
        <w:rPr>
          <w:spacing w:val="-4"/>
        </w:rPr>
        <w:softHyphen/>
        <w:t>rist</w:t>
      </w:r>
      <w:r>
        <w:rPr>
          <w:spacing w:val="-4"/>
        </w:rPr>
        <w:softHyphen/>
      </w:r>
      <w:r w:rsidRPr="002C5825">
        <w:rPr>
          <w:spacing w:val="-4"/>
        </w:rPr>
        <w:t>organisation, finansiering av terrorism eller särskilt allvarlig brotts</w:t>
      </w:r>
      <w:r w:rsidRPr="002C5825">
        <w:rPr>
          <w:spacing w:val="-4"/>
        </w:rPr>
        <w:softHyphen/>
      </w:r>
      <w:r w:rsidRPr="00943E77">
        <w:rPr>
          <w:spacing w:val="-2"/>
        </w:rPr>
        <w:t xml:space="preserve">lighet, offentlig uppmaning till terrorism eller särskilt allvarlig </w:t>
      </w:r>
      <w:r w:rsidRPr="00943E77">
        <w:rPr>
          <w:spacing w:val="2"/>
        </w:rPr>
        <w:t>brotts</w:t>
      </w:r>
      <w:r w:rsidRPr="00943E77">
        <w:rPr>
          <w:spacing w:val="2"/>
        </w:rPr>
        <w:softHyphen/>
        <w:t>lighet, rekrytering till terrorism eller särskilt allvarlig brotts</w:t>
      </w:r>
      <w:r w:rsidRPr="00943E77">
        <w:rPr>
          <w:spacing w:val="2"/>
        </w:rPr>
        <w:softHyphen/>
        <w:t>lighet</w:t>
      </w:r>
      <w:r>
        <w:t>, utbildning för terrorism eller särskilt allvarlig brottslighet eller resa för terrorism eller särskilt allvarlig brottslighet enligt 4 a, 5, 6, 7, 8, 9 eller 10 § terrorist</w:t>
      </w:r>
      <w:r>
        <w:softHyphen/>
        <w:t>brottslagen (2022:666),</w:t>
      </w:r>
    </w:p>
    <w:p w14:paraId="0E7670A0" w14:textId="77777777" w:rsidR="00A050BF" w:rsidRDefault="00A050BF" w:rsidP="00EE3346">
      <w:pPr>
        <w:pStyle w:val="Brdtextmedindrag"/>
      </w:pPr>
      <w:r>
        <w:t>19. försök, förberedelse eller stämpling till ett brott som avses i 1–5, 7, 8, 10 eller 12–18, om en sådan gärning är belagd med straff,</w:t>
      </w:r>
    </w:p>
    <w:p w14:paraId="70CB6FCE" w14:textId="77777777" w:rsidR="00A050BF" w:rsidRDefault="00A050BF" w:rsidP="00EE3346">
      <w:pPr>
        <w:pStyle w:val="Brdtextmedindrag"/>
      </w:pPr>
      <w:r>
        <w:t>20. försök, förberedelse eller stämpling till ett brott som avses i 6, 9 eller 11, om en sådan gärning är belagd med straff och det kan antas att gärningens straffvärde överstiger fängelse i tre månader,</w:t>
      </w:r>
    </w:p>
    <w:p w14:paraId="478D2F31" w14:textId="77777777" w:rsidR="00A050BF" w:rsidRDefault="00A050BF" w:rsidP="00EE3346">
      <w:pPr>
        <w:pStyle w:val="Brdtextmedindrag"/>
      </w:pPr>
      <w:r>
        <w:t>21. ett annat brott, om det kan antas att brottets straffvärde över</w:t>
      </w:r>
      <w:r>
        <w:softHyphen/>
        <w:t>stiger fängelse i två år, eller</w:t>
      </w:r>
    </w:p>
    <w:p w14:paraId="0E58404C" w14:textId="77777777" w:rsidR="00A050BF" w:rsidRDefault="00A050BF" w:rsidP="00EE3346">
      <w:pPr>
        <w:pStyle w:val="Brdtextmedindrag"/>
      </w:pPr>
      <w:r>
        <w:t>22. flera brott, om</w:t>
      </w:r>
    </w:p>
    <w:p w14:paraId="6AA760C0" w14:textId="77777777" w:rsidR="00A050BF" w:rsidRDefault="00A050BF" w:rsidP="00EE3346">
      <w:pPr>
        <w:pStyle w:val="Brdtextmedindrag"/>
      </w:pPr>
      <w:r>
        <w:t>a) en och samma person är skäligen misstänkt för samtliga brott,</w:t>
      </w:r>
    </w:p>
    <w:p w14:paraId="323787FB" w14:textId="77777777" w:rsidR="00A050BF" w:rsidRDefault="00A050BF" w:rsidP="00EE3346">
      <w:pPr>
        <w:pStyle w:val="Brdtextmedindrag"/>
      </w:pPr>
      <w:r>
        <w:t>b) det kan antas att den samlade brottslighetens straffvärde över</w:t>
      </w:r>
      <w:r>
        <w:softHyphen/>
        <w:t>stiger fängelse i två år,</w:t>
      </w:r>
    </w:p>
    <w:p w14:paraId="1768870C" w14:textId="77777777" w:rsidR="00A050BF" w:rsidRDefault="00A050BF" w:rsidP="00EE3346">
      <w:pPr>
        <w:pStyle w:val="Brdtextmedindrag"/>
      </w:pPr>
      <w:r>
        <w:t xml:space="preserve">c) det kan antas att vart och ett av brotten har utgjort ett led i en </w:t>
      </w:r>
      <w:r w:rsidRPr="002C5825">
        <w:rPr>
          <w:spacing w:val="-2"/>
        </w:rPr>
        <w:t>brottslig</w:t>
      </w:r>
      <w:r>
        <w:rPr>
          <w:spacing w:val="-2"/>
        </w:rPr>
        <w:softHyphen/>
      </w:r>
      <w:r w:rsidRPr="002C5825">
        <w:rPr>
          <w:spacing w:val="-2"/>
        </w:rPr>
        <w:t>het som har utövats i organiserad form eller systematiskt, och</w:t>
      </w:r>
    </w:p>
    <w:p w14:paraId="20118930" w14:textId="77777777" w:rsidR="00A050BF" w:rsidRPr="002C5825" w:rsidRDefault="00A050BF" w:rsidP="00EE3346">
      <w:pPr>
        <w:pStyle w:val="Brdtextmedindrag"/>
        <w:rPr>
          <w:spacing w:val="2"/>
        </w:rPr>
      </w:pPr>
      <w:r w:rsidRPr="002C5825">
        <w:rPr>
          <w:spacing w:val="2"/>
        </w:rPr>
        <w:t>d) det för vart och ett av brotten är föreskrivet fängelse i ett år eller mer.</w:t>
      </w:r>
    </w:p>
    <w:p w14:paraId="5BC8C842" w14:textId="77777777" w:rsidR="00A050BF" w:rsidRPr="00C74C45" w:rsidRDefault="00A050BF" w:rsidP="00EE3346">
      <w:pPr>
        <w:pStyle w:val="Brdtextmedindrag"/>
      </w:pPr>
      <w:r w:rsidRPr="00C74C45">
        <w:t>Hemlig avlyssning av elektronisk kommunikation enligt denna paragraf får endast avse ett telefonnummer eller en annan adress eller en viss elektronisk kommunikationsutrustning som</w:t>
      </w:r>
    </w:p>
    <w:p w14:paraId="40B7734E" w14:textId="77777777" w:rsidR="00A050BF" w:rsidRDefault="00A050BF" w:rsidP="00EE3346">
      <w:pPr>
        <w:pStyle w:val="Brdtextmedindrag"/>
      </w:pPr>
      <w:r w:rsidRPr="00996515">
        <w:t>1.</w:t>
      </w:r>
      <w:r>
        <w:t> </w:t>
      </w:r>
      <w:r w:rsidRPr="00996515">
        <w:t>under</w:t>
      </w:r>
      <w:r w:rsidRPr="00C74C45">
        <w:t xml:space="preserve"> den tid som tillståndet avser innehas eller har innehafts av den misstänkte eller annars kan antas ha använts eller komma att användas av den misstänkte,</w:t>
      </w:r>
      <w:r>
        <w:t xml:space="preserve"> </w:t>
      </w:r>
      <w:r w:rsidRPr="00C74C45">
        <w:t>eller</w:t>
      </w:r>
    </w:p>
    <w:p w14:paraId="58CF3D51" w14:textId="77777777" w:rsidR="00A050BF" w:rsidRDefault="00A050BF" w:rsidP="00EE3346">
      <w:pPr>
        <w:pStyle w:val="Brdtextmedindrag"/>
        <w:rPr>
          <w:spacing w:val="-4"/>
        </w:rPr>
      </w:pPr>
      <w:r>
        <w:t>2. </w:t>
      </w:r>
      <w:r w:rsidRPr="00C74C45">
        <w:t xml:space="preserve">det finns synnerlig anledning att anta att den misstänkte under </w:t>
      </w:r>
      <w:r w:rsidRPr="002C5825">
        <w:rPr>
          <w:spacing w:val="-4"/>
        </w:rPr>
        <w:t>den tid som tillståndet avser har kontaktat eller kommer att kontakta.</w:t>
      </w:r>
    </w:p>
    <w:p w14:paraId="21703F4B" w14:textId="77777777" w:rsidR="00A050BF" w:rsidRDefault="00A050BF" w:rsidP="00EE3346">
      <w:pPr>
        <w:pStyle w:val="Brdtextmedindrag"/>
      </w:pPr>
    </w:p>
    <w:p w14:paraId="6A38E52E" w14:textId="77777777" w:rsidR="00A050BF" w:rsidRDefault="00A050BF" w:rsidP="00EE3346">
      <w:pPr>
        <w:pStyle w:val="Brdtextmedindrag"/>
      </w:pPr>
    </w:p>
    <w:p w14:paraId="7E6DC81D" w14:textId="77777777" w:rsidR="00B462C1" w:rsidRDefault="00B462C1">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EE3346" w:rsidRPr="005B0E77" w14:paraId="7CA1E574" w14:textId="77777777" w:rsidTr="00A9083F">
        <w:tc>
          <w:tcPr>
            <w:tcW w:w="2500" w:type="pct"/>
            <w:shd w:val="clear" w:color="auto" w:fill="auto"/>
            <w:tcMar>
              <w:left w:w="0" w:type="dxa"/>
            </w:tcMar>
          </w:tcPr>
          <w:p w14:paraId="23BCF3BF" w14:textId="1EF02951" w:rsidR="00A050BF" w:rsidRPr="005B0E77" w:rsidRDefault="00A050BF" w:rsidP="00A9083F">
            <w:pPr>
              <w:pStyle w:val="Brdtext"/>
              <w:jc w:val="left"/>
              <w:rPr>
                <w:i/>
              </w:rPr>
            </w:pPr>
            <w:r>
              <w:rPr>
                <w:i/>
              </w:rPr>
              <w:lastRenderedPageBreak/>
              <w:t>Lydelse enligt lagrådsremissen En ny vapenlag</w:t>
            </w:r>
          </w:p>
        </w:tc>
        <w:tc>
          <w:tcPr>
            <w:tcW w:w="2500" w:type="pct"/>
            <w:shd w:val="clear" w:color="auto" w:fill="auto"/>
            <w:tcMar>
              <w:right w:w="0" w:type="dxa"/>
            </w:tcMar>
          </w:tcPr>
          <w:p w14:paraId="22DFBEA8" w14:textId="77777777" w:rsidR="00A050BF" w:rsidRPr="005B0E77" w:rsidRDefault="00A050BF" w:rsidP="00A9083F">
            <w:pPr>
              <w:pStyle w:val="Brdtext"/>
              <w:rPr>
                <w:i/>
              </w:rPr>
            </w:pPr>
            <w:r w:rsidRPr="005B0E77">
              <w:rPr>
                <w:i/>
              </w:rPr>
              <w:t>Föreslagen lydelse</w:t>
            </w:r>
          </w:p>
        </w:tc>
      </w:tr>
    </w:tbl>
    <w:p w14:paraId="69EC9CB5" w14:textId="77777777" w:rsidR="00A050BF" w:rsidRDefault="00A050BF" w:rsidP="00EE3346">
      <w:pPr>
        <w:pStyle w:val="Brdtext"/>
        <w:jc w:val="center"/>
        <w:rPr>
          <w:b/>
        </w:rPr>
      </w:pPr>
    </w:p>
    <w:p w14:paraId="3544B87A" w14:textId="77777777" w:rsidR="00A050BF" w:rsidRDefault="00A050BF" w:rsidP="00EE3346">
      <w:pPr>
        <w:pStyle w:val="Brdtext"/>
        <w:jc w:val="center"/>
      </w:pPr>
      <w:r>
        <w:t>18 b §</w:t>
      </w:r>
    </w:p>
    <w:p w14:paraId="2865E94D" w14:textId="77777777" w:rsidR="00A050BF" w:rsidRDefault="00A050BF" w:rsidP="00EE3346">
      <w:pPr>
        <w:pStyle w:val="Brdtextmedindrag"/>
        <w:ind w:firstLine="0"/>
      </w:pPr>
      <w:r w:rsidRPr="00C36219">
        <w:rPr>
          <w:spacing w:val="-4"/>
        </w:rPr>
        <w:t xml:space="preserve">Hemlig avlyssning av elektronisk kommunikation får </w:t>
      </w:r>
      <w:r w:rsidRPr="000779A3">
        <w:rPr>
          <w:spacing w:val="-4"/>
        </w:rPr>
        <w:t xml:space="preserve">även </w:t>
      </w:r>
      <w:r w:rsidRPr="00C36219">
        <w:rPr>
          <w:spacing w:val="-4"/>
        </w:rPr>
        <w:t xml:space="preserve">användas </w:t>
      </w:r>
      <w:r w:rsidRPr="000779A3">
        <w:rPr>
          <w:spacing w:val="-4"/>
        </w:rPr>
        <w:t xml:space="preserve">i syfte att utreda vem som </w:t>
      </w:r>
      <w:r w:rsidRPr="00A312F3">
        <w:rPr>
          <w:spacing w:val="-4"/>
        </w:rPr>
        <w:t xml:space="preserve">skäligen </w:t>
      </w:r>
      <w:r w:rsidRPr="000779A3">
        <w:rPr>
          <w:spacing w:val="-4"/>
        </w:rPr>
        <w:t xml:space="preserve">kan misstänkas </w:t>
      </w:r>
      <w:r w:rsidRPr="00A312F3">
        <w:rPr>
          <w:spacing w:val="-4"/>
        </w:rPr>
        <w:t>för brott som avses i andra stycket</w:t>
      </w:r>
      <w:r w:rsidRPr="000779A3">
        <w:rPr>
          <w:spacing w:val="-4"/>
        </w:rPr>
        <w:t>, om åtgärden är av synnerlig vikt för utredningen.</w:t>
      </w:r>
    </w:p>
    <w:p w14:paraId="68B405AA" w14:textId="77777777" w:rsidR="00A050BF" w:rsidRDefault="00A050BF" w:rsidP="00EE3346">
      <w:pPr>
        <w:pStyle w:val="Brdtextmedindrag"/>
      </w:pPr>
      <w:r>
        <w:t>Hemlig avlyssning av elektronisk kommunikation enligt denna paragraf får användas vid en förundersökning om</w:t>
      </w:r>
    </w:p>
    <w:p w14:paraId="5D4A2AAA" w14:textId="77777777" w:rsidR="00A050BF" w:rsidRDefault="00A050BF" w:rsidP="00EE3346">
      <w:pPr>
        <w:pStyle w:val="Brdtextmedindrag"/>
      </w:pPr>
      <w:r>
        <w:t>1. ett brott för vilket det inte är föreskrivet lindrigare straff än fängelse i fyra år,</w:t>
      </w:r>
    </w:p>
    <w:tbl>
      <w:tblPr>
        <w:tblW w:w="5000" w:type="pct"/>
        <w:tblLook w:val="0600" w:firstRow="0" w:lastRow="0" w:firstColumn="0" w:lastColumn="0" w:noHBand="1" w:noVBand="1"/>
      </w:tblPr>
      <w:tblGrid>
        <w:gridCol w:w="2948"/>
        <w:gridCol w:w="2949"/>
      </w:tblGrid>
      <w:tr w:rsidR="00EE3346" w14:paraId="7677DB03" w14:textId="77777777" w:rsidTr="00A9083F">
        <w:tc>
          <w:tcPr>
            <w:tcW w:w="2500" w:type="pct"/>
            <w:shd w:val="clear" w:color="auto" w:fill="auto"/>
            <w:tcMar>
              <w:left w:w="0" w:type="dxa"/>
            </w:tcMar>
          </w:tcPr>
          <w:p w14:paraId="0153A8C8" w14:textId="77777777" w:rsidR="00A050BF" w:rsidRPr="002F31F7" w:rsidRDefault="00A050BF" w:rsidP="00A9083F">
            <w:pPr>
              <w:pStyle w:val="Brdtextmedindrag"/>
            </w:pPr>
            <w:r w:rsidRPr="002F31F7">
              <w:rPr>
                <w:spacing w:val="2"/>
              </w:rPr>
              <w:t>2.</w:t>
            </w:r>
            <w:r>
              <w:rPr>
                <w:spacing w:val="2"/>
              </w:rPr>
              <w:t> </w:t>
            </w:r>
            <w:r w:rsidRPr="002F31F7">
              <w:rPr>
                <w:spacing w:val="2"/>
              </w:rPr>
              <w:t>grovt dataintrång enligt 4</w:t>
            </w:r>
            <w:r>
              <w:rPr>
                <w:spacing w:val="2"/>
              </w:rPr>
              <w:t> kap.</w:t>
            </w:r>
            <w:r w:rsidRPr="000779A3">
              <w:rPr>
                <w:spacing w:val="2"/>
              </w:rPr>
              <w:t xml:space="preserve"> 9</w:t>
            </w:r>
            <w:r>
              <w:rPr>
                <w:spacing w:val="2"/>
              </w:rPr>
              <w:t> </w:t>
            </w:r>
            <w:r w:rsidRPr="000779A3">
              <w:rPr>
                <w:spacing w:val="2"/>
              </w:rPr>
              <w:t>c</w:t>
            </w:r>
            <w:r>
              <w:rPr>
                <w:spacing w:val="2"/>
              </w:rPr>
              <w:t> </w:t>
            </w:r>
            <w:r w:rsidRPr="000779A3">
              <w:rPr>
                <w:spacing w:val="2"/>
              </w:rPr>
              <w:t>§ andra stycket brottsbalken, om det kan antas att brottets straffvärde överstiger fängelse i ett år,</w:t>
            </w:r>
          </w:p>
        </w:tc>
        <w:tc>
          <w:tcPr>
            <w:tcW w:w="2500" w:type="pct"/>
            <w:shd w:val="clear" w:color="auto" w:fill="auto"/>
            <w:tcMar>
              <w:right w:w="0" w:type="dxa"/>
            </w:tcMar>
          </w:tcPr>
          <w:p w14:paraId="017EBF27" w14:textId="77777777" w:rsidR="00A050BF" w:rsidRPr="00806C3B" w:rsidRDefault="00A050BF" w:rsidP="00A9083F">
            <w:pPr>
              <w:pStyle w:val="Brdtextmedindrag"/>
              <w:rPr>
                <w:i/>
                <w:iCs/>
              </w:rPr>
            </w:pPr>
            <w:r w:rsidRPr="002F31F7">
              <w:rPr>
                <w:spacing w:val="-4"/>
              </w:rPr>
              <w:t>2. </w:t>
            </w:r>
            <w:r w:rsidRPr="002F31F7">
              <w:rPr>
                <w:i/>
                <w:iCs/>
                <w:spacing w:val="-4"/>
              </w:rPr>
              <w:t>äktenskapstvång</w:t>
            </w:r>
            <w:r>
              <w:rPr>
                <w:i/>
                <w:iCs/>
                <w:spacing w:val="-4"/>
              </w:rPr>
              <w:t xml:space="preserve">, </w:t>
            </w:r>
            <w:r w:rsidRPr="002F31F7">
              <w:rPr>
                <w:i/>
                <w:iCs/>
                <w:spacing w:val="-4"/>
              </w:rPr>
              <w:t>barn</w:t>
            </w:r>
            <w:r w:rsidRPr="002F31F7">
              <w:rPr>
                <w:i/>
                <w:iCs/>
                <w:spacing w:val="-4"/>
              </w:rPr>
              <w:softHyphen/>
              <w:t>äkten</w:t>
            </w:r>
            <w:r w:rsidRPr="002F31F7">
              <w:rPr>
                <w:i/>
                <w:iCs/>
                <w:spacing w:val="-4"/>
              </w:rPr>
              <w:softHyphen/>
              <w:t>skaps</w:t>
            </w:r>
            <w:r>
              <w:rPr>
                <w:i/>
                <w:iCs/>
                <w:spacing w:val="-4"/>
              </w:rPr>
              <w:softHyphen/>
            </w:r>
            <w:r w:rsidRPr="002F31F7">
              <w:rPr>
                <w:i/>
                <w:iCs/>
                <w:spacing w:val="-4"/>
              </w:rPr>
              <w:t>brott</w:t>
            </w:r>
            <w:r>
              <w:rPr>
                <w:i/>
                <w:spacing w:val="-4"/>
              </w:rPr>
              <w:t xml:space="preserve"> </w:t>
            </w:r>
            <w:r>
              <w:rPr>
                <w:i/>
                <w:iCs/>
              </w:rPr>
              <w:t>eller</w:t>
            </w:r>
            <w:r>
              <w:t xml:space="preserve"> </w:t>
            </w:r>
            <w:r w:rsidRPr="00212B67">
              <w:t xml:space="preserve">grovt dataintrång </w:t>
            </w:r>
            <w:r>
              <w:t xml:space="preserve">enligt </w:t>
            </w:r>
            <w:r w:rsidRPr="002F31F7">
              <w:rPr>
                <w:spacing w:val="-6"/>
              </w:rPr>
              <w:t>4</w:t>
            </w:r>
            <w:r>
              <w:rPr>
                <w:spacing w:val="-6"/>
              </w:rPr>
              <w:t> kap.</w:t>
            </w:r>
            <w:r w:rsidRPr="002F31F7">
              <w:rPr>
                <w:spacing w:val="-6"/>
              </w:rPr>
              <w:t xml:space="preserve"> </w:t>
            </w:r>
            <w:r>
              <w:rPr>
                <w:i/>
                <w:iCs/>
                <w:spacing w:val="-4"/>
              </w:rPr>
              <w:t>4 c §</w:t>
            </w:r>
            <w:r w:rsidRPr="00274ADF">
              <w:rPr>
                <w:i/>
                <w:iCs/>
              </w:rPr>
              <w:t xml:space="preserve"> </w:t>
            </w:r>
            <w:r w:rsidRPr="004F5AD7">
              <w:rPr>
                <w:i/>
                <w:iCs/>
              </w:rPr>
              <w:t>eller</w:t>
            </w:r>
            <w:r>
              <w:t xml:space="preserve"> </w:t>
            </w:r>
            <w:r w:rsidRPr="002F31F7">
              <w:rPr>
                <w:spacing w:val="2"/>
              </w:rPr>
              <w:t>9 c § andra stycket brotts</w:t>
            </w:r>
            <w:r w:rsidRPr="002F31F7">
              <w:rPr>
                <w:spacing w:val="2"/>
              </w:rPr>
              <w:softHyphen/>
              <w:t>balken</w:t>
            </w:r>
            <w:r>
              <w:rPr>
                <w:spacing w:val="2"/>
              </w:rPr>
              <w:t>, om det kan antas att brottets straffvärde över</w:t>
            </w:r>
            <w:r>
              <w:rPr>
                <w:spacing w:val="2"/>
              </w:rPr>
              <w:softHyphen/>
              <w:t>stiger fängelse i ett år</w:t>
            </w:r>
            <w:r w:rsidRPr="002F31F7">
              <w:rPr>
                <w:spacing w:val="2"/>
              </w:rPr>
              <w:t>,</w:t>
            </w:r>
          </w:p>
        </w:tc>
      </w:tr>
    </w:tbl>
    <w:p w14:paraId="6F19EEFE" w14:textId="77777777" w:rsidR="00A050BF" w:rsidRDefault="00A050BF" w:rsidP="00EE3346">
      <w:pPr>
        <w:pStyle w:val="Brdtextmedindrag"/>
      </w:pPr>
      <w:r w:rsidRPr="000779A3">
        <w:t>3.</w:t>
      </w:r>
      <w:r>
        <w:t> </w:t>
      </w:r>
      <w:r w:rsidRPr="000779A3">
        <w:t>våldtäkt eller våldtäkt mot barn enligt 6</w:t>
      </w:r>
      <w:r>
        <w:t> kap.</w:t>
      </w:r>
      <w:r w:rsidRPr="000779A3">
        <w:t xml:space="preserve"> 1</w:t>
      </w:r>
      <w:r>
        <w:t> §</w:t>
      </w:r>
      <w:r w:rsidRPr="000779A3">
        <w:t xml:space="preserve"> första stycket eller 4</w:t>
      </w:r>
      <w:r>
        <w:t> </w:t>
      </w:r>
      <w:r w:rsidRPr="000779A3">
        <w:t>§ första eller andra stycket brottsbalken,</w:t>
      </w:r>
    </w:p>
    <w:p w14:paraId="50F28354" w14:textId="77777777" w:rsidR="00A050BF" w:rsidRDefault="00A050BF" w:rsidP="00EE3346">
      <w:pPr>
        <w:pStyle w:val="Brdtextmedindrag"/>
      </w:pPr>
      <w:r w:rsidRPr="000779A3">
        <w:t>4.</w:t>
      </w:r>
      <w:r>
        <w:t> </w:t>
      </w:r>
      <w:r w:rsidRPr="000779A3">
        <w:t>grovt bedrägeri enligt 9</w:t>
      </w:r>
      <w:r>
        <w:t> kap.</w:t>
      </w:r>
      <w:r w:rsidRPr="000779A3">
        <w:t xml:space="preserve"> 3</w:t>
      </w:r>
      <w:r>
        <w:t> </w:t>
      </w:r>
      <w:r w:rsidRPr="000779A3">
        <w:t>§ brottsbalken, om gärningen har begåtts med hjälp av elektronisk kommunikation och det kan antas att brottets straffvärde överstiger fängelse i ett år,</w:t>
      </w:r>
    </w:p>
    <w:p w14:paraId="02A50D81" w14:textId="77777777" w:rsidR="00A050BF" w:rsidRDefault="00A050BF" w:rsidP="00EE3346">
      <w:pPr>
        <w:pStyle w:val="Brdtextmedindrag"/>
      </w:pPr>
      <w:r w:rsidRPr="000779A3">
        <w:rPr>
          <w:spacing w:val="-2"/>
        </w:rPr>
        <w:t>5.</w:t>
      </w:r>
      <w:r>
        <w:rPr>
          <w:spacing w:val="-2"/>
        </w:rPr>
        <w:t> </w:t>
      </w:r>
      <w:r w:rsidRPr="000779A3">
        <w:rPr>
          <w:spacing w:val="-2"/>
        </w:rPr>
        <w:t>utpressning enligt 9</w:t>
      </w:r>
      <w:r>
        <w:rPr>
          <w:spacing w:val="-2"/>
        </w:rPr>
        <w:t> kap.</w:t>
      </w:r>
      <w:r w:rsidRPr="000779A3">
        <w:rPr>
          <w:spacing w:val="-2"/>
        </w:rPr>
        <w:t xml:space="preserve"> 4</w:t>
      </w:r>
      <w:r>
        <w:rPr>
          <w:spacing w:val="-2"/>
        </w:rPr>
        <w:t> </w:t>
      </w:r>
      <w:r w:rsidRPr="000779A3">
        <w:rPr>
          <w:spacing w:val="-2"/>
        </w:rPr>
        <w:t>§ första stycket brottsbalken, om det kan antas att brottets straffvärde överstiger fängelse i ett år,</w:t>
      </w:r>
    </w:p>
    <w:p w14:paraId="1103B521" w14:textId="77777777" w:rsidR="00A050BF" w:rsidRDefault="00A050BF" w:rsidP="00EE3346">
      <w:pPr>
        <w:pStyle w:val="Brdtextmedindrag"/>
        <w:rPr>
          <w:spacing w:val="-4"/>
        </w:rPr>
      </w:pPr>
      <w:r w:rsidRPr="00BC1B46">
        <w:rPr>
          <w:spacing w:val="-4"/>
        </w:rPr>
        <w:t>6. grov utpressning enligt 9</w:t>
      </w:r>
      <w:r>
        <w:rPr>
          <w:spacing w:val="-4"/>
        </w:rPr>
        <w:t> kap.</w:t>
      </w:r>
      <w:r w:rsidRPr="00BC1B46">
        <w:rPr>
          <w:spacing w:val="-4"/>
        </w:rPr>
        <w:t xml:space="preserve"> 4</w:t>
      </w:r>
      <w:r>
        <w:rPr>
          <w:spacing w:val="-4"/>
        </w:rPr>
        <w:t> §</w:t>
      </w:r>
      <w:r w:rsidRPr="00BC1B46">
        <w:rPr>
          <w:spacing w:val="-4"/>
        </w:rPr>
        <w:t xml:space="preserve"> andra stycket brottsbalken,</w:t>
      </w:r>
    </w:p>
    <w:p w14:paraId="56486D5C" w14:textId="77777777" w:rsidR="00A050BF" w:rsidRDefault="00A050BF" w:rsidP="00EE3346">
      <w:pPr>
        <w:pStyle w:val="Brdtextmedindrag"/>
      </w:pPr>
      <w:r w:rsidRPr="00BC1B46">
        <w:t>7.</w:t>
      </w:r>
      <w:r>
        <w:t> </w:t>
      </w:r>
      <w:r w:rsidRPr="00BC1B46">
        <w:t>allmänfarlig ödeläggelse eller grovt sabotage enligt 13</w:t>
      </w:r>
      <w:r>
        <w:t> kap.</w:t>
      </w:r>
      <w:r w:rsidRPr="00BC1B46">
        <w:t xml:space="preserve"> 3</w:t>
      </w:r>
      <w:r>
        <w:t> §</w:t>
      </w:r>
      <w:r w:rsidRPr="00BC1B46">
        <w:t xml:space="preserve"> första stycket eller 5</w:t>
      </w:r>
      <w:r>
        <w:t> §</w:t>
      </w:r>
      <w:r w:rsidRPr="00BC1B46">
        <w:t xml:space="preserve"> brottsbalken,</w:t>
      </w:r>
    </w:p>
    <w:p w14:paraId="33984002" w14:textId="77777777" w:rsidR="00A050BF" w:rsidRDefault="00A050BF" w:rsidP="00EE3346">
      <w:pPr>
        <w:pStyle w:val="Brdtextmedindrag"/>
      </w:pPr>
      <w:r w:rsidRPr="00BC1B46">
        <w:t>8.</w:t>
      </w:r>
      <w:r>
        <w:t> </w:t>
      </w:r>
      <w:r w:rsidRPr="00BC1B46">
        <w:t>krigsanstiftan eller grovt utlandsspioneri enligt 19</w:t>
      </w:r>
      <w:r>
        <w:t> kap.</w:t>
      </w:r>
      <w:r w:rsidRPr="00BC1B46">
        <w:t xml:space="preserve"> 2 eller 6 b</w:t>
      </w:r>
      <w:r>
        <w:t> §</w:t>
      </w:r>
      <w:r w:rsidRPr="00BC1B46">
        <w:t xml:space="preserve"> brottsbalken,</w:t>
      </w:r>
    </w:p>
    <w:p w14:paraId="72DC618B" w14:textId="77777777" w:rsidR="00A050BF" w:rsidRDefault="00A050BF" w:rsidP="00EE3346">
      <w:pPr>
        <w:pStyle w:val="Brdtextmedindrag"/>
        <w:rPr>
          <w:spacing w:val="-2"/>
        </w:rPr>
      </w:pPr>
      <w:r w:rsidRPr="00926700">
        <w:rPr>
          <w:spacing w:val="-2"/>
        </w:rPr>
        <w:t>9.</w:t>
      </w:r>
      <w:r>
        <w:rPr>
          <w:spacing w:val="-2"/>
        </w:rPr>
        <w:t> </w:t>
      </w:r>
      <w:r w:rsidRPr="00926700">
        <w:rPr>
          <w:spacing w:val="-2"/>
        </w:rPr>
        <w:t>grovt narkotikabrott enligt 3</w:t>
      </w:r>
      <w:r>
        <w:rPr>
          <w:spacing w:val="-2"/>
        </w:rPr>
        <w:t> §</w:t>
      </w:r>
      <w:r w:rsidRPr="00926700">
        <w:rPr>
          <w:spacing w:val="-2"/>
        </w:rPr>
        <w:t xml:space="preserve"> första stycket narkotikastrafflagen (1968:64),</w:t>
      </w:r>
    </w:p>
    <w:p w14:paraId="0B970304" w14:textId="77777777" w:rsidR="00A050BF" w:rsidRDefault="00A050BF" w:rsidP="00EE3346">
      <w:pPr>
        <w:pStyle w:val="Brdtextmedindrag"/>
      </w:pPr>
      <w:r w:rsidRPr="00BC1B46">
        <w:t>10.</w:t>
      </w:r>
      <w:r>
        <w:t> </w:t>
      </w:r>
      <w:r w:rsidRPr="00BC1B46">
        <w:t xml:space="preserve">grovt vapenbrott enligt </w:t>
      </w:r>
      <w:r>
        <w:t>18 kap.</w:t>
      </w:r>
      <w:r w:rsidRPr="00BC1B46" w:rsidDel="00657E6C">
        <w:t xml:space="preserve"> </w:t>
      </w:r>
      <w:r>
        <w:t>2 §</w:t>
      </w:r>
      <w:r w:rsidRPr="00BC1B46">
        <w:t xml:space="preserve"> första stycket vapenlagen (</w:t>
      </w:r>
      <w:r>
        <w:t>2026:000</w:t>
      </w:r>
      <w:r w:rsidRPr="00BC1B46">
        <w:t>),</w:t>
      </w:r>
    </w:p>
    <w:p w14:paraId="3B5B6B1F" w14:textId="77777777" w:rsidR="00A050BF" w:rsidRDefault="00A050BF" w:rsidP="00EE3346">
      <w:pPr>
        <w:pStyle w:val="Brdtextmedindrag"/>
      </w:pPr>
      <w:r w:rsidRPr="00BC1B46">
        <w:rPr>
          <w:spacing w:val="-4"/>
        </w:rPr>
        <w:t>11.</w:t>
      </w:r>
      <w:r>
        <w:rPr>
          <w:spacing w:val="-4"/>
        </w:rPr>
        <w:t> </w:t>
      </w:r>
      <w:r w:rsidRPr="00BC1B46">
        <w:rPr>
          <w:spacing w:val="-4"/>
        </w:rPr>
        <w:t>grov narkotikasmuggling, grov vapensmuggling eller grov smuggling av explosiv vara enligt 6</w:t>
      </w:r>
      <w:r>
        <w:rPr>
          <w:spacing w:val="-4"/>
        </w:rPr>
        <w:t> §</w:t>
      </w:r>
      <w:r w:rsidRPr="00BC1B46">
        <w:rPr>
          <w:spacing w:val="-4"/>
        </w:rPr>
        <w:t xml:space="preserve"> tredje stycket, 6 a</w:t>
      </w:r>
      <w:r>
        <w:rPr>
          <w:spacing w:val="-4"/>
        </w:rPr>
        <w:t> §</w:t>
      </w:r>
      <w:r w:rsidRPr="00BC1B46">
        <w:rPr>
          <w:spacing w:val="-4"/>
        </w:rPr>
        <w:t xml:space="preserve"> tredje stycket eller 6 b</w:t>
      </w:r>
      <w:r>
        <w:rPr>
          <w:spacing w:val="-4"/>
        </w:rPr>
        <w:t> §</w:t>
      </w:r>
      <w:r w:rsidRPr="00BC1B46">
        <w:rPr>
          <w:spacing w:val="-4"/>
        </w:rPr>
        <w:t xml:space="preserve"> tredje stycket lagen (2000:1225) om straff för smuggling,</w:t>
      </w:r>
    </w:p>
    <w:p w14:paraId="3D2966B8" w14:textId="77777777" w:rsidR="00A050BF" w:rsidRDefault="00A050BF" w:rsidP="00EE3346">
      <w:pPr>
        <w:pStyle w:val="Brdtextmedindrag"/>
      </w:pPr>
      <w:r w:rsidRPr="00BC1B46">
        <w:t>12.</w:t>
      </w:r>
      <w:r>
        <w:t> </w:t>
      </w:r>
      <w:r w:rsidRPr="00BC1B46">
        <w:t>grovt brott enligt 29 a</w:t>
      </w:r>
      <w:r>
        <w:t> §</w:t>
      </w:r>
      <w:r w:rsidRPr="00BC1B46">
        <w:t xml:space="preserve"> första stycket lagen (2010:1011) om</w:t>
      </w:r>
      <w:r>
        <w:t xml:space="preserve"> </w:t>
      </w:r>
      <w:r w:rsidRPr="000D3748">
        <w:t>brand</w:t>
      </w:r>
      <w:r>
        <w:softHyphen/>
      </w:r>
      <w:r w:rsidRPr="000D3748">
        <w:t>farliga</w:t>
      </w:r>
      <w:r w:rsidRPr="00BC1B46">
        <w:t xml:space="preserve"> och explosiva varor,</w:t>
      </w:r>
    </w:p>
    <w:p w14:paraId="78566E3E" w14:textId="77777777" w:rsidR="00A050BF" w:rsidRDefault="00A050BF" w:rsidP="00EE3346">
      <w:pPr>
        <w:pStyle w:val="Brdtextmedindrag"/>
      </w:pPr>
      <w:r w:rsidRPr="00BC1B46">
        <w:t>13.</w:t>
      </w:r>
      <w:r>
        <w:t> </w:t>
      </w:r>
      <w:r w:rsidRPr="00BC1B46">
        <w:t>grovt penningtvättsbrott eller näringspenningtvätt, grovt brott, enligt 5</w:t>
      </w:r>
      <w:r>
        <w:t> §</w:t>
      </w:r>
      <w:r w:rsidRPr="00BC1B46">
        <w:t xml:space="preserve"> eller 7</w:t>
      </w:r>
      <w:r>
        <w:t> §</w:t>
      </w:r>
      <w:r w:rsidRPr="00BC1B46">
        <w:t xml:space="preserve"> andra stycket lagen (2014:307) om straff för penningtvätts</w:t>
      </w:r>
      <w:r>
        <w:softHyphen/>
      </w:r>
      <w:r w:rsidRPr="00BC1B46">
        <w:t>brott, om det kan antas att brottets straffvärde överstiger fängelse i ett år,</w:t>
      </w:r>
    </w:p>
    <w:p w14:paraId="26D032B7" w14:textId="77777777" w:rsidR="00A050BF" w:rsidRDefault="00A050BF" w:rsidP="00EE3346">
      <w:pPr>
        <w:pStyle w:val="Brdtextmedindrag"/>
      </w:pPr>
      <w:r w:rsidRPr="00BC1B46">
        <w:t>14. terroristbrott enligt 4</w:t>
      </w:r>
      <w:r>
        <w:t> §</w:t>
      </w:r>
      <w:r w:rsidRPr="00BC1B46">
        <w:t xml:space="preserve"> terroristbrottslagen (2022:666),</w:t>
      </w:r>
    </w:p>
    <w:p w14:paraId="1C36696E" w14:textId="77777777" w:rsidR="00A050BF" w:rsidRDefault="00A050BF" w:rsidP="00EE3346">
      <w:pPr>
        <w:pStyle w:val="Brdtextmedindrag"/>
      </w:pPr>
      <w:r w:rsidRPr="00BC1B46">
        <w:rPr>
          <w:spacing w:val="-4"/>
        </w:rPr>
        <w:t>15.</w:t>
      </w:r>
      <w:r>
        <w:rPr>
          <w:spacing w:val="-4"/>
        </w:rPr>
        <w:t> </w:t>
      </w:r>
      <w:r w:rsidRPr="00BC1B46">
        <w:rPr>
          <w:spacing w:val="-4"/>
        </w:rPr>
        <w:t>ett brott som avses i 18</w:t>
      </w:r>
      <w:r>
        <w:rPr>
          <w:spacing w:val="-4"/>
        </w:rPr>
        <w:t> </w:t>
      </w:r>
      <w:r w:rsidRPr="00BC1B46">
        <w:rPr>
          <w:spacing w:val="-4"/>
        </w:rPr>
        <w:t>a</w:t>
      </w:r>
      <w:r>
        <w:rPr>
          <w:spacing w:val="-4"/>
        </w:rPr>
        <w:t> §</w:t>
      </w:r>
      <w:r w:rsidRPr="00BC1B46">
        <w:rPr>
          <w:spacing w:val="-4"/>
        </w:rPr>
        <w:t xml:space="preserve"> andra stycket 3, 4, 7, 8, 10, 13, 14, 17 eller 18,</w:t>
      </w:r>
    </w:p>
    <w:p w14:paraId="6E77575B" w14:textId="77777777" w:rsidR="00A050BF" w:rsidRDefault="00A050BF" w:rsidP="00EE3346">
      <w:pPr>
        <w:pStyle w:val="Brdtextmedindrag"/>
      </w:pPr>
      <w:r w:rsidRPr="00BC1B46">
        <w:rPr>
          <w:spacing w:val="2"/>
        </w:rPr>
        <w:t>16.</w:t>
      </w:r>
      <w:r>
        <w:rPr>
          <w:spacing w:val="2"/>
        </w:rPr>
        <w:t> </w:t>
      </w:r>
      <w:r w:rsidRPr="00BC1B46">
        <w:rPr>
          <w:spacing w:val="2"/>
        </w:rPr>
        <w:t>försök, förberedelse eller stämpling till ett brott som avses i 1, 3, 6–12, 14 eller 15, om en sådan gärning är belagd med straff,</w:t>
      </w:r>
    </w:p>
    <w:p w14:paraId="735F3950" w14:textId="77777777" w:rsidR="00A050BF" w:rsidRDefault="00A050BF" w:rsidP="00EE3346">
      <w:pPr>
        <w:pStyle w:val="Brdtextmedindrag"/>
        <w:rPr>
          <w:spacing w:val="-2"/>
        </w:rPr>
      </w:pPr>
      <w:r w:rsidRPr="00BC1B46">
        <w:rPr>
          <w:spacing w:val="-2"/>
        </w:rPr>
        <w:t>17.</w:t>
      </w:r>
      <w:r>
        <w:rPr>
          <w:spacing w:val="-2"/>
        </w:rPr>
        <w:t> </w:t>
      </w:r>
      <w:r w:rsidRPr="00BC1B46">
        <w:rPr>
          <w:spacing w:val="-2"/>
        </w:rPr>
        <w:t>försök, förberedelse eller stämpling till ett brott som avses i 2, 4, 5 eller</w:t>
      </w:r>
      <w:r>
        <w:rPr>
          <w:spacing w:val="-2"/>
        </w:rPr>
        <w:t> </w:t>
      </w:r>
      <w:r w:rsidRPr="00BC1B46">
        <w:rPr>
          <w:spacing w:val="-2"/>
        </w:rPr>
        <w:t>13, om en sådan gärning är belagd med straff och det kan antas att gärningens straffvärde överstiger fängelse i ett år,</w:t>
      </w:r>
    </w:p>
    <w:p w14:paraId="2726AAA0" w14:textId="77777777" w:rsidR="00A050BF" w:rsidRDefault="00A050BF" w:rsidP="00EE3346">
      <w:pPr>
        <w:pStyle w:val="Brdtextmedindrag"/>
      </w:pPr>
      <w:r w:rsidRPr="00BC1B46">
        <w:t>18.</w:t>
      </w:r>
      <w:r>
        <w:t> </w:t>
      </w:r>
      <w:r w:rsidRPr="00BC1B46">
        <w:t>ett annat brott, om det kan antas att brottets straffvärde överstiger fängelse i fyra år, eller</w:t>
      </w:r>
    </w:p>
    <w:p w14:paraId="116C79A5" w14:textId="77777777" w:rsidR="00A050BF" w:rsidRDefault="00A050BF" w:rsidP="00EE3346">
      <w:pPr>
        <w:pStyle w:val="Brdtextmedindrag"/>
      </w:pPr>
      <w:r>
        <w:lastRenderedPageBreak/>
        <w:t>19. flera brott, om</w:t>
      </w:r>
    </w:p>
    <w:p w14:paraId="0983674B" w14:textId="77777777" w:rsidR="00A050BF" w:rsidRDefault="00A050BF" w:rsidP="00EE3346">
      <w:pPr>
        <w:pStyle w:val="Brdtextmedindrag"/>
      </w:pPr>
      <w:r>
        <w:t>a) det kan antas att samtliga brott har begåtts av en och samma person,</w:t>
      </w:r>
    </w:p>
    <w:p w14:paraId="111E4C24" w14:textId="77777777" w:rsidR="00A050BF" w:rsidRDefault="00A050BF" w:rsidP="00EE3346">
      <w:pPr>
        <w:pStyle w:val="Brdtextmedindrag"/>
      </w:pPr>
      <w:r>
        <w:t>b) det kan antas att den samlade brottslighetens straffvärde överstiger fängelse i fyra år,</w:t>
      </w:r>
    </w:p>
    <w:p w14:paraId="525BB4C7" w14:textId="77777777" w:rsidR="00A050BF" w:rsidRDefault="00A050BF" w:rsidP="00EE3346">
      <w:pPr>
        <w:pStyle w:val="Brdtextmedindrag"/>
      </w:pPr>
      <w:r>
        <w:t>c) det kan antas att vart och ett av brotten har utgjort ett led i en brotts</w:t>
      </w:r>
      <w:r>
        <w:softHyphen/>
        <w:t>lighet som har utövats i organiserad form eller systematiskt, och</w:t>
      </w:r>
    </w:p>
    <w:p w14:paraId="23331CDF" w14:textId="77777777" w:rsidR="00A050BF" w:rsidRDefault="00A050BF" w:rsidP="00EE3346">
      <w:pPr>
        <w:pStyle w:val="Brdtextmedindrag"/>
      </w:pPr>
      <w:r>
        <w:t>d) det för vart och ett av brotten inte är föreskrivet lindrigare straff än fängelse i sex månader eller det är fråga om försök, förberedelse eller stämpling till ett sådant brott, om en sådan gärning är belagd med straff.</w:t>
      </w:r>
    </w:p>
    <w:p w14:paraId="7AE76409" w14:textId="77777777" w:rsidR="00A050BF" w:rsidRPr="009F612C" w:rsidRDefault="00A050BF" w:rsidP="00EE3346">
      <w:pPr>
        <w:pStyle w:val="Brdtextmedindrag"/>
        <w:rPr>
          <w:spacing w:val="34"/>
          <w:u w:val="single"/>
        </w:rPr>
      </w:pPr>
      <w:r w:rsidRPr="00C74C45">
        <w:t>Hemlig avlyssning av elektronisk kommunikation enligt denna paragraf får endast avse ett telefonnummer eller en annan adress eller en viss elektronisk kommunikationsutrustning som</w:t>
      </w:r>
    </w:p>
    <w:p w14:paraId="19F5A2FC" w14:textId="77777777" w:rsidR="00A050BF" w:rsidRPr="00BC1B46" w:rsidRDefault="00A050BF" w:rsidP="00EE3346">
      <w:pPr>
        <w:pStyle w:val="Brdtextmedindrag"/>
      </w:pPr>
      <w:r w:rsidRPr="00BC1B46">
        <w:t>1.</w:t>
      </w:r>
      <w:r>
        <w:t> </w:t>
      </w:r>
      <w:r w:rsidRPr="00BC1B46">
        <w:t>det finns särskild anledning att anta att gärningsmannen eller någon annan som har medverkat till brottet eller brotten under den tid som till</w:t>
      </w:r>
      <w:r>
        <w:softHyphen/>
      </w:r>
      <w:r w:rsidRPr="00BC1B46">
        <w:t>ståndet avser har använt eller kommer att använda, eller</w:t>
      </w:r>
    </w:p>
    <w:p w14:paraId="7F7A5ECE" w14:textId="77777777" w:rsidR="00A050BF" w:rsidRDefault="00A050BF" w:rsidP="00EE3346">
      <w:pPr>
        <w:pStyle w:val="Brdtextmedindrag"/>
      </w:pPr>
      <w:r w:rsidRPr="00BC1B46">
        <w:t>2.</w:t>
      </w:r>
      <w:r>
        <w:t> </w:t>
      </w:r>
      <w:r w:rsidRPr="00BC1B46">
        <w:t>det finns synnerlig anledning att anta att gärningsmannen eller någon annan som har medverkat till brottet eller brotten under den tid som till</w:t>
      </w:r>
      <w:r>
        <w:softHyphen/>
      </w:r>
      <w:r w:rsidRPr="00BC1B46">
        <w:t>ståndet avser har kontaktat eller kommer att kontakta.</w:t>
      </w:r>
    </w:p>
    <w:p w14:paraId="14940D0F" w14:textId="77777777" w:rsidR="00A050BF" w:rsidRDefault="00A050BF" w:rsidP="00EE3346">
      <w:pPr>
        <w:pStyle w:val="Slutstreck"/>
      </w:pPr>
      <w:r w:rsidRPr="00660EEA">
        <w:t>                      </w:t>
      </w:r>
    </w:p>
    <w:p w14:paraId="0EC5B49F" w14:textId="77777777" w:rsidR="00A050BF" w:rsidRDefault="00A050BF" w:rsidP="00EE3346">
      <w:pPr>
        <w:pStyle w:val="Brdtextmedindrag"/>
      </w:pPr>
      <w:r>
        <w:t>Denna lag träder i kraft den 2 juli 2026.</w:t>
      </w:r>
    </w:p>
    <w:p w14:paraId="51AEE5C4" w14:textId="77777777" w:rsidR="00A050BF" w:rsidRDefault="00A050BF" w:rsidP="00EE3346">
      <w:pPr>
        <w:pStyle w:val="Brdtextmedindrag"/>
      </w:pPr>
    </w:p>
    <w:p w14:paraId="089930C9" w14:textId="77777777" w:rsidR="00A050BF" w:rsidRDefault="00A050BF" w:rsidP="00EE3346">
      <w:pPr>
        <w:pStyle w:val="Brdtext"/>
      </w:pPr>
    </w:p>
    <w:p w14:paraId="70D865C9" w14:textId="77777777" w:rsidR="00A050BF" w:rsidRDefault="00A050BF" w:rsidP="00EE3346">
      <w:pPr>
        <w:pStyle w:val="Brdtextmedindrag"/>
      </w:pPr>
    </w:p>
    <w:p w14:paraId="15E6627F" w14:textId="77777777" w:rsidR="00A050BF" w:rsidRDefault="00A050BF" w:rsidP="00EE3346">
      <w:pPr>
        <w:pStyle w:val="Brdtextmedindrag"/>
      </w:pPr>
    </w:p>
    <w:p w14:paraId="12447F1C" w14:textId="77777777" w:rsidR="00A050BF" w:rsidRDefault="00A050BF" w:rsidP="00EE3346">
      <w:pPr>
        <w:pStyle w:val="Brdtextmedindrag"/>
        <w:sectPr w:rsidR="00A050BF" w:rsidSect="00155500">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9356" w:h="13721" w:code="9"/>
          <w:pgMar w:top="794" w:right="2438" w:bottom="1191" w:left="1021" w:header="0" w:footer="709" w:gutter="0"/>
          <w:cols w:space="708"/>
          <w:docGrid w:linePitch="360"/>
        </w:sectPr>
      </w:pPr>
    </w:p>
    <w:p w14:paraId="449546B1" w14:textId="77777777" w:rsidR="00A050BF" w:rsidRDefault="00A050BF" w:rsidP="00EE3346">
      <w:pPr>
        <w:pStyle w:val="Rubrik2utannumrering"/>
        <w:spacing w:before="0"/>
      </w:pPr>
      <w:bookmarkStart w:id="169" w:name="_Toc221561233"/>
      <w:r>
        <w:lastRenderedPageBreak/>
        <w:t>Förslag till lag om ändring i brottsbalken</w:t>
      </w:r>
      <w:bookmarkEnd w:id="169"/>
    </w:p>
    <w:p w14:paraId="2DC5BACF" w14:textId="77777777" w:rsidR="00A050BF" w:rsidRPr="00F52597" w:rsidRDefault="00A050BF" w:rsidP="00EE3346">
      <w:pPr>
        <w:pStyle w:val="Brdtext"/>
      </w:pPr>
      <w:r w:rsidRPr="00FF6353">
        <w:rPr>
          <w:spacing w:val="-4"/>
        </w:rPr>
        <w:t xml:space="preserve">Härigenom föreskrivs att 2 kap. 5 § </w:t>
      </w:r>
      <w:r>
        <w:rPr>
          <w:spacing w:val="-4"/>
        </w:rPr>
        <w:t xml:space="preserve">och </w:t>
      </w:r>
      <w:r w:rsidRPr="00FF6353">
        <w:rPr>
          <w:spacing w:val="-4"/>
        </w:rPr>
        <w:t>4 kap. 4 c, 4 d och 10 §§ brotts</w:t>
      </w:r>
      <w:r w:rsidRPr="00FF6353">
        <w:rPr>
          <w:spacing w:val="-4"/>
        </w:rPr>
        <w:softHyphen/>
        <w:t>balken</w:t>
      </w:r>
      <w:r>
        <w:t xml:space="preserve"> ska ha följande lydelse.</w:t>
      </w:r>
    </w:p>
    <w:p w14:paraId="159C6E1E" w14:textId="77777777" w:rsidR="00A050BF" w:rsidRDefault="00A050BF" w:rsidP="00EE3346">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EE3346" w:rsidRPr="005B0E77" w14:paraId="1D2908E4" w14:textId="77777777" w:rsidTr="00A9083F">
        <w:tc>
          <w:tcPr>
            <w:tcW w:w="2500" w:type="pct"/>
            <w:shd w:val="clear" w:color="auto" w:fill="auto"/>
            <w:tcMar>
              <w:left w:w="0" w:type="dxa"/>
            </w:tcMar>
          </w:tcPr>
          <w:p w14:paraId="2D39435A" w14:textId="77777777" w:rsidR="00A050BF" w:rsidRPr="005B0E77" w:rsidRDefault="00A050BF" w:rsidP="00A9083F">
            <w:pPr>
              <w:pStyle w:val="Brdtext"/>
              <w:rPr>
                <w:i/>
              </w:rPr>
            </w:pPr>
            <w:r w:rsidRPr="005B0E77">
              <w:rPr>
                <w:i/>
              </w:rPr>
              <w:t>Nuvarande lydelse</w:t>
            </w:r>
          </w:p>
        </w:tc>
        <w:tc>
          <w:tcPr>
            <w:tcW w:w="2500" w:type="pct"/>
            <w:shd w:val="clear" w:color="auto" w:fill="auto"/>
            <w:tcMar>
              <w:right w:w="0" w:type="dxa"/>
            </w:tcMar>
          </w:tcPr>
          <w:p w14:paraId="08D98DFE" w14:textId="77777777" w:rsidR="00A050BF" w:rsidRPr="005B0E77" w:rsidRDefault="00A050BF" w:rsidP="00A9083F">
            <w:pPr>
              <w:pStyle w:val="Brdtext"/>
              <w:rPr>
                <w:i/>
              </w:rPr>
            </w:pPr>
            <w:r w:rsidRPr="005B0E77">
              <w:rPr>
                <w:i/>
              </w:rPr>
              <w:t>Föreslagen lydelse</w:t>
            </w:r>
          </w:p>
        </w:tc>
      </w:tr>
    </w:tbl>
    <w:p w14:paraId="4A46CE79" w14:textId="77777777" w:rsidR="00A050BF" w:rsidRDefault="00A050BF" w:rsidP="00EE3346">
      <w:pPr>
        <w:pStyle w:val="Brdtext"/>
        <w:jc w:val="center"/>
        <w:rPr>
          <w:b/>
        </w:rPr>
      </w:pPr>
    </w:p>
    <w:p w14:paraId="196BC1EA" w14:textId="77777777" w:rsidR="00A050BF" w:rsidRDefault="00A050BF" w:rsidP="00EE3346">
      <w:pPr>
        <w:pStyle w:val="Brdtext"/>
        <w:jc w:val="center"/>
        <w:rPr>
          <w:b/>
        </w:rPr>
      </w:pPr>
      <w:r>
        <w:rPr>
          <w:b/>
        </w:rPr>
        <w:t>2 kap.</w:t>
      </w:r>
    </w:p>
    <w:p w14:paraId="55FAEC33" w14:textId="77777777" w:rsidR="00A050BF" w:rsidRDefault="00A050BF" w:rsidP="00EE3346">
      <w:pPr>
        <w:pStyle w:val="Brdtext"/>
        <w:jc w:val="center"/>
      </w:pPr>
      <w:r>
        <w:t>5 §</w:t>
      </w:r>
      <w:r>
        <w:rPr>
          <w:rStyle w:val="Fotnotsreferens"/>
        </w:rPr>
        <w:footnoteReference w:id="17"/>
      </w:r>
    </w:p>
    <w:p w14:paraId="1644313A" w14:textId="77777777" w:rsidR="00A050BF" w:rsidRDefault="00A050BF" w:rsidP="00EE3346">
      <w:pPr>
        <w:pStyle w:val="Brdtextmedindrag"/>
        <w:ind w:firstLine="0"/>
        <w:rPr>
          <w:spacing w:val="-2"/>
        </w:rPr>
      </w:pPr>
      <w:r w:rsidRPr="00705FEA">
        <w:rPr>
          <w:spacing w:val="-2"/>
        </w:rPr>
        <w:t>I de fall som avses i 3</w:t>
      </w:r>
      <w:r>
        <w:rPr>
          <w:spacing w:val="-2"/>
        </w:rPr>
        <w:t> §</w:t>
      </w:r>
      <w:r w:rsidRPr="00705FEA">
        <w:rPr>
          <w:spacing w:val="-2"/>
        </w:rPr>
        <w:t xml:space="preserve"> 2, 3 och 5 är svensk domstol behörig </w:t>
      </w:r>
      <w:r w:rsidRPr="00211770">
        <w:rPr>
          <w:spacing w:val="-2"/>
        </w:rPr>
        <w:t>endast om</w:t>
      </w:r>
      <w:r>
        <w:rPr>
          <w:spacing w:val="-2"/>
        </w:rPr>
        <w:t xml:space="preserve"> </w:t>
      </w:r>
      <w:r w:rsidRPr="00211770">
        <w:rPr>
          <w:spacing w:val="-2"/>
        </w:rPr>
        <w:t>gärningen är straffbar även enligt lagen på gärningsorten (dubbel</w:t>
      </w:r>
      <w:r>
        <w:rPr>
          <w:spacing w:val="-2"/>
        </w:rPr>
        <w:t xml:space="preserve"> </w:t>
      </w:r>
      <w:r w:rsidRPr="00705FEA">
        <w:rPr>
          <w:spacing w:val="-2"/>
        </w:rPr>
        <w:t>straff</w:t>
      </w:r>
      <w:r>
        <w:rPr>
          <w:spacing w:val="-2"/>
        </w:rPr>
        <w:softHyphen/>
      </w:r>
      <w:r w:rsidRPr="00705FEA">
        <w:rPr>
          <w:spacing w:val="-2"/>
        </w:rPr>
        <w:t>bar</w:t>
      </w:r>
      <w:r>
        <w:rPr>
          <w:spacing w:val="-2"/>
        </w:rPr>
        <w:softHyphen/>
      </w:r>
      <w:r w:rsidRPr="00705FEA">
        <w:rPr>
          <w:spacing w:val="-2"/>
        </w:rPr>
        <w:t>het). Om brottet har begåtts på flera staters område är kravet</w:t>
      </w:r>
      <w:r w:rsidRPr="00211770">
        <w:rPr>
          <w:spacing w:val="-2"/>
        </w:rPr>
        <w:t xml:space="preserve"> på</w:t>
      </w:r>
      <w:r>
        <w:rPr>
          <w:spacing w:val="-2"/>
        </w:rPr>
        <w:t xml:space="preserve"> </w:t>
      </w:r>
      <w:r w:rsidRPr="00211770">
        <w:rPr>
          <w:spacing w:val="-2"/>
        </w:rPr>
        <w:t>dubbel straff</w:t>
      </w:r>
      <w:r>
        <w:rPr>
          <w:spacing w:val="-2"/>
        </w:rPr>
        <w:softHyphen/>
      </w:r>
      <w:r w:rsidRPr="00211770">
        <w:rPr>
          <w:spacing w:val="-2"/>
        </w:rPr>
        <w:t>barhet uppfyllt om gärningen är straffbar enligt lagen på någon</w:t>
      </w:r>
      <w:r>
        <w:rPr>
          <w:spacing w:val="-2"/>
        </w:rPr>
        <w:t xml:space="preserve"> </w:t>
      </w:r>
      <w:r w:rsidRPr="00211770">
        <w:rPr>
          <w:spacing w:val="-2"/>
        </w:rPr>
        <w:t>av gärnings</w:t>
      </w:r>
      <w:r>
        <w:rPr>
          <w:spacing w:val="-2"/>
        </w:rPr>
        <w:softHyphen/>
      </w:r>
      <w:r w:rsidRPr="00211770">
        <w:rPr>
          <w:spacing w:val="-2"/>
        </w:rPr>
        <w:t>orterna. Det får inte dömas till påföljd som är strängare än det</w:t>
      </w:r>
      <w:r>
        <w:rPr>
          <w:spacing w:val="-2"/>
        </w:rPr>
        <w:t xml:space="preserve"> </w:t>
      </w:r>
      <w:r w:rsidRPr="00211770">
        <w:rPr>
          <w:spacing w:val="-2"/>
        </w:rPr>
        <w:t>svåraste straff som är föreskrivet för brottet enligt lagen på gärningsorten.</w:t>
      </w:r>
    </w:p>
    <w:p w14:paraId="51214999" w14:textId="77777777" w:rsidR="00A050BF" w:rsidRDefault="00A050BF" w:rsidP="00EE3346">
      <w:pPr>
        <w:pStyle w:val="Brdtextmedindrag"/>
      </w:pPr>
      <w:bookmarkStart w:id="170" w:name="_Hlk215735050"/>
      <w:r>
        <w:t xml:space="preserve">Första stycket gäller inte </w:t>
      </w:r>
    </w:p>
    <w:p w14:paraId="05115006" w14:textId="77777777" w:rsidR="00A050BF" w:rsidRDefault="00A050BF" w:rsidP="00EE3346">
      <w:pPr>
        <w:pStyle w:val="Brdtextmedindrag"/>
      </w:pPr>
      <w:r w:rsidRPr="00256F0E">
        <w:t>1.</w:t>
      </w:r>
      <w:r>
        <w:t> </w:t>
      </w:r>
      <w:r w:rsidRPr="00211770">
        <w:t xml:space="preserve">om </w:t>
      </w:r>
      <w:r>
        <w:t>brottet har begåtts av någon som tillhör Försvarsmakten på ett område där en avdelning av Försvarsmakten befann sig,</w:t>
      </w:r>
    </w:p>
    <w:p w14:paraId="043796B4" w14:textId="77777777" w:rsidR="00A050BF" w:rsidRDefault="00A050BF" w:rsidP="00EE3346">
      <w:pPr>
        <w:pStyle w:val="Brdtextmedindrag"/>
      </w:pPr>
      <w:r>
        <w:t xml:space="preserve">2. om brottet har begåtts vid tjänstgöringen av någon som är </w:t>
      </w:r>
      <w:r w:rsidRPr="00211770">
        <w:t>anställd av en svensk myndighet för att delta i en internationell militär</w:t>
      </w:r>
      <w:r>
        <w:t xml:space="preserve"> insats eller i internationell civil krishantering,</w:t>
      </w:r>
    </w:p>
    <w:p w14:paraId="639D246C" w14:textId="77777777" w:rsidR="00A050BF" w:rsidRDefault="00A050BF" w:rsidP="00EE3346">
      <w:pPr>
        <w:pStyle w:val="Brdtextmedindrag"/>
      </w:pPr>
      <w:r>
        <w:t>3. b</w:t>
      </w:r>
      <w:r w:rsidRPr="00FA4726">
        <w:t>rott</w:t>
      </w:r>
      <w:r>
        <w:t xml:space="preserve"> för vilket det lindrigaste straff som är föreskrivet enligt svensk lag är fängelse i fyra</w:t>
      </w:r>
      <w:r w:rsidRPr="00211770">
        <w:t xml:space="preserve"> </w:t>
      </w:r>
      <w:r>
        <w:t>år eller mer, och</w:t>
      </w:r>
    </w:p>
    <w:p w14:paraId="1E8B2372" w14:textId="77777777" w:rsidR="00A050BF" w:rsidRDefault="00A050BF" w:rsidP="00EE3346">
      <w:pPr>
        <w:pStyle w:val="Brdtextmedindrag"/>
      </w:pPr>
      <w:r>
        <w:t>4. brott som avses i</w:t>
      </w:r>
    </w:p>
    <w:p w14:paraId="5ADB8895" w14:textId="77777777" w:rsidR="00A050BF" w:rsidRDefault="00A050BF" w:rsidP="00EE3346">
      <w:pPr>
        <w:pStyle w:val="Brdtextmedindrag"/>
      </w:pPr>
      <w:r>
        <w:t>a) 4 kap. 1 a, 4 c och 4 e §§ och 16 kap. 10 a § första stycket</w:t>
      </w:r>
      <w:r w:rsidRPr="00211770">
        <w:t xml:space="preserve"> </w:t>
      </w:r>
      <w:r>
        <w:t>1 och sjätte stycket eller försök till sådana brott</w:t>
      </w:r>
      <w:r w:rsidRPr="00806F67">
        <w:t>,</w:t>
      </w:r>
    </w:p>
    <w:tbl>
      <w:tblPr>
        <w:tblW w:w="5000" w:type="pct"/>
        <w:tblLook w:val="0600" w:firstRow="0" w:lastRow="0" w:firstColumn="0" w:lastColumn="0" w:noHBand="1" w:noVBand="1"/>
      </w:tblPr>
      <w:tblGrid>
        <w:gridCol w:w="2948"/>
        <w:gridCol w:w="2949"/>
      </w:tblGrid>
      <w:tr w:rsidR="00EE3346" w14:paraId="2FE13293" w14:textId="77777777" w:rsidTr="00A9083F">
        <w:tc>
          <w:tcPr>
            <w:tcW w:w="2500" w:type="pct"/>
            <w:shd w:val="clear" w:color="auto" w:fill="auto"/>
            <w:tcMar>
              <w:left w:w="0" w:type="dxa"/>
            </w:tcMar>
          </w:tcPr>
          <w:bookmarkEnd w:id="170"/>
          <w:p w14:paraId="33139080" w14:textId="77777777" w:rsidR="00A050BF" w:rsidRDefault="00A050BF" w:rsidP="00A9083F">
            <w:pPr>
              <w:pStyle w:val="Brdtextmedindrag"/>
            </w:pPr>
            <w:r w:rsidRPr="00615F59">
              <w:rPr>
                <w:i/>
                <w:spacing w:val="-4"/>
              </w:rPr>
              <w:t>b)</w:t>
            </w:r>
            <w:r>
              <w:rPr>
                <w:i/>
                <w:iCs/>
                <w:spacing w:val="-4"/>
              </w:rPr>
              <w:t> </w:t>
            </w:r>
            <w:r w:rsidRPr="00705FEA">
              <w:rPr>
                <w:i/>
                <w:iCs/>
                <w:spacing w:val="-4"/>
              </w:rPr>
              <w:t>4</w:t>
            </w:r>
            <w:r>
              <w:rPr>
                <w:i/>
                <w:iCs/>
                <w:spacing w:val="-4"/>
              </w:rPr>
              <w:t> kap.</w:t>
            </w:r>
            <w:r w:rsidRPr="00705FEA">
              <w:rPr>
                <w:i/>
                <w:iCs/>
                <w:spacing w:val="-4"/>
              </w:rPr>
              <w:t xml:space="preserve"> 4</w:t>
            </w:r>
            <w:r>
              <w:rPr>
                <w:i/>
                <w:iCs/>
                <w:spacing w:val="-4"/>
              </w:rPr>
              <w:t> §</w:t>
            </w:r>
            <w:r w:rsidRPr="00705FEA">
              <w:rPr>
                <w:i/>
                <w:iCs/>
                <w:spacing w:val="-4"/>
              </w:rPr>
              <w:t xml:space="preserve"> andra stycket </w:t>
            </w:r>
            <w:r w:rsidRPr="00615F59">
              <w:rPr>
                <w:i/>
                <w:iCs/>
                <w:spacing w:val="-4"/>
              </w:rPr>
              <w:t>var</w:t>
            </w:r>
            <w:r>
              <w:rPr>
                <w:i/>
                <w:iCs/>
                <w:spacing w:val="-4"/>
              </w:rPr>
              <w:softHyphen/>
            </w:r>
            <w:r w:rsidRPr="00615F59">
              <w:rPr>
                <w:i/>
                <w:iCs/>
                <w:spacing w:val="-4"/>
              </w:rPr>
              <w:t>igenom</w:t>
            </w:r>
            <w:r w:rsidRPr="00615F59">
              <w:rPr>
                <w:i/>
                <w:spacing w:val="-4"/>
              </w:rPr>
              <w:t xml:space="preserve"> någon förmåtts att ingå ett sådant äktenskap eller en sådan äktenskapsliknande förbindelse som avses i 4 c</w:t>
            </w:r>
            <w:r>
              <w:rPr>
                <w:i/>
                <w:spacing w:val="-4"/>
              </w:rPr>
              <w:t> §</w:t>
            </w:r>
            <w:r w:rsidRPr="00615F59">
              <w:rPr>
                <w:i/>
                <w:spacing w:val="-4"/>
              </w:rPr>
              <w:t xml:space="preserve"> eller försök till sådant brott</w:t>
            </w:r>
            <w:r w:rsidRPr="00615F59">
              <w:rPr>
                <w:i/>
                <w:iCs/>
                <w:spacing w:val="-4"/>
              </w:rPr>
              <w:t>,</w:t>
            </w:r>
          </w:p>
        </w:tc>
        <w:tc>
          <w:tcPr>
            <w:tcW w:w="2500" w:type="pct"/>
            <w:shd w:val="clear" w:color="auto" w:fill="auto"/>
            <w:tcMar>
              <w:right w:w="0" w:type="dxa"/>
            </w:tcMar>
          </w:tcPr>
          <w:p w14:paraId="109B4636" w14:textId="77777777" w:rsidR="00A050BF" w:rsidRDefault="00A050BF" w:rsidP="00A9083F">
            <w:pPr>
              <w:pStyle w:val="Brdtextmedindrag"/>
            </w:pPr>
          </w:p>
        </w:tc>
      </w:tr>
      <w:tr w:rsidR="00EE3346" w14:paraId="05CF123C" w14:textId="77777777" w:rsidTr="00A9083F">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D5E0AA4" w14:textId="77777777" w:rsidR="00A050BF" w:rsidRDefault="00A050BF" w:rsidP="00A9083F">
            <w:pPr>
              <w:pStyle w:val="Brdtextmedindrag"/>
            </w:pPr>
            <w:r w:rsidRPr="002F6441">
              <w:rPr>
                <w:i/>
                <w:iCs/>
              </w:rPr>
              <w:t>c)</w:t>
            </w:r>
            <w:r>
              <w:rPr>
                <w:i/>
                <w:iCs/>
              </w:rPr>
              <w:t> </w:t>
            </w:r>
            <w:r>
              <w:t xml:space="preserve">6 kap. 1–6, 8, 9 och 12 §§ </w:t>
            </w:r>
            <w:r w:rsidRPr="00615F59">
              <w:t>eller försök till brott enligt 6</w:t>
            </w:r>
            <w:r>
              <w:t xml:space="preserve"> kap. </w:t>
            </w:r>
            <w:r w:rsidRPr="00615F59">
              <w:t>1, 2, 4–6, 8, 9 och 12</w:t>
            </w:r>
            <w:r>
              <w:t> §</w:t>
            </w:r>
            <w:r w:rsidRPr="00615F59">
              <w:t>§, om brottet</w:t>
            </w:r>
            <w:r>
              <w:t xml:space="preserve"> begåtts mot en person som inte fyllt arton</w:t>
            </w:r>
            <w:r w:rsidRPr="00615F59">
              <w:t xml:space="preserve"> </w:t>
            </w:r>
            <w:r>
              <w:t>år,</w:t>
            </w:r>
          </w:p>
          <w:p w14:paraId="4BCB1C3B" w14:textId="77777777" w:rsidR="00A050BF" w:rsidRDefault="00A050BF" w:rsidP="00A9083F">
            <w:pPr>
              <w:pStyle w:val="Brdtextmedindrag"/>
            </w:pPr>
            <w:r w:rsidRPr="002F6441">
              <w:rPr>
                <w:i/>
                <w:iCs/>
              </w:rPr>
              <w:t>d)</w:t>
            </w:r>
            <w:r>
              <w:rPr>
                <w:i/>
                <w:iCs/>
              </w:rPr>
              <w:t> </w:t>
            </w:r>
            <w:r>
              <w:t>14 kap. 6 § eller försök till sådant brott</w:t>
            </w:r>
            <w:r w:rsidRPr="00625419">
              <w:t>,</w:t>
            </w:r>
          </w:p>
          <w:p w14:paraId="4A06D794" w14:textId="77777777" w:rsidR="00A050BF" w:rsidRDefault="00A050BF" w:rsidP="00A9083F">
            <w:pPr>
              <w:pStyle w:val="Brdtextmedindrag"/>
            </w:pPr>
            <w:r w:rsidRPr="00A46231">
              <w:rPr>
                <w:i/>
                <w:iCs/>
              </w:rPr>
              <w:t>e)</w:t>
            </w:r>
            <w:r w:rsidRPr="00211770">
              <w:rPr>
                <w:i/>
                <w:iCs/>
              </w:rPr>
              <w:t xml:space="preserve"> </w:t>
            </w:r>
            <w:r>
              <w:t>22 kap. 6</w:t>
            </w:r>
            <w:r w:rsidRPr="00615F59">
              <w:t xml:space="preserve"> </w:t>
            </w:r>
            <w:r>
              <w:t>a och 6</w:t>
            </w:r>
            <w:r w:rsidRPr="00615F59">
              <w:t xml:space="preserve"> </w:t>
            </w:r>
            <w:r>
              <w:t>b §§,</w:t>
            </w:r>
          </w:p>
          <w:p w14:paraId="038921EF" w14:textId="77777777" w:rsidR="00A050BF" w:rsidRDefault="00A050BF" w:rsidP="00A9083F">
            <w:pPr>
              <w:pStyle w:val="Brdtextmedindrag"/>
            </w:pPr>
            <w:r w:rsidRPr="00B23D3F">
              <w:rPr>
                <w:i/>
                <w:iCs/>
              </w:rPr>
              <w:t>f)</w:t>
            </w:r>
            <w:r>
              <w:rPr>
                <w:i/>
                <w:iCs/>
              </w:rPr>
              <w:t> </w:t>
            </w:r>
            <w:r w:rsidRPr="00615F59">
              <w:t>2</w:t>
            </w:r>
            <w:r>
              <w:t> §</w:t>
            </w:r>
            <w:r w:rsidRPr="00615F59">
              <w:t xml:space="preserve"> lagen (1982:316) om för</w:t>
            </w:r>
            <w:r>
              <w:softHyphen/>
            </w:r>
            <w:r w:rsidRPr="00615F59">
              <w:t>bud mot könsstympning av kvinnor och oskuldsingrepp på kvinnor,</w:t>
            </w:r>
          </w:p>
          <w:p w14:paraId="3EE78725" w14:textId="77777777" w:rsidR="00A050BF" w:rsidRDefault="00A050BF" w:rsidP="00A9083F">
            <w:pPr>
              <w:pStyle w:val="Brdtextmedindrag"/>
              <w:rPr>
                <w:spacing w:val="-6"/>
              </w:rPr>
            </w:pPr>
            <w:r w:rsidRPr="00B23D3F">
              <w:rPr>
                <w:i/>
                <w:iCs/>
                <w:spacing w:val="-6"/>
              </w:rPr>
              <w:t>g)</w:t>
            </w:r>
            <w:r>
              <w:rPr>
                <w:i/>
                <w:iCs/>
                <w:spacing w:val="-6"/>
              </w:rPr>
              <w:t> </w:t>
            </w:r>
            <w:r w:rsidRPr="00B23D3F">
              <w:rPr>
                <w:spacing w:val="-6"/>
              </w:rPr>
              <w:t>3–5 och 7–10</w:t>
            </w:r>
            <w:r>
              <w:rPr>
                <w:spacing w:val="-6"/>
              </w:rPr>
              <w:t> §</w:t>
            </w:r>
            <w:r w:rsidRPr="00B23D3F">
              <w:rPr>
                <w:spacing w:val="-6"/>
              </w:rPr>
              <w:t>§ lagen (2025:327) om internationella sank</w:t>
            </w:r>
            <w:r>
              <w:rPr>
                <w:spacing w:val="-6"/>
              </w:rPr>
              <w:softHyphen/>
            </w:r>
            <w:r w:rsidRPr="00B23D3F">
              <w:rPr>
                <w:spacing w:val="-6"/>
              </w:rPr>
              <w:t>tioner, eller</w:t>
            </w:r>
          </w:p>
          <w:p w14:paraId="53386E8E" w14:textId="77777777" w:rsidR="00A050BF" w:rsidRDefault="00A050BF" w:rsidP="00A9083F">
            <w:pPr>
              <w:pStyle w:val="Brdtextmedindrag"/>
            </w:pPr>
            <w:r w:rsidRPr="00A46231">
              <w:rPr>
                <w:i/>
                <w:iCs/>
              </w:rPr>
              <w:t>h)</w:t>
            </w:r>
            <w:r>
              <w:rPr>
                <w:i/>
                <w:iCs/>
              </w:rPr>
              <w:t> </w:t>
            </w:r>
            <w:r>
              <w:t xml:space="preserve">19 § lagen (2023:677) om </w:t>
            </w:r>
            <w:r w:rsidRPr="00B23D3F">
              <w:t>frysning</w:t>
            </w:r>
            <w:r>
              <w:t xml:space="preserve"> av tillgångar.</w:t>
            </w:r>
          </w:p>
        </w:tc>
        <w:tc>
          <w:tcPr>
            <w:tcW w:w="2500" w:type="pct"/>
            <w:shd w:val="clear" w:color="auto" w:fill="auto"/>
            <w:tcMar>
              <w:right w:w="0" w:type="dxa"/>
            </w:tcMar>
          </w:tcPr>
          <w:p w14:paraId="36F62ECE" w14:textId="77777777" w:rsidR="00A050BF" w:rsidRDefault="00A050BF" w:rsidP="00A9083F">
            <w:pPr>
              <w:pStyle w:val="Brdtextmedindrag"/>
              <w:rPr>
                <w:i/>
                <w:iCs/>
              </w:rPr>
            </w:pPr>
            <w:bookmarkStart w:id="171" w:name="_Hlk215735095"/>
            <w:r>
              <w:rPr>
                <w:i/>
                <w:iCs/>
              </w:rPr>
              <w:t>b</w:t>
            </w:r>
            <w:r w:rsidRPr="00211770">
              <w:rPr>
                <w:i/>
                <w:iCs/>
              </w:rPr>
              <w:t>)</w:t>
            </w:r>
            <w:r>
              <w:rPr>
                <w:i/>
                <w:iCs/>
              </w:rPr>
              <w:t> </w:t>
            </w:r>
            <w:r w:rsidRPr="00615F59">
              <w:t>6</w:t>
            </w:r>
            <w:r>
              <w:t> kap.</w:t>
            </w:r>
            <w:r w:rsidRPr="00615F59">
              <w:t xml:space="preserve"> 1–6, 8, 9 och 12</w:t>
            </w:r>
            <w:r>
              <w:t> §</w:t>
            </w:r>
            <w:r w:rsidRPr="00615F59">
              <w:t>§ eller försök till brott enligt 6</w:t>
            </w:r>
            <w:r>
              <w:t> kap.</w:t>
            </w:r>
            <w:r w:rsidRPr="00615F59">
              <w:t xml:space="preserve"> 1, 2, 4–6, 8, 9 och 12</w:t>
            </w:r>
            <w:r>
              <w:t> §</w:t>
            </w:r>
            <w:r w:rsidRPr="00615F59">
              <w:t>§, om brottet begåtts mot en person som inte fyllt arton år</w:t>
            </w:r>
            <w:r w:rsidRPr="00625419">
              <w:t>,</w:t>
            </w:r>
            <w:r>
              <w:rPr>
                <w:i/>
                <w:iCs/>
              </w:rPr>
              <w:t xml:space="preserve"> </w:t>
            </w:r>
          </w:p>
          <w:p w14:paraId="1D6E59EC" w14:textId="77777777" w:rsidR="00A050BF" w:rsidRDefault="00A050BF" w:rsidP="00A9083F">
            <w:pPr>
              <w:pStyle w:val="Brdtextmedindrag"/>
            </w:pPr>
            <w:r w:rsidRPr="002F6441">
              <w:rPr>
                <w:i/>
                <w:iCs/>
              </w:rPr>
              <w:t>c)</w:t>
            </w:r>
            <w:r>
              <w:rPr>
                <w:i/>
                <w:iCs/>
              </w:rPr>
              <w:t> </w:t>
            </w:r>
            <w:r>
              <w:t>14 kap. 6 § eller försök till sådant brott,</w:t>
            </w:r>
          </w:p>
          <w:p w14:paraId="2D7C7858" w14:textId="77777777" w:rsidR="00A050BF" w:rsidRDefault="00A050BF" w:rsidP="00A9083F">
            <w:pPr>
              <w:pStyle w:val="Brdtextmedindrag"/>
            </w:pPr>
            <w:r>
              <w:rPr>
                <w:i/>
                <w:iCs/>
              </w:rPr>
              <w:t>d</w:t>
            </w:r>
            <w:r w:rsidRPr="00B23D3F">
              <w:rPr>
                <w:i/>
                <w:iCs/>
              </w:rPr>
              <w:t xml:space="preserve">) </w:t>
            </w:r>
            <w:r w:rsidRPr="00615F59">
              <w:t>22</w:t>
            </w:r>
            <w:r>
              <w:t> kap.</w:t>
            </w:r>
            <w:r w:rsidRPr="00615F59">
              <w:t xml:space="preserve"> 6 a och 6 b</w:t>
            </w:r>
            <w:r>
              <w:t> §</w:t>
            </w:r>
            <w:r w:rsidRPr="00615F59">
              <w:t>§,</w:t>
            </w:r>
          </w:p>
          <w:p w14:paraId="1B2197FF" w14:textId="77777777" w:rsidR="00A050BF" w:rsidRDefault="00A050BF" w:rsidP="00A9083F">
            <w:pPr>
              <w:pStyle w:val="Brdtextmedindrag"/>
            </w:pPr>
            <w:r w:rsidRPr="00A46231">
              <w:rPr>
                <w:i/>
                <w:iCs/>
              </w:rPr>
              <w:t>e)</w:t>
            </w:r>
            <w:r>
              <w:rPr>
                <w:i/>
                <w:iCs/>
              </w:rPr>
              <w:t> </w:t>
            </w:r>
            <w:r>
              <w:t>2 §</w:t>
            </w:r>
            <w:r w:rsidRPr="00615F59">
              <w:t xml:space="preserve"> </w:t>
            </w:r>
            <w:r>
              <w:t xml:space="preserve">lagen (1982:316) </w:t>
            </w:r>
            <w:r w:rsidRPr="00615F59">
              <w:t>om</w:t>
            </w:r>
            <w:r>
              <w:t xml:space="preserve"> för</w:t>
            </w:r>
            <w:r>
              <w:softHyphen/>
              <w:t>bud mot könsstympning av kvinnor</w:t>
            </w:r>
            <w:r w:rsidRPr="00615F59">
              <w:t xml:space="preserve"> och oskuldsingrepp på kvinnor</w:t>
            </w:r>
            <w:r>
              <w:t>,</w:t>
            </w:r>
          </w:p>
          <w:p w14:paraId="72D0C4CF" w14:textId="77777777" w:rsidR="00A050BF" w:rsidRDefault="00A050BF" w:rsidP="00A9083F">
            <w:pPr>
              <w:pStyle w:val="Brdtextmedindrag"/>
              <w:rPr>
                <w:spacing w:val="-6"/>
              </w:rPr>
            </w:pPr>
            <w:r>
              <w:rPr>
                <w:i/>
                <w:iCs/>
              </w:rPr>
              <w:t>f</w:t>
            </w:r>
            <w:r w:rsidRPr="00B23D3F">
              <w:rPr>
                <w:i/>
                <w:iCs/>
                <w:spacing w:val="-6"/>
              </w:rPr>
              <w:t>)</w:t>
            </w:r>
            <w:r>
              <w:rPr>
                <w:i/>
                <w:iCs/>
                <w:spacing w:val="-6"/>
              </w:rPr>
              <w:t> </w:t>
            </w:r>
            <w:r w:rsidRPr="00615F59">
              <w:rPr>
                <w:spacing w:val="-6"/>
              </w:rPr>
              <w:t>3–5 och 7–10</w:t>
            </w:r>
            <w:r>
              <w:rPr>
                <w:spacing w:val="-6"/>
              </w:rPr>
              <w:t> §</w:t>
            </w:r>
            <w:r w:rsidRPr="00615F59">
              <w:rPr>
                <w:spacing w:val="-6"/>
              </w:rPr>
              <w:t>§ lagen (2025:327) om internationella sank</w:t>
            </w:r>
            <w:r>
              <w:rPr>
                <w:spacing w:val="-6"/>
              </w:rPr>
              <w:softHyphen/>
            </w:r>
            <w:r w:rsidRPr="00615F59">
              <w:rPr>
                <w:spacing w:val="-6"/>
              </w:rPr>
              <w:t>tioner, eller</w:t>
            </w:r>
          </w:p>
          <w:p w14:paraId="4E1B3BB9" w14:textId="77777777" w:rsidR="00A050BF" w:rsidRDefault="00A050BF" w:rsidP="00A9083F">
            <w:pPr>
              <w:pStyle w:val="Brdtextmedindrag"/>
            </w:pPr>
            <w:r w:rsidRPr="00A46231">
              <w:rPr>
                <w:i/>
                <w:iCs/>
              </w:rPr>
              <w:t>g)</w:t>
            </w:r>
            <w:r>
              <w:rPr>
                <w:i/>
                <w:iCs/>
              </w:rPr>
              <w:t> </w:t>
            </w:r>
            <w:r>
              <w:t>19 § lagen (2023:677) om frysning av tillgångar.</w:t>
            </w:r>
            <w:bookmarkEnd w:id="171"/>
          </w:p>
        </w:tc>
      </w:tr>
    </w:tbl>
    <w:p w14:paraId="73FB3C18" w14:textId="77777777" w:rsidR="00A050BF" w:rsidRDefault="00A050BF" w:rsidP="00EE3346">
      <w:pPr>
        <w:pStyle w:val="Brdtext"/>
        <w:jc w:val="center"/>
        <w:rPr>
          <w:b/>
        </w:rPr>
      </w:pPr>
      <w:r>
        <w:rPr>
          <w:b/>
        </w:rPr>
        <w:lastRenderedPageBreak/>
        <w:t>4 kap.</w:t>
      </w:r>
    </w:p>
    <w:p w14:paraId="083D5CAF" w14:textId="77777777" w:rsidR="00A050BF" w:rsidRDefault="00A050BF" w:rsidP="00EE3346">
      <w:pPr>
        <w:pStyle w:val="Brdtext"/>
        <w:jc w:val="center"/>
        <w:rPr>
          <w:rStyle w:val="Fotnotsreferens"/>
        </w:rPr>
      </w:pPr>
      <w:r>
        <w:t>4 c §</w:t>
      </w:r>
      <w:r>
        <w:rPr>
          <w:rStyle w:val="Fotnotsreferens"/>
        </w:rPr>
        <w:footnoteReference w:customMarkFollows="1" w:id="18"/>
        <w:t>2</w:t>
      </w:r>
    </w:p>
    <w:tbl>
      <w:tblPr>
        <w:tblW w:w="5000" w:type="pct"/>
        <w:tblLook w:val="0600" w:firstRow="0" w:lastRow="0" w:firstColumn="0" w:lastColumn="0" w:noHBand="1" w:noVBand="1"/>
      </w:tblPr>
      <w:tblGrid>
        <w:gridCol w:w="2948"/>
        <w:gridCol w:w="2949"/>
      </w:tblGrid>
      <w:tr w:rsidR="00EE3346" w14:paraId="6BBE6CFB" w14:textId="77777777" w:rsidTr="00A9083F">
        <w:tc>
          <w:tcPr>
            <w:tcW w:w="2500" w:type="pct"/>
            <w:shd w:val="clear" w:color="auto" w:fill="auto"/>
            <w:tcMar>
              <w:left w:w="0" w:type="dxa"/>
            </w:tcMar>
          </w:tcPr>
          <w:p w14:paraId="351951B5" w14:textId="77777777" w:rsidR="00A050BF" w:rsidRDefault="00A050BF" w:rsidP="00A9083F">
            <w:pPr>
              <w:pStyle w:val="Brdtextmedindrag"/>
              <w:ind w:firstLine="0"/>
            </w:pPr>
            <w:r w:rsidRPr="007E62E3">
              <w:t xml:space="preserve">Den som, i annat fall än som </w:t>
            </w:r>
            <w:r w:rsidRPr="00623B09">
              <w:rPr>
                <w:spacing w:val="2"/>
              </w:rPr>
              <w:t>av</w:t>
            </w:r>
            <w:r w:rsidRPr="00623B09">
              <w:rPr>
                <w:spacing w:val="2"/>
              </w:rPr>
              <w:softHyphen/>
              <w:t xml:space="preserve">ses i 1 a §, genom olaga tvång </w:t>
            </w:r>
            <w:r w:rsidRPr="00623B09">
              <w:rPr>
                <w:i/>
                <w:iCs/>
                <w:spacing w:val="2"/>
              </w:rPr>
              <w:t>eller</w:t>
            </w:r>
            <w:r w:rsidRPr="007E62E3">
              <w:t xml:space="preserve"> utnyttjande av utsatt belä</w:t>
            </w:r>
            <w:r>
              <w:softHyphen/>
            </w:r>
            <w:r w:rsidRPr="007E62E3">
              <w:t>genhet förmår en person att ingå</w:t>
            </w:r>
            <w:r>
              <w:t xml:space="preserve"> </w:t>
            </w:r>
            <w:r w:rsidRPr="007E62E3">
              <w:t xml:space="preserve">ett äktenskap som är giltigt i den stat där det ingås, i den stat enligt vars lag det ingås eller i en stat i </w:t>
            </w:r>
            <w:r w:rsidRPr="00623B09">
              <w:rPr>
                <w:spacing w:val="-6"/>
              </w:rPr>
              <w:t>vilken minst en av makarna är med</w:t>
            </w:r>
            <w:r w:rsidRPr="00623B09">
              <w:rPr>
                <w:spacing w:val="-6"/>
              </w:rPr>
              <w:softHyphen/>
            </w:r>
            <w:r w:rsidRPr="00623B09">
              <w:rPr>
                <w:spacing w:val="-4"/>
              </w:rPr>
              <w:t>borgare eller har hemvist döms för</w:t>
            </w:r>
            <w:r w:rsidRPr="007E62E3">
              <w:t xml:space="preserve"> </w:t>
            </w:r>
            <w:r w:rsidRPr="00623B09">
              <w:rPr>
                <w:i/>
                <w:iCs/>
                <w:spacing w:val="-6"/>
                <w:u w:val="single"/>
              </w:rPr>
              <w:t>äktenskapstvång</w:t>
            </w:r>
            <w:r w:rsidRPr="00623B09">
              <w:rPr>
                <w:spacing w:val="-6"/>
              </w:rPr>
              <w:t xml:space="preserve"> till fängelse i högst</w:t>
            </w:r>
            <w:r w:rsidRPr="007E62E3">
              <w:t xml:space="preserve"> </w:t>
            </w:r>
            <w:r w:rsidRPr="007E3BA8">
              <w:rPr>
                <w:i/>
                <w:iCs/>
              </w:rPr>
              <w:t>fyra</w:t>
            </w:r>
            <w:r>
              <w:t> </w:t>
            </w:r>
            <w:r w:rsidRPr="007E62E3">
              <w:t>år.</w:t>
            </w:r>
          </w:p>
          <w:p w14:paraId="27606612" w14:textId="77777777" w:rsidR="00A050BF" w:rsidRDefault="00A050BF" w:rsidP="00A9083F">
            <w:pPr>
              <w:pStyle w:val="Brdtextmedindrag"/>
            </w:pPr>
          </w:p>
        </w:tc>
        <w:tc>
          <w:tcPr>
            <w:tcW w:w="2500" w:type="pct"/>
            <w:shd w:val="clear" w:color="auto" w:fill="auto"/>
            <w:tcMar>
              <w:right w:w="0" w:type="dxa"/>
            </w:tcMar>
          </w:tcPr>
          <w:p w14:paraId="383887CC" w14:textId="77777777" w:rsidR="00A050BF" w:rsidRDefault="00A050BF" w:rsidP="00A9083F">
            <w:pPr>
              <w:pStyle w:val="Brdtextmedindrag"/>
              <w:ind w:firstLine="0"/>
            </w:pPr>
            <w:r w:rsidRPr="007E62E3">
              <w:t>Den som, i annat fall än som avses i 1</w:t>
            </w:r>
            <w:r>
              <w:t> </w:t>
            </w:r>
            <w:r w:rsidRPr="007E62E3">
              <w:t>a</w:t>
            </w:r>
            <w:r>
              <w:t> </w:t>
            </w:r>
            <w:r w:rsidRPr="007E62E3">
              <w:t>§, genom olaga tvång</w:t>
            </w:r>
            <w:r w:rsidRPr="00911048">
              <w:rPr>
                <w:i/>
                <w:iCs/>
              </w:rPr>
              <w:t>,</w:t>
            </w:r>
            <w:r>
              <w:t xml:space="preserve"> </w:t>
            </w:r>
            <w:r w:rsidRPr="007E62E3">
              <w:t>utnytt</w:t>
            </w:r>
            <w:r>
              <w:softHyphen/>
            </w:r>
            <w:r w:rsidRPr="007E62E3">
              <w:t xml:space="preserve">jande av utsatt belägenhet </w:t>
            </w:r>
            <w:r w:rsidRPr="006E2263">
              <w:rPr>
                <w:i/>
                <w:iCs/>
              </w:rPr>
              <w:t>eller vilseledande</w:t>
            </w:r>
            <w:r>
              <w:rPr>
                <w:i/>
                <w:iCs/>
              </w:rPr>
              <w:t xml:space="preserve"> angående att ett </w:t>
            </w:r>
            <w:r w:rsidRPr="00623B09">
              <w:rPr>
                <w:i/>
                <w:iCs/>
                <w:spacing w:val="-2"/>
              </w:rPr>
              <w:t>äktenskap ingås eller förutsätt</w:t>
            </w:r>
            <w:r w:rsidRPr="00623B09">
              <w:rPr>
                <w:i/>
                <w:iCs/>
                <w:spacing w:val="-2"/>
              </w:rPr>
              <w:softHyphen/>
              <w:t>ning</w:t>
            </w:r>
            <w:r w:rsidRPr="00623B09">
              <w:rPr>
                <w:i/>
                <w:iCs/>
                <w:spacing w:val="-2"/>
              </w:rPr>
              <w:softHyphen/>
            </w:r>
            <w:r w:rsidRPr="00623B09">
              <w:rPr>
                <w:i/>
                <w:iCs/>
                <w:spacing w:val="2"/>
              </w:rPr>
              <w:t>arna för äktenskapets upplösning</w:t>
            </w:r>
            <w:r w:rsidRPr="00623B09">
              <w:rPr>
                <w:spacing w:val="2"/>
              </w:rPr>
              <w:t xml:space="preserve"> för</w:t>
            </w:r>
            <w:r w:rsidRPr="00623B09">
              <w:rPr>
                <w:spacing w:val="2"/>
              </w:rPr>
              <w:softHyphen/>
              <w:t>mår</w:t>
            </w:r>
            <w:r w:rsidRPr="007E62E3">
              <w:t xml:space="preserve"> en person att ingå</w:t>
            </w:r>
            <w:r>
              <w:t xml:space="preserve"> </w:t>
            </w:r>
            <w:r w:rsidRPr="007E62E3">
              <w:t>ett äktenskap</w:t>
            </w:r>
            <w:r>
              <w:t xml:space="preserve"> </w:t>
            </w:r>
            <w:r w:rsidRPr="007E62E3">
              <w:t xml:space="preserve">som är giltigt i den stat där det ingås, i den stat enligt vars lag det ingås eller i en stat i </w:t>
            </w:r>
            <w:r w:rsidRPr="00623B09">
              <w:rPr>
                <w:spacing w:val="-6"/>
              </w:rPr>
              <w:t>vilken minst en av makarna är med</w:t>
            </w:r>
            <w:r w:rsidRPr="00623B09">
              <w:rPr>
                <w:spacing w:val="-6"/>
              </w:rPr>
              <w:softHyphen/>
              <w:t>borgare eller har hemvist döms</w:t>
            </w:r>
            <w:r w:rsidRPr="007E62E3">
              <w:t xml:space="preserve"> för </w:t>
            </w:r>
            <w:r w:rsidRPr="00623B09">
              <w:rPr>
                <w:i/>
                <w:iCs/>
                <w:spacing w:val="-2"/>
                <w:u w:val="single"/>
              </w:rPr>
              <w:t>äkten</w:t>
            </w:r>
            <w:r>
              <w:rPr>
                <w:i/>
                <w:iCs/>
                <w:spacing w:val="-2"/>
                <w:u w:val="single"/>
              </w:rPr>
              <w:softHyphen/>
            </w:r>
            <w:r w:rsidRPr="00623B09">
              <w:rPr>
                <w:i/>
                <w:iCs/>
                <w:spacing w:val="-2"/>
                <w:u w:val="single"/>
              </w:rPr>
              <w:t>skapstvång</w:t>
            </w:r>
            <w:r w:rsidRPr="00623B09">
              <w:rPr>
                <w:spacing w:val="-2"/>
              </w:rPr>
              <w:t xml:space="preserve"> till fängelse i </w:t>
            </w:r>
            <w:r w:rsidRPr="00623B09">
              <w:rPr>
                <w:i/>
                <w:iCs/>
                <w:spacing w:val="-2"/>
              </w:rPr>
              <w:t>lägst</w:t>
            </w:r>
            <w:r>
              <w:rPr>
                <w:i/>
                <w:iCs/>
              </w:rPr>
              <w:t xml:space="preserve"> sex månader och </w:t>
            </w:r>
            <w:r w:rsidRPr="00E85400">
              <w:t>högst</w:t>
            </w:r>
            <w:r>
              <w:rPr>
                <w:i/>
                <w:iCs/>
              </w:rPr>
              <w:t xml:space="preserve"> sex </w:t>
            </w:r>
            <w:r w:rsidRPr="007E62E3">
              <w:t>år.</w:t>
            </w:r>
          </w:p>
        </w:tc>
      </w:tr>
    </w:tbl>
    <w:p w14:paraId="0367CB27" w14:textId="77777777" w:rsidR="00A050BF" w:rsidRDefault="00A050BF" w:rsidP="00EE3346">
      <w:pPr>
        <w:pStyle w:val="Brdtextmedindrag"/>
      </w:pPr>
      <w:r w:rsidRPr="00E85400">
        <w:t>Detsamma gäller den som på sätt som anges i första stycket</w:t>
      </w:r>
      <w:r>
        <w:t xml:space="preserve"> </w:t>
      </w:r>
      <w:r w:rsidRPr="00E85400">
        <w:t>för</w:t>
      </w:r>
      <w:r>
        <w:softHyphen/>
      </w:r>
      <w:r w:rsidRPr="00E85400">
        <w:t>mår någon att ingå en äktenskapsliknande förbindelse, om den</w:t>
      </w:r>
      <w:r>
        <w:t xml:space="preserve"> </w:t>
      </w:r>
      <w:r w:rsidRPr="00E85400">
        <w:t>ingås enligt regler som gäller inom en grupp och som</w:t>
      </w:r>
      <w:r>
        <w:t xml:space="preserve"> </w:t>
      </w:r>
    </w:p>
    <w:p w14:paraId="3FE95549" w14:textId="77777777" w:rsidR="00A050BF" w:rsidRDefault="00A050BF" w:rsidP="00EE3346">
      <w:pPr>
        <w:pStyle w:val="Brdtextmedindrag"/>
      </w:pPr>
      <w:r w:rsidRPr="00666CE0">
        <w:t>1.</w:t>
      </w:r>
      <w:r>
        <w:t> </w:t>
      </w:r>
      <w:r w:rsidRPr="00E85400">
        <w:t>innebär att</w:t>
      </w:r>
      <w:r>
        <w:t xml:space="preserve"> </w:t>
      </w:r>
      <w:r w:rsidRPr="00E85400">
        <w:t>parterna betraktas som makar och anses ha rät</w:t>
      </w:r>
      <w:r>
        <w:softHyphen/>
      </w:r>
      <w:r w:rsidRPr="00E85400">
        <w:t>tig</w:t>
      </w:r>
      <w:r>
        <w:softHyphen/>
      </w:r>
      <w:r w:rsidRPr="00E85400">
        <w:t>heter eller</w:t>
      </w:r>
      <w:r>
        <w:t xml:space="preserve"> </w:t>
      </w:r>
      <w:r w:rsidRPr="00E85400">
        <w:t>skyldigheter i förhållande till varandra, och</w:t>
      </w:r>
      <w:r>
        <w:t xml:space="preserve"> </w:t>
      </w:r>
    </w:p>
    <w:p w14:paraId="75799B3F" w14:textId="77777777" w:rsidR="00A050BF" w:rsidRDefault="00A050BF" w:rsidP="00EE3346">
      <w:pPr>
        <w:pStyle w:val="Brdtextmedindrag"/>
      </w:pPr>
      <w:r>
        <w:t>2. </w:t>
      </w:r>
      <w:r w:rsidRPr="00E85400">
        <w:t>innefattar frågan om upplösning av förbindelsen</w:t>
      </w:r>
      <w:r>
        <w:t>.</w:t>
      </w:r>
    </w:p>
    <w:tbl>
      <w:tblPr>
        <w:tblW w:w="5000" w:type="pct"/>
        <w:tblLook w:val="0600" w:firstRow="0" w:lastRow="0" w:firstColumn="0" w:lastColumn="0" w:noHBand="1" w:noVBand="1"/>
      </w:tblPr>
      <w:tblGrid>
        <w:gridCol w:w="2948"/>
        <w:gridCol w:w="2949"/>
      </w:tblGrid>
      <w:tr w:rsidR="00EE3346" w14:paraId="772CF8AB" w14:textId="77777777" w:rsidTr="00A9083F">
        <w:tc>
          <w:tcPr>
            <w:tcW w:w="2500" w:type="pct"/>
            <w:shd w:val="clear" w:color="auto" w:fill="auto"/>
            <w:tcMar>
              <w:left w:w="0" w:type="dxa"/>
            </w:tcMar>
          </w:tcPr>
          <w:p w14:paraId="5545B5E6" w14:textId="77777777" w:rsidR="00A050BF" w:rsidRDefault="00A050BF"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w:t>
            </w:r>
            <w:r w:rsidRPr="007E2834">
              <w:rPr>
                <w:i/>
                <w:iCs/>
                <w:spacing w:val="-4"/>
                <w:u w:val="single"/>
              </w:rPr>
              <w:softHyphen/>
              <w:t>skaps</w:t>
            </w:r>
            <w:r w:rsidRPr="007E2834">
              <w:rPr>
                <w:i/>
                <w:iCs/>
                <w:spacing w:val="-4"/>
                <w:u w:val="single"/>
              </w:rPr>
              <w:softHyphen/>
              <w:t>brott</w:t>
            </w:r>
            <w:r w:rsidRPr="004E12B0">
              <w:t xml:space="preserve"> till fängelse i högst </w:t>
            </w:r>
            <w:r w:rsidRPr="004E12B0">
              <w:rPr>
                <w:i/>
                <w:iCs/>
              </w:rPr>
              <w:t>fyra</w:t>
            </w:r>
            <w:r>
              <w:t> </w:t>
            </w:r>
            <w:r w:rsidRPr="004E12B0">
              <w:t xml:space="preserve">år. För barnäktenskapsbrott döms också den som i annat fall förmår eller tillåter en person som inte har fyllt arton år att ingå ett äktenskap som är giltigt på sätt </w:t>
            </w:r>
            <w:r w:rsidRPr="007E2834">
              <w:rPr>
                <w:spacing w:val="-4"/>
              </w:rPr>
              <w:t xml:space="preserve">som anges i första stycket eller en </w:t>
            </w:r>
            <w:r w:rsidRPr="007E2834">
              <w:t>äktenskapsliknande förbin</w:t>
            </w:r>
            <w:r w:rsidRPr="007E2834">
              <w:softHyphen/>
              <w:t>delse</w:t>
            </w:r>
            <w:r w:rsidRPr="004E12B0">
              <w:t xml:space="preserve"> </w:t>
            </w:r>
            <w:r w:rsidRPr="0077039E">
              <w:rPr>
                <w:spacing w:val="-4"/>
              </w:rPr>
              <w:t>en</w:t>
            </w:r>
            <w:r w:rsidRPr="0077039E">
              <w:rPr>
                <w:spacing w:val="-4"/>
              </w:rPr>
              <w:softHyphen/>
              <w:t>ligt vad som anges i andra styck</w:t>
            </w:r>
            <w:r w:rsidRPr="0077039E">
              <w:rPr>
                <w:spacing w:val="-4"/>
              </w:rPr>
              <w:softHyphen/>
              <w:t>et</w:t>
            </w:r>
            <w:r w:rsidRPr="004E12B0">
              <w:t>. Detta gäller även om den som begår en sådan gärning inte haft uppsåt till men varit oaktsam be</w:t>
            </w:r>
            <w:r>
              <w:softHyphen/>
            </w:r>
            <w:r w:rsidRPr="004E12B0">
              <w:t xml:space="preserve">träffande </w:t>
            </w:r>
            <w:r>
              <w:t>omständig</w:t>
            </w:r>
            <w:r>
              <w:softHyphen/>
            </w:r>
            <w:r w:rsidRPr="007E2834">
              <w:rPr>
                <w:spacing w:val="-4"/>
              </w:rPr>
              <w:t>heten att den andra personen inte</w:t>
            </w:r>
            <w:r w:rsidRPr="004E12B0">
              <w:t xml:space="preserve"> fyllt arton</w:t>
            </w:r>
            <w:r>
              <w:t> </w:t>
            </w:r>
            <w:r w:rsidRPr="004E12B0">
              <w:t>år</w:t>
            </w:r>
            <w:r>
              <w:t xml:space="preserve">. </w:t>
            </w:r>
          </w:p>
        </w:tc>
        <w:tc>
          <w:tcPr>
            <w:tcW w:w="2500" w:type="pct"/>
            <w:shd w:val="clear" w:color="auto" w:fill="auto"/>
            <w:tcMar>
              <w:right w:w="0" w:type="dxa"/>
            </w:tcMar>
          </w:tcPr>
          <w:p w14:paraId="6E6015B0" w14:textId="77777777" w:rsidR="00A050BF" w:rsidRDefault="00A050BF" w:rsidP="00A9083F">
            <w:pPr>
              <w:pStyle w:val="Brdtextmedindrag"/>
            </w:pPr>
            <w:r w:rsidRPr="007E2834">
              <w:rPr>
                <w:spacing w:val="-4"/>
              </w:rPr>
              <w:t>Den som begår en gärning som</w:t>
            </w:r>
            <w:r w:rsidRPr="004E12B0">
              <w:t xml:space="preserve"> avses i första eller andra stycket mot en person som inte har fyllt </w:t>
            </w:r>
            <w:r w:rsidRPr="007E2834">
              <w:rPr>
                <w:spacing w:val="-4"/>
              </w:rPr>
              <w:t xml:space="preserve">arton år, döms för </w:t>
            </w:r>
            <w:r w:rsidRPr="007E2834">
              <w:rPr>
                <w:i/>
                <w:iCs/>
                <w:spacing w:val="-4"/>
                <w:u w:val="single"/>
              </w:rPr>
              <w:t>barnäktenskaps</w:t>
            </w:r>
            <w:r w:rsidRPr="007E2834">
              <w:rPr>
                <w:i/>
                <w:iCs/>
                <w:spacing w:val="-4"/>
                <w:u w:val="single"/>
              </w:rPr>
              <w:softHyphen/>
              <w:t>brott</w:t>
            </w:r>
            <w:r w:rsidRPr="004E12B0">
              <w:t xml:space="preserve"> till fängelse </w:t>
            </w:r>
            <w:r w:rsidRPr="007E62E3">
              <w:t>i</w:t>
            </w:r>
            <w:r>
              <w:t xml:space="preserve"> </w:t>
            </w:r>
            <w:r>
              <w:rPr>
                <w:i/>
                <w:iCs/>
              </w:rPr>
              <w:t>lägst sex må</w:t>
            </w:r>
            <w:r>
              <w:rPr>
                <w:i/>
                <w:iCs/>
              </w:rPr>
              <w:softHyphen/>
              <w:t>na</w:t>
            </w:r>
            <w:r>
              <w:rPr>
                <w:i/>
                <w:iCs/>
              </w:rPr>
              <w:softHyphen/>
              <w:t xml:space="preserve">der och </w:t>
            </w:r>
            <w:r w:rsidRPr="00E85400">
              <w:t>högst</w:t>
            </w:r>
            <w:r>
              <w:rPr>
                <w:i/>
                <w:iCs/>
              </w:rPr>
              <w:t xml:space="preserve"> sex</w:t>
            </w:r>
            <w:r>
              <w:t> </w:t>
            </w:r>
            <w:r w:rsidRPr="004E12B0">
              <w:t>år.</w:t>
            </w:r>
            <w:r>
              <w:t xml:space="preserve"> </w:t>
            </w:r>
            <w:r w:rsidRPr="004E12B0">
              <w:t xml:space="preserve">För </w:t>
            </w:r>
            <w:r w:rsidRPr="00B35756">
              <w:t>barn</w:t>
            </w:r>
            <w:r>
              <w:softHyphen/>
            </w:r>
            <w:r w:rsidRPr="00B35756">
              <w:t>äktenskapsbrott</w:t>
            </w:r>
            <w:r w:rsidRPr="004E12B0">
              <w:t xml:space="preserve"> döms också den </w:t>
            </w:r>
            <w:r w:rsidRPr="007E2834">
              <w:rPr>
                <w:spacing w:val="-4"/>
              </w:rPr>
              <w:t>som i annat fall förmår eller tillåter</w:t>
            </w:r>
            <w:r w:rsidRPr="004E12B0">
              <w:t xml:space="preserve"> </w:t>
            </w:r>
            <w:r w:rsidRPr="00BB784E">
              <w:rPr>
                <w:spacing w:val="2"/>
              </w:rPr>
              <w:t>en person som inte har fyllt</w:t>
            </w:r>
            <w:r w:rsidRPr="004E12B0">
              <w:t xml:space="preserve"> </w:t>
            </w:r>
            <w:r w:rsidRPr="007E2834">
              <w:rPr>
                <w:spacing w:val="-4"/>
              </w:rPr>
              <w:t>arton år att ingå ett äkten</w:t>
            </w:r>
            <w:r w:rsidRPr="007E2834">
              <w:rPr>
                <w:spacing w:val="-4"/>
              </w:rPr>
              <w:softHyphen/>
              <w:t>skap som</w:t>
            </w:r>
            <w:r w:rsidRPr="004E12B0">
              <w:t xml:space="preserve"> </w:t>
            </w:r>
            <w:r w:rsidRPr="007E2834">
              <w:rPr>
                <w:spacing w:val="-4"/>
              </w:rPr>
              <w:t>är giltigt på sätt som anges i första</w:t>
            </w:r>
            <w:r w:rsidRPr="004E12B0">
              <w:t xml:space="preserve"> stycket eller en äkten</w:t>
            </w:r>
            <w:r>
              <w:softHyphen/>
            </w:r>
            <w:r w:rsidRPr="004E12B0">
              <w:t>skaps</w:t>
            </w:r>
            <w:r>
              <w:softHyphen/>
            </w:r>
            <w:r w:rsidRPr="004E12B0">
              <w:t>lik</w:t>
            </w:r>
            <w:r>
              <w:softHyphen/>
            </w:r>
            <w:r w:rsidRPr="004E12B0">
              <w:t xml:space="preserve">nande förbindelse enligt vad som </w:t>
            </w:r>
            <w:r w:rsidRPr="00BB784E">
              <w:rPr>
                <w:spacing w:val="-4"/>
              </w:rPr>
              <w:t>anges i andra stycket. Detta gäller</w:t>
            </w:r>
            <w:r w:rsidRPr="004E12B0">
              <w:t xml:space="preserve"> även om den som begår en sådan gärning inte haft uppsåt till men </w:t>
            </w:r>
            <w:r w:rsidRPr="00BB784E">
              <w:rPr>
                <w:spacing w:val="-4"/>
              </w:rPr>
              <w:t>varit oaktsam beträffande om</w:t>
            </w:r>
            <w:r w:rsidRPr="00BB784E">
              <w:rPr>
                <w:spacing w:val="-4"/>
              </w:rPr>
              <w:softHyphen/>
              <w:t>stän</w:t>
            </w:r>
            <w:r w:rsidRPr="00BB784E">
              <w:rPr>
                <w:spacing w:val="-4"/>
              </w:rPr>
              <w:softHyphen/>
              <w:t>digheten</w:t>
            </w:r>
            <w:r w:rsidRPr="004E12B0">
              <w:t xml:space="preserve"> att den andra per</w:t>
            </w:r>
            <w:r>
              <w:softHyphen/>
            </w:r>
            <w:r w:rsidRPr="004E12B0">
              <w:t>sonen inte fyllt arton</w:t>
            </w:r>
            <w:r>
              <w:t> </w:t>
            </w:r>
            <w:r w:rsidRPr="004E12B0">
              <w:t>år</w:t>
            </w:r>
            <w:r>
              <w:t xml:space="preserve">. </w:t>
            </w:r>
          </w:p>
        </w:tc>
      </w:tr>
    </w:tbl>
    <w:p w14:paraId="134CC284" w14:textId="77777777" w:rsidR="00A050BF" w:rsidRPr="008574C5" w:rsidRDefault="00A050BF" w:rsidP="00EE3346">
      <w:pPr>
        <w:pStyle w:val="Brdtextmedindrag"/>
        <w:ind w:firstLine="0"/>
      </w:pPr>
    </w:p>
    <w:p w14:paraId="02CF0851" w14:textId="77777777" w:rsidR="00A050BF" w:rsidRPr="00D967FD" w:rsidRDefault="00A050BF" w:rsidP="00EE3346">
      <w:pPr>
        <w:pStyle w:val="Brdtext"/>
        <w:jc w:val="center"/>
      </w:pPr>
      <w:r w:rsidRPr="00D967FD">
        <w:t>4 d</w:t>
      </w:r>
      <w:r>
        <w:t> §</w:t>
      </w:r>
      <w:r>
        <w:rPr>
          <w:rStyle w:val="Fotnotsreferens"/>
        </w:rPr>
        <w:footnoteReference w:customMarkFollows="1" w:id="19"/>
        <w:t>3</w:t>
      </w:r>
    </w:p>
    <w:tbl>
      <w:tblPr>
        <w:tblW w:w="5000" w:type="pct"/>
        <w:tblCellMar>
          <w:left w:w="125" w:type="dxa"/>
          <w:right w:w="125" w:type="dxa"/>
        </w:tblCellMar>
        <w:tblLook w:val="0000" w:firstRow="0" w:lastRow="0" w:firstColumn="0" w:lastColumn="0" w:noHBand="0" w:noVBand="0"/>
      </w:tblPr>
      <w:tblGrid>
        <w:gridCol w:w="2948"/>
        <w:gridCol w:w="2949"/>
      </w:tblGrid>
      <w:tr w:rsidR="00EE3346" w14:paraId="6E9068C9" w14:textId="77777777" w:rsidTr="00A9083F">
        <w:tc>
          <w:tcPr>
            <w:tcW w:w="2500" w:type="pct"/>
            <w:shd w:val="clear" w:color="auto" w:fill="auto"/>
            <w:tcMar>
              <w:left w:w="0" w:type="dxa"/>
            </w:tcMar>
          </w:tcPr>
          <w:p w14:paraId="5B7EAE0B" w14:textId="77777777" w:rsidR="00A050BF" w:rsidRDefault="00A050BF" w:rsidP="00A9083F">
            <w:pPr>
              <w:pStyle w:val="Brdtextmedindrag"/>
              <w:ind w:firstLine="0"/>
            </w:pPr>
            <w:r w:rsidRPr="00627229">
              <w:t>Den som, i annat fall än som avses i 1</w:t>
            </w:r>
            <w:r>
              <w:t> </w:t>
            </w:r>
            <w:r w:rsidRPr="00627229">
              <w:t>a</w:t>
            </w:r>
            <w:r>
              <w:t> </w:t>
            </w:r>
            <w:r w:rsidRPr="00627229">
              <w:t xml:space="preserve">§, </w:t>
            </w:r>
            <w:r w:rsidRPr="0008535D">
              <w:t>genom</w:t>
            </w:r>
            <w:r w:rsidRPr="00F4790E">
              <w:rPr>
                <w:i/>
                <w:iCs/>
              </w:rPr>
              <w:t xml:space="preserve"> </w:t>
            </w:r>
            <w:r w:rsidRPr="0008535D">
              <w:t>vilseledande</w:t>
            </w:r>
            <w:r w:rsidRPr="00627229">
              <w:t xml:space="preserve"> förmår en person att resa till en annan stat än den där han eller hon bor, i syfte att personen ska </w:t>
            </w:r>
            <w:r w:rsidRPr="007150E6">
              <w:rPr>
                <w:spacing w:val="-2"/>
              </w:rPr>
              <w:t>ut</w:t>
            </w:r>
            <w:r w:rsidRPr="007150E6">
              <w:rPr>
                <w:spacing w:val="-2"/>
              </w:rPr>
              <w:softHyphen/>
              <w:t xml:space="preserve">sättas för en </w:t>
            </w:r>
            <w:r w:rsidRPr="007150E6">
              <w:rPr>
                <w:spacing w:val="-2"/>
              </w:rPr>
              <w:lastRenderedPageBreak/>
              <w:t>sådan gärning som</w:t>
            </w:r>
            <w:r w:rsidRPr="00627229">
              <w:t xml:space="preserve"> </w:t>
            </w:r>
            <w:r w:rsidRPr="007150E6">
              <w:rPr>
                <w:spacing w:val="-6"/>
              </w:rPr>
              <w:t xml:space="preserve">anges i 4 c §, döms för </w:t>
            </w:r>
            <w:r w:rsidRPr="007150E6">
              <w:rPr>
                <w:i/>
                <w:iCs/>
                <w:spacing w:val="-6"/>
                <w:u w:val="single"/>
              </w:rPr>
              <w:t>vilse</w:t>
            </w:r>
            <w:r w:rsidRPr="007150E6">
              <w:rPr>
                <w:i/>
                <w:iCs/>
                <w:spacing w:val="-6"/>
                <w:u w:val="single"/>
              </w:rPr>
              <w:softHyphen/>
              <w:t>led</w:t>
            </w:r>
            <w:r w:rsidRPr="007150E6">
              <w:rPr>
                <w:i/>
                <w:iCs/>
                <w:spacing w:val="-6"/>
                <w:u w:val="single"/>
              </w:rPr>
              <w:softHyphen/>
              <w:t>ande</w:t>
            </w:r>
            <w:r w:rsidRPr="00323FB8">
              <w:rPr>
                <w:i/>
                <w:iCs/>
                <w:u w:val="single"/>
              </w:rPr>
              <w:t xml:space="preserve"> till äktenskapsresa</w:t>
            </w:r>
            <w:r w:rsidRPr="00627229">
              <w:t xml:space="preserve"> till fäng</w:t>
            </w:r>
            <w:r>
              <w:softHyphen/>
            </w:r>
            <w:r w:rsidRPr="00627229">
              <w:t xml:space="preserve">else i högst </w:t>
            </w:r>
            <w:r w:rsidRPr="000F6534">
              <w:rPr>
                <w:i/>
                <w:iCs/>
              </w:rPr>
              <w:t>två</w:t>
            </w:r>
            <w:r>
              <w:t> </w:t>
            </w:r>
            <w:r w:rsidRPr="00627229">
              <w:t>år.</w:t>
            </w:r>
          </w:p>
        </w:tc>
        <w:tc>
          <w:tcPr>
            <w:tcW w:w="2500" w:type="pct"/>
            <w:shd w:val="clear" w:color="auto" w:fill="auto"/>
            <w:tcMar>
              <w:right w:w="0" w:type="dxa"/>
            </w:tcMar>
          </w:tcPr>
          <w:p w14:paraId="25E7B2B1" w14:textId="77777777" w:rsidR="00A050BF" w:rsidRDefault="00A050BF" w:rsidP="00A9083F">
            <w:pPr>
              <w:pStyle w:val="Brdtextmedindrag"/>
              <w:ind w:firstLine="0"/>
            </w:pPr>
            <w:r w:rsidRPr="00627229">
              <w:lastRenderedPageBreak/>
              <w:t>Den som, i annat fall än som avses i 1</w:t>
            </w:r>
            <w:r>
              <w:t> </w:t>
            </w:r>
            <w:r w:rsidRPr="00627229">
              <w:t>a</w:t>
            </w:r>
            <w:r>
              <w:t> </w:t>
            </w:r>
            <w:r w:rsidRPr="00627229">
              <w:t>§,</w:t>
            </w:r>
            <w:r>
              <w:t xml:space="preserve"> </w:t>
            </w:r>
            <w:r w:rsidRPr="007E62E3">
              <w:t xml:space="preserve">genom </w:t>
            </w:r>
            <w:r w:rsidRPr="00D1092C">
              <w:rPr>
                <w:i/>
                <w:iCs/>
              </w:rPr>
              <w:t>olaga tvång, utnyttjande av utsatt belägenhet eller</w:t>
            </w:r>
            <w:r w:rsidRPr="006E2263">
              <w:rPr>
                <w:i/>
                <w:iCs/>
              </w:rPr>
              <w:t xml:space="preserve"> </w:t>
            </w:r>
            <w:r w:rsidRPr="0008535D">
              <w:t>vilseledande</w:t>
            </w:r>
            <w:r>
              <w:t xml:space="preserve"> </w:t>
            </w:r>
            <w:r w:rsidRPr="00627229">
              <w:t>förmår en per</w:t>
            </w:r>
            <w:r>
              <w:softHyphen/>
            </w:r>
            <w:r w:rsidRPr="00627229">
              <w:t xml:space="preserve">son att resa till en annan stat än den där </w:t>
            </w:r>
            <w:r w:rsidRPr="00627229">
              <w:lastRenderedPageBreak/>
              <w:t>han eller hon bor, i syfte att personen ska utsättas för en sådan gärning som anges i 4</w:t>
            </w:r>
            <w:r>
              <w:t> </w:t>
            </w:r>
            <w:r w:rsidRPr="00627229">
              <w:t>c</w:t>
            </w:r>
            <w:r>
              <w:t> </w:t>
            </w:r>
            <w:r w:rsidRPr="00627229">
              <w:t>§</w:t>
            </w:r>
            <w:r w:rsidRPr="007150E6">
              <w:rPr>
                <w:spacing w:val="-4"/>
              </w:rPr>
              <w:t xml:space="preserve">, döms för </w:t>
            </w:r>
            <w:r w:rsidRPr="007150E6">
              <w:rPr>
                <w:i/>
                <w:iCs/>
                <w:spacing w:val="-4"/>
                <w:u w:val="single"/>
              </w:rPr>
              <w:t>äktenskaps</w:t>
            </w:r>
            <w:r w:rsidRPr="007150E6">
              <w:rPr>
                <w:i/>
                <w:iCs/>
                <w:spacing w:val="-4"/>
                <w:u w:val="single"/>
              </w:rPr>
              <w:softHyphen/>
            </w:r>
            <w:r w:rsidRPr="007150E6">
              <w:rPr>
                <w:i/>
                <w:iCs/>
                <w:spacing w:val="-6"/>
                <w:u w:val="single"/>
              </w:rPr>
              <w:t>resebrott</w:t>
            </w:r>
            <w:r w:rsidRPr="007150E6">
              <w:rPr>
                <w:spacing w:val="-6"/>
              </w:rPr>
              <w:t xml:space="preserve"> till fängelse i högst </w:t>
            </w:r>
            <w:r w:rsidRPr="007150E6">
              <w:rPr>
                <w:i/>
                <w:iCs/>
                <w:spacing w:val="-6"/>
              </w:rPr>
              <w:t>fyra</w:t>
            </w:r>
            <w:r>
              <w:rPr>
                <w:spacing w:val="-6"/>
              </w:rPr>
              <w:t> </w:t>
            </w:r>
            <w:r w:rsidRPr="007150E6">
              <w:rPr>
                <w:spacing w:val="-6"/>
              </w:rPr>
              <w:t>år.</w:t>
            </w:r>
          </w:p>
          <w:p w14:paraId="44BF00D9" w14:textId="77777777" w:rsidR="00A050BF" w:rsidRDefault="00A050BF" w:rsidP="00A9083F">
            <w:pPr>
              <w:pStyle w:val="Brdtextmedindrag"/>
            </w:pPr>
            <w:r>
              <w:rPr>
                <w:i/>
                <w:iCs/>
              </w:rPr>
              <w:t xml:space="preserve">Den </w:t>
            </w:r>
            <w:r w:rsidRPr="00C62317">
              <w:rPr>
                <w:i/>
                <w:iCs/>
              </w:rPr>
              <w:t>som begår en gärning som avses i första stycket mot en person som inte har fyllt arton</w:t>
            </w:r>
            <w:r>
              <w:rPr>
                <w:i/>
                <w:iCs/>
              </w:rPr>
              <w:t> </w:t>
            </w:r>
            <w:r w:rsidRPr="00C62317">
              <w:rPr>
                <w:i/>
                <w:iCs/>
              </w:rPr>
              <w:t xml:space="preserve">år, döms för </w:t>
            </w:r>
            <w:r w:rsidRPr="00C62317">
              <w:rPr>
                <w:i/>
                <w:iCs/>
                <w:u w:val="single"/>
              </w:rPr>
              <w:t>äktenskapsresebrott mot barn</w:t>
            </w:r>
            <w:r w:rsidRPr="00C62317">
              <w:rPr>
                <w:i/>
                <w:iCs/>
              </w:rPr>
              <w:t xml:space="preserve"> till fängelse i högst fyra</w:t>
            </w:r>
            <w:r>
              <w:rPr>
                <w:i/>
                <w:iCs/>
              </w:rPr>
              <w:t> </w:t>
            </w:r>
            <w:r w:rsidRPr="00C62317">
              <w:rPr>
                <w:i/>
                <w:iCs/>
              </w:rPr>
              <w:t xml:space="preserve">år. För </w:t>
            </w:r>
            <w:r w:rsidRPr="00E67E13">
              <w:rPr>
                <w:i/>
                <w:iCs/>
                <w:spacing w:val="-4"/>
              </w:rPr>
              <w:t>äkten</w:t>
            </w:r>
            <w:r>
              <w:rPr>
                <w:i/>
                <w:iCs/>
                <w:spacing w:val="-4"/>
              </w:rPr>
              <w:softHyphen/>
            </w:r>
            <w:r w:rsidRPr="00E67E13">
              <w:rPr>
                <w:i/>
                <w:iCs/>
                <w:spacing w:val="-4"/>
              </w:rPr>
              <w:t>skapsresebrott mot barn döms</w:t>
            </w:r>
            <w:r w:rsidRPr="00C62317">
              <w:rPr>
                <w:i/>
                <w:iCs/>
              </w:rPr>
              <w:t xml:space="preserve"> också den som i annat fall förmår eller tillåter en person som inte har fyllt arton år att resa till en annan stat än den där han eller hon bor, i syfte att personen ska utsättas för en sådan gärning som anges i 4</w:t>
            </w:r>
            <w:r>
              <w:rPr>
                <w:i/>
                <w:iCs/>
              </w:rPr>
              <w:t> </w:t>
            </w:r>
            <w:r w:rsidRPr="00C62317">
              <w:rPr>
                <w:i/>
                <w:iCs/>
              </w:rPr>
              <w:t>c</w:t>
            </w:r>
            <w:r>
              <w:rPr>
                <w:i/>
                <w:iCs/>
              </w:rPr>
              <w:t> </w:t>
            </w:r>
            <w:r w:rsidRPr="00362906">
              <w:rPr>
                <w:i/>
                <w:iCs/>
              </w:rPr>
              <w:t xml:space="preserve">§ </w:t>
            </w:r>
            <w:r w:rsidRPr="00E67E13">
              <w:rPr>
                <w:i/>
                <w:iCs/>
                <w:spacing w:val="-4"/>
              </w:rPr>
              <w:t>tredje stycket. Detta gäller även om</w:t>
            </w:r>
            <w:r w:rsidRPr="00C62317">
              <w:rPr>
                <w:i/>
                <w:iCs/>
              </w:rPr>
              <w:t xml:space="preserve"> </w:t>
            </w:r>
            <w:r w:rsidRPr="00E67E13">
              <w:rPr>
                <w:i/>
                <w:iCs/>
                <w:spacing w:val="2"/>
              </w:rPr>
              <w:t>den som begår en sådan gärning</w:t>
            </w:r>
            <w:r w:rsidRPr="00C62317">
              <w:rPr>
                <w:i/>
                <w:iCs/>
              </w:rPr>
              <w:t xml:space="preserve"> </w:t>
            </w:r>
            <w:r w:rsidRPr="00E67E13">
              <w:rPr>
                <w:i/>
                <w:iCs/>
                <w:spacing w:val="-4"/>
              </w:rPr>
              <w:t>inte haft uppsåt till men varit oakt</w:t>
            </w:r>
            <w:r w:rsidRPr="00E67E13">
              <w:rPr>
                <w:i/>
                <w:iCs/>
                <w:spacing w:val="-4"/>
              </w:rPr>
              <w:softHyphen/>
              <w:t>sam</w:t>
            </w:r>
            <w:r w:rsidRPr="00E67E13">
              <w:rPr>
                <w:i/>
                <w:iCs/>
                <w:spacing w:val="2"/>
              </w:rPr>
              <w:t xml:space="preserve"> beträffande omständig</w:t>
            </w:r>
            <w:r w:rsidRPr="00E67E13">
              <w:rPr>
                <w:i/>
                <w:iCs/>
                <w:spacing w:val="2"/>
              </w:rPr>
              <w:softHyphen/>
              <w:t>heten att den andra personen inte fyllt</w:t>
            </w:r>
            <w:r w:rsidRPr="00C62317">
              <w:rPr>
                <w:i/>
                <w:iCs/>
              </w:rPr>
              <w:t xml:space="preserve"> arton</w:t>
            </w:r>
            <w:r>
              <w:rPr>
                <w:i/>
                <w:iCs/>
              </w:rPr>
              <w:t> </w:t>
            </w:r>
            <w:r w:rsidRPr="00C62317">
              <w:rPr>
                <w:i/>
                <w:iCs/>
              </w:rPr>
              <w:t>år.</w:t>
            </w:r>
          </w:p>
        </w:tc>
      </w:tr>
    </w:tbl>
    <w:p w14:paraId="3510CCB3" w14:textId="77777777" w:rsidR="00A050BF" w:rsidRDefault="00A050BF" w:rsidP="00EE3346">
      <w:pPr>
        <w:pStyle w:val="Brdtext"/>
        <w:jc w:val="center"/>
      </w:pPr>
    </w:p>
    <w:p w14:paraId="6089B53C" w14:textId="77777777" w:rsidR="00A050BF" w:rsidRDefault="00A050BF" w:rsidP="00EE3346">
      <w:pPr>
        <w:pStyle w:val="Brdtext"/>
        <w:jc w:val="center"/>
      </w:pPr>
      <w:r>
        <w:t>10 §</w:t>
      </w:r>
      <w:r>
        <w:rPr>
          <w:rStyle w:val="Fotnotsreferens"/>
        </w:rPr>
        <w:footnoteReference w:customMarkFollows="1" w:id="20"/>
        <w:t>4</w:t>
      </w:r>
    </w:p>
    <w:tbl>
      <w:tblPr>
        <w:tblW w:w="5000" w:type="pct"/>
        <w:tblCellMar>
          <w:left w:w="125" w:type="dxa"/>
          <w:right w:w="125" w:type="dxa"/>
        </w:tblCellMar>
        <w:tblLook w:val="0000" w:firstRow="0" w:lastRow="0" w:firstColumn="0" w:lastColumn="0" w:noHBand="0" w:noVBand="0"/>
      </w:tblPr>
      <w:tblGrid>
        <w:gridCol w:w="2948"/>
        <w:gridCol w:w="2949"/>
      </w:tblGrid>
      <w:tr w:rsidR="00EE3346" w14:paraId="74AB82CF" w14:textId="77777777" w:rsidTr="00A9083F">
        <w:tc>
          <w:tcPr>
            <w:tcW w:w="2500" w:type="pct"/>
            <w:shd w:val="clear" w:color="auto" w:fill="auto"/>
            <w:tcMar>
              <w:left w:w="0" w:type="dxa"/>
            </w:tcMar>
          </w:tcPr>
          <w:p w14:paraId="1DFAA035" w14:textId="77777777" w:rsidR="00A050BF" w:rsidRDefault="00A050BF" w:rsidP="00A9083F">
            <w:pPr>
              <w:pStyle w:val="Brdtextmedindrag"/>
              <w:ind w:firstLine="0"/>
            </w:pPr>
            <w:r w:rsidRPr="00A20387">
              <w:t xml:space="preserve">För försök, förberedelse eller </w:t>
            </w:r>
            <w:r w:rsidRPr="00091359">
              <w:t>stämpling till människorov, människohandel, grov människo</w:t>
            </w:r>
            <w:r>
              <w:softHyphen/>
            </w:r>
            <w:r w:rsidRPr="00091359">
              <w:t>exploatering, olaga frihets</w:t>
            </w:r>
            <w:r>
              <w:softHyphen/>
            </w:r>
            <w:r w:rsidRPr="00091359">
              <w:t>berövande, äktenskapstvång</w:t>
            </w:r>
            <w:r w:rsidRPr="00EB76FB">
              <w:t xml:space="preserve"> eller </w:t>
            </w:r>
            <w:r w:rsidRPr="00091359">
              <w:t>barnäktenskapsbrott och för under</w:t>
            </w:r>
            <w:r>
              <w:softHyphen/>
            </w:r>
            <w:r w:rsidRPr="00091359">
              <w:t>låtenhet att</w:t>
            </w:r>
            <w:r w:rsidRPr="00A20387">
              <w:t xml:space="preserve"> avslöja eller förhindra ett sådant brott döms det till ansvar enligt 23</w:t>
            </w:r>
            <w:r>
              <w:t> kap.</w:t>
            </w:r>
            <w:r w:rsidRPr="00A20387">
              <w:t xml:space="preserve"> Detsamma gäller för </w:t>
            </w:r>
            <w:r w:rsidRPr="00091359">
              <w:t>försök</w:t>
            </w:r>
            <w:r w:rsidRPr="00A20387">
              <w:t xml:space="preserve">, förberedelse eller stämpling till </w:t>
            </w:r>
            <w:r w:rsidRPr="00091359">
              <w:t>människoexploatering</w:t>
            </w:r>
            <w:r w:rsidRPr="00A20387">
              <w:t xml:space="preserve">, grovt </w:t>
            </w:r>
            <w:r w:rsidRPr="00091359">
              <w:t>olaga tvång, grovt olaga</w:t>
            </w:r>
            <w:r w:rsidRPr="00A20387">
              <w:t xml:space="preserve"> </w:t>
            </w:r>
            <w:r w:rsidRPr="00091359">
              <w:t>hot, grovt hemfridsbrott eller grovt</w:t>
            </w:r>
            <w:r w:rsidRPr="00A20387">
              <w:t xml:space="preserve"> olaga intrång och för </w:t>
            </w:r>
            <w:r w:rsidRPr="00091359">
              <w:t>försök</w:t>
            </w:r>
            <w:r w:rsidRPr="00A20387">
              <w:t xml:space="preserve"> eller förberedelse till </w:t>
            </w:r>
            <w:r w:rsidRPr="00091359">
              <w:t>dataintrång</w:t>
            </w:r>
            <w:r w:rsidRPr="00A20387">
              <w:t xml:space="preserve"> som om det fullbordats inte skulle ha varit att anse som ringa, eller grovt dataintrång.</w:t>
            </w:r>
          </w:p>
        </w:tc>
        <w:tc>
          <w:tcPr>
            <w:tcW w:w="2500" w:type="pct"/>
            <w:shd w:val="clear" w:color="auto" w:fill="auto"/>
            <w:tcMar>
              <w:right w:w="0" w:type="dxa"/>
            </w:tcMar>
          </w:tcPr>
          <w:p w14:paraId="32E0C9D3" w14:textId="77777777" w:rsidR="00A050BF" w:rsidRDefault="00A050BF" w:rsidP="00A9083F">
            <w:pPr>
              <w:pStyle w:val="Brdtextmedindrag"/>
              <w:ind w:firstLine="0"/>
            </w:pPr>
            <w:r w:rsidRPr="00A20387">
              <w:t xml:space="preserve">För försök, förberedelse eller </w:t>
            </w:r>
            <w:r w:rsidRPr="00211770">
              <w:t>stämpling till människorov, människohandel</w:t>
            </w:r>
            <w:r w:rsidRPr="00A20387">
              <w:t>,</w:t>
            </w:r>
            <w:r>
              <w:t xml:space="preserve"> </w:t>
            </w:r>
            <w:r w:rsidRPr="00A20387">
              <w:t xml:space="preserve">grov </w:t>
            </w:r>
            <w:r w:rsidRPr="00211770">
              <w:t>människo</w:t>
            </w:r>
            <w:r>
              <w:softHyphen/>
            </w:r>
            <w:r w:rsidRPr="00211770">
              <w:t>exploatering, olaga frihets</w:t>
            </w:r>
            <w:r>
              <w:softHyphen/>
            </w:r>
            <w:r w:rsidRPr="00211770">
              <w:t>berövande, äktenskapstvång</w:t>
            </w:r>
            <w:r>
              <w:t xml:space="preserve"> </w:t>
            </w:r>
            <w:r w:rsidRPr="00A20387">
              <w:t xml:space="preserve">eller </w:t>
            </w:r>
            <w:r w:rsidRPr="00211770">
              <w:t>barnäktenskapsbrott och för under</w:t>
            </w:r>
            <w:r>
              <w:softHyphen/>
            </w:r>
            <w:r w:rsidRPr="00211770">
              <w:t>låtenhet att</w:t>
            </w:r>
            <w:r w:rsidRPr="00A20387">
              <w:t xml:space="preserve"> avslöja eller förhindra ett sådant brott döms det till ansvar enligt 23</w:t>
            </w:r>
            <w:r>
              <w:t> kap.</w:t>
            </w:r>
            <w:r w:rsidRPr="00A20387">
              <w:t xml:space="preserve"> Detsamma gäller för </w:t>
            </w:r>
            <w:r w:rsidRPr="00211770">
              <w:t>försök</w:t>
            </w:r>
            <w:r w:rsidRPr="00A20387">
              <w:t xml:space="preserve">, förberedelse eller stämpling till människoexploatering, grovt olaga tvång, </w:t>
            </w:r>
            <w:r w:rsidRPr="00211770">
              <w:t>grovt olaga</w:t>
            </w:r>
            <w:r w:rsidRPr="00A20387">
              <w:t xml:space="preserve"> hot, grovt hemfridsbrott eller grovt olaga intrång och </w:t>
            </w:r>
            <w:r w:rsidRPr="00AD3DAF">
              <w:rPr>
                <w:i/>
                <w:iCs/>
              </w:rPr>
              <w:t xml:space="preserve">för försök </w:t>
            </w:r>
            <w:r>
              <w:rPr>
                <w:i/>
              </w:rPr>
              <w:t>till äkten</w:t>
            </w:r>
            <w:r>
              <w:rPr>
                <w:i/>
              </w:rPr>
              <w:softHyphen/>
              <w:t xml:space="preserve">skapsresebrott eller </w:t>
            </w:r>
            <w:r>
              <w:rPr>
                <w:i/>
                <w:iCs/>
              </w:rPr>
              <w:t>äktenskaps</w:t>
            </w:r>
            <w:r>
              <w:rPr>
                <w:i/>
                <w:iCs/>
              </w:rPr>
              <w:softHyphen/>
              <w:t>resebrott mot barn</w:t>
            </w:r>
            <w:r w:rsidRPr="00AD3DAF">
              <w:rPr>
                <w:i/>
                <w:iCs/>
              </w:rPr>
              <w:t xml:space="preserve"> samt</w:t>
            </w:r>
            <w:r w:rsidRPr="00211770">
              <w:t xml:space="preserve"> </w:t>
            </w:r>
            <w:r w:rsidRPr="00A20387">
              <w:t xml:space="preserve">för </w:t>
            </w:r>
            <w:r w:rsidRPr="00211770">
              <w:t>försök eller förberedelse till dataintrång</w:t>
            </w:r>
            <w:r w:rsidRPr="00A20387">
              <w:t xml:space="preserve"> som om det fullbordats inte skulle ha varit att anse som ringa, eller grovt dataintrång.</w:t>
            </w:r>
          </w:p>
        </w:tc>
      </w:tr>
    </w:tbl>
    <w:p w14:paraId="72C63343" w14:textId="77777777" w:rsidR="00A050BF" w:rsidRDefault="00A050BF" w:rsidP="00EE3346">
      <w:pPr>
        <w:pStyle w:val="Slutstreck"/>
      </w:pPr>
      <w:r w:rsidRPr="00660EEA">
        <w:t>                      </w:t>
      </w:r>
    </w:p>
    <w:p w14:paraId="0CEC8A33" w14:textId="77777777" w:rsidR="00A050BF" w:rsidRDefault="00A050BF" w:rsidP="00EE3346">
      <w:pPr>
        <w:pStyle w:val="Brdtextmedindrag"/>
        <w:sectPr w:rsidR="00A050BF" w:rsidSect="00EE3346">
          <w:headerReference w:type="even" r:id="rId75"/>
          <w:headerReference w:type="default" r:id="rId76"/>
          <w:footerReference w:type="even" r:id="rId77"/>
          <w:footerReference w:type="default" r:id="rId78"/>
          <w:footerReference w:type="first" r:id="rId79"/>
          <w:footnotePr>
            <w:numRestart w:val="eachSect"/>
          </w:footnotePr>
          <w:pgSz w:w="9356" w:h="13721" w:code="9"/>
          <w:pgMar w:top="794" w:right="2438" w:bottom="1191" w:left="1021" w:header="0" w:footer="709" w:gutter="0"/>
          <w:cols w:space="708"/>
          <w:docGrid w:linePitch="360"/>
        </w:sectPr>
      </w:pPr>
      <w:r>
        <w:t xml:space="preserve">Denna lag träder i kraft den 2 juli 2026. </w:t>
      </w:r>
    </w:p>
    <w:p w14:paraId="0A0EB746" w14:textId="77777777" w:rsidR="00A050BF" w:rsidRDefault="00A050BF" w:rsidP="00EE3346">
      <w:pPr>
        <w:pStyle w:val="Rubrik2utannumrering"/>
        <w:spacing w:before="0"/>
      </w:pPr>
      <w:bookmarkStart w:id="172" w:name="_Toc221561234"/>
      <w:r>
        <w:lastRenderedPageBreak/>
        <w:t>Förslag till lag om ändring i äktenskapsbalken</w:t>
      </w:r>
      <w:bookmarkEnd w:id="172"/>
    </w:p>
    <w:p w14:paraId="7199BC16" w14:textId="77777777" w:rsidR="00A050BF" w:rsidRDefault="00A050BF" w:rsidP="00EE3346">
      <w:pPr>
        <w:pStyle w:val="Brdtext"/>
      </w:pPr>
      <w:r>
        <w:t>Härigenom föreskrivs att 5 kap. 5 § äktenskapsbalken ska ha följande lydelse.</w:t>
      </w:r>
    </w:p>
    <w:p w14:paraId="31D19905" w14:textId="77777777" w:rsidR="00A050BF" w:rsidRDefault="00A050BF" w:rsidP="00EE334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E3346" w:rsidRPr="005B0E77" w14:paraId="58368A96" w14:textId="77777777" w:rsidTr="00A9083F">
        <w:tc>
          <w:tcPr>
            <w:tcW w:w="2500" w:type="pct"/>
            <w:shd w:val="clear" w:color="auto" w:fill="auto"/>
            <w:tcMar>
              <w:left w:w="0" w:type="dxa"/>
            </w:tcMar>
          </w:tcPr>
          <w:p w14:paraId="50E82690" w14:textId="77777777" w:rsidR="00A050BF" w:rsidRPr="005B0E77" w:rsidRDefault="00A050BF" w:rsidP="00A9083F">
            <w:pPr>
              <w:pStyle w:val="Brdtext"/>
              <w:jc w:val="left"/>
              <w:rPr>
                <w:i/>
              </w:rPr>
            </w:pPr>
            <w:r w:rsidRPr="00654F2A">
              <w:rPr>
                <w:i/>
              </w:rPr>
              <w:t>Lydelse enligt lagrådsremissen Förbud mot kusinäktenskap och äktenskap mellan andra nära släktingar</w:t>
            </w:r>
          </w:p>
        </w:tc>
        <w:tc>
          <w:tcPr>
            <w:tcW w:w="2500" w:type="pct"/>
            <w:shd w:val="clear" w:color="auto" w:fill="auto"/>
            <w:tcMar>
              <w:right w:w="0" w:type="dxa"/>
            </w:tcMar>
          </w:tcPr>
          <w:p w14:paraId="751C42AB" w14:textId="77777777" w:rsidR="00A050BF" w:rsidRPr="005B0E77" w:rsidRDefault="00A050BF" w:rsidP="00A9083F">
            <w:pPr>
              <w:pStyle w:val="Brdtext"/>
              <w:rPr>
                <w:i/>
              </w:rPr>
            </w:pPr>
            <w:r w:rsidRPr="005B0E77">
              <w:rPr>
                <w:i/>
              </w:rPr>
              <w:t>Föreslagen lydelse</w:t>
            </w:r>
          </w:p>
        </w:tc>
      </w:tr>
    </w:tbl>
    <w:p w14:paraId="3F6F8F0F" w14:textId="77777777" w:rsidR="00A050BF" w:rsidRDefault="00A050BF" w:rsidP="00EE3346">
      <w:pPr>
        <w:pStyle w:val="Brdtext"/>
        <w:jc w:val="center"/>
        <w:rPr>
          <w:b/>
        </w:rPr>
      </w:pPr>
    </w:p>
    <w:p w14:paraId="35D001E0" w14:textId="77777777" w:rsidR="00A050BF" w:rsidRDefault="00A050BF" w:rsidP="00EE3346">
      <w:pPr>
        <w:pStyle w:val="Brdtext"/>
        <w:jc w:val="center"/>
        <w:rPr>
          <w:b/>
        </w:rPr>
      </w:pPr>
      <w:r>
        <w:rPr>
          <w:b/>
        </w:rPr>
        <w:t>5 kap.</w:t>
      </w:r>
    </w:p>
    <w:p w14:paraId="07E4B689" w14:textId="77777777" w:rsidR="00A050BF" w:rsidRDefault="00A050BF" w:rsidP="00EE3346">
      <w:pPr>
        <w:pStyle w:val="Brdtext"/>
        <w:jc w:val="center"/>
      </w:pPr>
      <w:r>
        <w:t>5 §</w:t>
      </w:r>
      <w:r>
        <w:rPr>
          <w:rStyle w:val="Fotnotsreferens"/>
        </w:rPr>
        <w:footnoteReference w:id="21"/>
      </w:r>
    </w:p>
    <w:p w14:paraId="6C3B562C" w14:textId="77777777" w:rsidR="00A050BF" w:rsidRDefault="00A050BF" w:rsidP="00EE3346">
      <w:pPr>
        <w:pStyle w:val="Brdtextmedindrag"/>
        <w:ind w:firstLine="0"/>
      </w:pPr>
      <w:r>
        <w:t>E</w:t>
      </w:r>
      <w:r w:rsidRPr="003D5907">
        <w:t>n make har rätt till äktenskapsskillnad utan föregående betänketid om det görs sannolikt att maken har tvingats att ingå äktenskapet eller om maken har ingått äktenskapet före 18 års ålder. Om äktenskapet har ingåtts trots att makarna är släkt med varandra på något av de sätt som anges i 2 kap. 3</w:t>
      </w:r>
      <w:r>
        <w:t> </w:t>
      </w:r>
      <w:r w:rsidRPr="003D5907">
        <w:t xml:space="preserve">§, har var och en av makarna rätt till äktenskapsskillnad utan föregående betänketid. </w:t>
      </w:r>
      <w:r>
        <w:t xml:space="preserve">Detsamma </w:t>
      </w:r>
      <w:r w:rsidRPr="003D5907">
        <w:t>gäller om äktenskapet har ingåtts trots att någon av makarna redan var gift eller partner i ett registrerat partnerskap och det tidigare</w:t>
      </w:r>
      <w:r>
        <w:t xml:space="preserve"> </w:t>
      </w:r>
      <w:r w:rsidRPr="003D5907">
        <w:t>äktenskapet eller partnerskapet inte har blivit upplöst.</w:t>
      </w:r>
      <w:r>
        <w:t xml:space="preserve"> </w:t>
      </w:r>
    </w:p>
    <w:p w14:paraId="3B65BCDD" w14:textId="77777777" w:rsidR="00A050BF" w:rsidRDefault="00A050BF" w:rsidP="00EE3346">
      <w:pPr>
        <w:pStyle w:val="Brdtextmedindrag"/>
      </w:pPr>
      <w:bookmarkStart w:id="173" w:name="_Hlk221114360"/>
      <w:r>
        <w:t>O</w:t>
      </w:r>
      <w:r w:rsidRPr="003D5907">
        <w:t>m det är fråga om tvegifte, har var och en av makarna i det tidigare äktenskapet rätt att få detta upplöst genom äktenskapsskillnad utan föregående betänketid. Detsamma gäller om ett partnerskap har registrerats trots att någon av partnerna då var gift.</w:t>
      </w:r>
      <w:r>
        <w:t xml:space="preserve"> </w:t>
      </w:r>
    </w:p>
    <w:bookmarkEnd w:id="173"/>
    <w:p w14:paraId="490B2CE5" w14:textId="77777777" w:rsidR="00A050BF" w:rsidRDefault="00A050BF" w:rsidP="00EE3346">
      <w:pPr>
        <w:pStyle w:val="Brdtextmedindrag"/>
      </w:pPr>
      <w:r w:rsidRPr="000A64E6">
        <w:t>I de fall som avses i första stycket får talan om äktenskapsskillnad föras även av allmän åklagare. I de fall som avser äktenskap som har ingåtts av underårig är socialnämnden i den kommun där personen är folkbokförd eller, om personen inte är folkbokförd här i landet, i den kommun där han eller hon vistas skyldig att på begäran lämna yttrande samt de upplysningar som kan vara av betydelse för frågans bedömning till åklagaren. En annan socialnämnd som har tillgång till upplysningar som kan vara av betydelse i frågan är skyldig att lämna sådana på begäran av den socialnämnd som ska yttra sig.</w:t>
      </w:r>
    </w:p>
    <w:tbl>
      <w:tblPr>
        <w:tblW w:w="5000" w:type="pct"/>
        <w:tblLook w:val="0600" w:firstRow="0" w:lastRow="0" w:firstColumn="0" w:lastColumn="0" w:noHBand="1" w:noVBand="1"/>
      </w:tblPr>
      <w:tblGrid>
        <w:gridCol w:w="2948"/>
        <w:gridCol w:w="2949"/>
      </w:tblGrid>
      <w:tr w:rsidR="00EE3346" w14:paraId="3895715E" w14:textId="77777777" w:rsidTr="00A9083F">
        <w:tc>
          <w:tcPr>
            <w:tcW w:w="2500" w:type="pct"/>
            <w:shd w:val="clear" w:color="auto" w:fill="auto"/>
            <w:tcMar>
              <w:left w:w="0" w:type="dxa"/>
            </w:tcMar>
          </w:tcPr>
          <w:p w14:paraId="4CC63963" w14:textId="77777777" w:rsidR="00A050BF" w:rsidRDefault="00A050BF" w:rsidP="00A9083F">
            <w:pPr>
              <w:pStyle w:val="Brdtextmedindrag"/>
            </w:pPr>
            <w:r w:rsidRPr="000A64E6">
              <w:rPr>
                <w:i/>
                <w:spacing w:val="-4"/>
              </w:rPr>
              <w:t>Bestämmelser om erkännande av äktenskap som har ingåtts enligt utländsk lag i de fall som avses i första stycket finns i 1</w:t>
            </w:r>
            <w:r>
              <w:rPr>
                <w:i/>
                <w:spacing w:val="-4"/>
              </w:rPr>
              <w:t> kap.</w:t>
            </w:r>
            <w:r w:rsidRPr="000A64E6">
              <w:rPr>
                <w:i/>
                <w:spacing w:val="-4"/>
              </w:rPr>
              <w:t xml:space="preserve"> 8</w:t>
            </w:r>
            <w:r>
              <w:rPr>
                <w:i/>
                <w:spacing w:val="-4"/>
              </w:rPr>
              <w:t> </w:t>
            </w:r>
            <w:r w:rsidRPr="000A64E6">
              <w:rPr>
                <w:i/>
                <w:spacing w:val="-4"/>
              </w:rPr>
              <w:t>a</w:t>
            </w:r>
            <w:r>
              <w:rPr>
                <w:i/>
                <w:spacing w:val="-4"/>
              </w:rPr>
              <w:t> §</w:t>
            </w:r>
            <w:r w:rsidRPr="000A64E6">
              <w:rPr>
                <w:i/>
                <w:spacing w:val="-4"/>
              </w:rPr>
              <w:t xml:space="preserve"> lagen (1904:26 s.</w:t>
            </w:r>
            <w:r>
              <w:rPr>
                <w:i/>
                <w:spacing w:val="-4"/>
              </w:rPr>
              <w:t> </w:t>
            </w:r>
            <w:r w:rsidRPr="000A64E6">
              <w:rPr>
                <w:i/>
                <w:spacing w:val="-4"/>
              </w:rPr>
              <w:t>1) om vissa inter</w:t>
            </w:r>
            <w:r>
              <w:rPr>
                <w:i/>
                <w:spacing w:val="-4"/>
              </w:rPr>
              <w:softHyphen/>
            </w:r>
            <w:r w:rsidRPr="000A64E6">
              <w:rPr>
                <w:i/>
                <w:spacing w:val="-4"/>
              </w:rPr>
              <w:t>natio</w:t>
            </w:r>
            <w:r>
              <w:rPr>
                <w:i/>
                <w:spacing w:val="-4"/>
              </w:rPr>
              <w:softHyphen/>
            </w:r>
            <w:r w:rsidRPr="000A64E6">
              <w:rPr>
                <w:i/>
                <w:spacing w:val="-4"/>
              </w:rPr>
              <w:t>nel</w:t>
            </w:r>
            <w:r>
              <w:rPr>
                <w:i/>
                <w:spacing w:val="-4"/>
              </w:rPr>
              <w:softHyphen/>
            </w:r>
            <w:r w:rsidRPr="000A64E6">
              <w:rPr>
                <w:i/>
                <w:spacing w:val="-4"/>
              </w:rPr>
              <w:t>la rättsförhållanden rörande äkten</w:t>
            </w:r>
            <w:r>
              <w:rPr>
                <w:i/>
                <w:spacing w:val="-4"/>
              </w:rPr>
              <w:softHyphen/>
            </w:r>
            <w:r w:rsidRPr="000A64E6">
              <w:rPr>
                <w:i/>
                <w:spacing w:val="-4"/>
              </w:rPr>
              <w:t>skap och förmynderskap.</w:t>
            </w:r>
          </w:p>
        </w:tc>
        <w:tc>
          <w:tcPr>
            <w:tcW w:w="2500" w:type="pct"/>
            <w:shd w:val="clear" w:color="auto" w:fill="auto"/>
            <w:tcMar>
              <w:right w:w="0" w:type="dxa"/>
            </w:tcMar>
          </w:tcPr>
          <w:p w14:paraId="6B946FE4" w14:textId="77777777" w:rsidR="00A050BF" w:rsidRDefault="00A050BF" w:rsidP="00A9083F">
            <w:pPr>
              <w:pStyle w:val="Brdtextmedindrag"/>
            </w:pPr>
          </w:p>
        </w:tc>
      </w:tr>
    </w:tbl>
    <w:p w14:paraId="582B0095" w14:textId="77777777" w:rsidR="00A050BF" w:rsidRDefault="00A050BF" w:rsidP="00EE3346">
      <w:pPr>
        <w:pStyle w:val="Slutstreck"/>
      </w:pPr>
      <w:r w:rsidRPr="00660EEA">
        <w:t>                     </w:t>
      </w:r>
    </w:p>
    <w:p w14:paraId="04C24161" w14:textId="77777777" w:rsidR="00A050BF" w:rsidRDefault="00A050BF" w:rsidP="00EE3346">
      <w:pPr>
        <w:pStyle w:val="Brdtextmedindrag"/>
      </w:pPr>
      <w:r w:rsidRPr="00AE23A3">
        <w:t>Denna</w:t>
      </w:r>
      <w:r>
        <w:t xml:space="preserve"> lag träder i kraft den 2 juli 2026.</w:t>
      </w:r>
    </w:p>
    <w:p w14:paraId="2B52D346" w14:textId="77777777" w:rsidR="00A050BF" w:rsidRDefault="00A050BF" w:rsidP="00EE3346">
      <w:pPr>
        <w:pStyle w:val="Brdtextmedindrag"/>
      </w:pPr>
    </w:p>
    <w:p w14:paraId="237FDE47" w14:textId="77777777" w:rsidR="00A050BF" w:rsidRDefault="00A050BF" w:rsidP="00EE3346">
      <w:pPr>
        <w:pStyle w:val="Brdtextmedindrag"/>
      </w:pPr>
    </w:p>
    <w:p w14:paraId="1BF7592B" w14:textId="18941B68" w:rsidR="00A050BF" w:rsidRDefault="00A050BF" w:rsidP="00EE3346">
      <w:pPr>
        <w:pStyle w:val="Brdtextmedindrag"/>
      </w:pPr>
    </w:p>
    <w:p w14:paraId="4623F01E" w14:textId="77777777" w:rsidR="00A050BF" w:rsidRDefault="00A050BF" w:rsidP="00EE3346">
      <w:pPr>
        <w:pStyle w:val="Brdtextmedindrag"/>
        <w:sectPr w:rsidR="00A050BF" w:rsidSect="00EE3346">
          <w:headerReference w:type="even" r:id="rId80"/>
          <w:headerReference w:type="default" r:id="rId81"/>
          <w:footerReference w:type="even" r:id="rId82"/>
          <w:footerReference w:type="default" r:id="rId83"/>
          <w:footerReference w:type="first" r:id="rId84"/>
          <w:footnotePr>
            <w:numRestart w:val="eachSect"/>
          </w:footnotePr>
          <w:pgSz w:w="9356" w:h="13721" w:code="9"/>
          <w:pgMar w:top="794" w:right="2438" w:bottom="1191" w:left="1021" w:header="0" w:footer="709" w:gutter="0"/>
          <w:cols w:space="708"/>
          <w:docGrid w:linePitch="360"/>
        </w:sectPr>
      </w:pPr>
    </w:p>
    <w:p w14:paraId="572E0BBD" w14:textId="77777777" w:rsidR="00A050BF" w:rsidRPr="00DC06CD" w:rsidRDefault="00A050BF" w:rsidP="00EE3346">
      <w:pPr>
        <w:pStyle w:val="Rubrik2utannumrering"/>
        <w:spacing w:before="0"/>
      </w:pPr>
      <w:bookmarkStart w:id="174" w:name="_Toc221561235"/>
      <w:r w:rsidRPr="006B59D3">
        <w:rPr>
          <w:spacing w:val="-2"/>
        </w:rPr>
        <w:lastRenderedPageBreak/>
        <w:t>Förslag till lag om ändring i lagen (1904:26</w:t>
      </w:r>
      <w:r w:rsidRPr="006B59D3">
        <w:rPr>
          <w:rFonts w:ascii="Cambria" w:hAnsi="Cambria"/>
          <w:spacing w:val="-2"/>
        </w:rPr>
        <w:t> </w:t>
      </w:r>
      <w:r w:rsidRPr="006B59D3">
        <w:rPr>
          <w:spacing w:val="-2"/>
        </w:rPr>
        <w:t>s.</w:t>
      </w:r>
      <w:r w:rsidRPr="006B59D3">
        <w:rPr>
          <w:rFonts w:ascii="Cambria" w:hAnsi="Cambria"/>
          <w:spacing w:val="-2"/>
        </w:rPr>
        <w:t> </w:t>
      </w:r>
      <w:r w:rsidRPr="006B59D3">
        <w:rPr>
          <w:spacing w:val="-2"/>
        </w:rPr>
        <w:t>1)</w:t>
      </w:r>
      <w:r>
        <w:t xml:space="preserve"> </w:t>
      </w:r>
      <w:r w:rsidRPr="00FB7C55">
        <w:t>om vissa internationella rättsförhållanden</w:t>
      </w:r>
      <w:r>
        <w:t xml:space="preserve"> </w:t>
      </w:r>
      <w:r w:rsidRPr="00FB7C55">
        <w:t>rörande äktenskap och förmynderskap</w:t>
      </w:r>
      <w:bookmarkEnd w:id="174"/>
    </w:p>
    <w:p w14:paraId="1C853C23" w14:textId="77777777" w:rsidR="00A050BF" w:rsidRDefault="00A050BF" w:rsidP="00EE3346">
      <w:pPr>
        <w:pStyle w:val="Brdtext"/>
      </w:pPr>
      <w:r w:rsidRPr="00536C14">
        <w:t>Härigenom föreskrivs att 1</w:t>
      </w:r>
      <w:r>
        <w:t> </w:t>
      </w:r>
      <w:r w:rsidRPr="00536C14">
        <w:t>kap. 8</w:t>
      </w:r>
      <w:r>
        <w:t> </w:t>
      </w:r>
      <w:r w:rsidRPr="00536C14">
        <w:t>a</w:t>
      </w:r>
      <w:r>
        <w:t> </w:t>
      </w:r>
      <w:r w:rsidRPr="00536C14">
        <w:t>§ lagen (1904:26 s.</w:t>
      </w:r>
      <w:r>
        <w:t> </w:t>
      </w:r>
      <w:r w:rsidRPr="00536C14">
        <w:t>1) om vissa internationella rättsförhållanden rörande äktenskap och för</w:t>
      </w:r>
      <w:r>
        <w:softHyphen/>
      </w:r>
      <w:r w:rsidRPr="00536C14">
        <w:t>myn</w:t>
      </w:r>
      <w:r>
        <w:softHyphen/>
      </w:r>
      <w:r w:rsidRPr="00536C14">
        <w:t>der</w:t>
      </w:r>
      <w:r>
        <w:softHyphen/>
      </w:r>
      <w:r w:rsidRPr="00536C14">
        <w:t>ska</w:t>
      </w:r>
      <w:r>
        <w:t>p</w:t>
      </w:r>
      <w:r w:rsidRPr="00536C14">
        <w:t xml:space="preserve"> ska ha följande lydelse.</w:t>
      </w:r>
    </w:p>
    <w:p w14:paraId="3E60C276" w14:textId="77777777" w:rsidR="00A050BF" w:rsidRPr="00AD3DAF" w:rsidRDefault="00A050BF" w:rsidP="00EE334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E3346" w:rsidRPr="005B0E77" w14:paraId="6D08161D" w14:textId="77777777" w:rsidTr="00A9083F">
        <w:tc>
          <w:tcPr>
            <w:tcW w:w="2500" w:type="pct"/>
            <w:shd w:val="clear" w:color="auto" w:fill="auto"/>
            <w:tcMar>
              <w:left w:w="0" w:type="dxa"/>
            </w:tcMar>
          </w:tcPr>
          <w:p w14:paraId="2111081A" w14:textId="77777777" w:rsidR="00A050BF" w:rsidRPr="005B0E77" w:rsidRDefault="00A050BF" w:rsidP="00A9083F">
            <w:pPr>
              <w:pStyle w:val="Brdtext"/>
              <w:jc w:val="left"/>
              <w:rPr>
                <w:i/>
              </w:rPr>
            </w:pPr>
            <w:r>
              <w:rPr>
                <w:i/>
              </w:rPr>
              <w:t>Lydelse enligt lagrådsremissen Förbud mot kusinäktenskap och äktenskap mellan andra nära släktingar</w:t>
            </w:r>
          </w:p>
        </w:tc>
        <w:tc>
          <w:tcPr>
            <w:tcW w:w="2500" w:type="pct"/>
            <w:shd w:val="clear" w:color="auto" w:fill="auto"/>
            <w:tcMar>
              <w:right w:w="0" w:type="dxa"/>
            </w:tcMar>
          </w:tcPr>
          <w:p w14:paraId="2570A21E" w14:textId="77777777" w:rsidR="00A050BF" w:rsidRPr="005B0E77" w:rsidRDefault="00A050BF" w:rsidP="00A9083F">
            <w:pPr>
              <w:pStyle w:val="Brdtext"/>
              <w:rPr>
                <w:i/>
              </w:rPr>
            </w:pPr>
            <w:r w:rsidRPr="005B0E77">
              <w:rPr>
                <w:i/>
              </w:rPr>
              <w:t>Föreslagen lydelse</w:t>
            </w:r>
          </w:p>
        </w:tc>
      </w:tr>
    </w:tbl>
    <w:p w14:paraId="6A453FBB" w14:textId="77777777" w:rsidR="00A050BF" w:rsidRDefault="00A050BF" w:rsidP="00EE3346">
      <w:pPr>
        <w:pStyle w:val="Brdtext"/>
        <w:jc w:val="center"/>
        <w:rPr>
          <w:b/>
        </w:rPr>
      </w:pPr>
    </w:p>
    <w:p w14:paraId="7DAAEA08" w14:textId="77777777" w:rsidR="00A050BF" w:rsidRDefault="00A050BF" w:rsidP="00EE3346">
      <w:pPr>
        <w:pStyle w:val="Brdtext"/>
        <w:jc w:val="center"/>
        <w:rPr>
          <w:b/>
        </w:rPr>
      </w:pPr>
      <w:r>
        <w:rPr>
          <w:b/>
        </w:rPr>
        <w:t>1 kap.</w:t>
      </w:r>
    </w:p>
    <w:p w14:paraId="20E133D6" w14:textId="77777777" w:rsidR="00A050BF" w:rsidRDefault="00A050BF" w:rsidP="00EE3346">
      <w:pPr>
        <w:pStyle w:val="Brdtext"/>
        <w:jc w:val="center"/>
      </w:pPr>
      <w:r>
        <w:t>8 a §</w:t>
      </w:r>
    </w:p>
    <w:p w14:paraId="7A8E6730" w14:textId="77777777" w:rsidR="00A050BF" w:rsidRPr="00C174A4" w:rsidRDefault="00A050BF" w:rsidP="00EE3346">
      <w:pPr>
        <w:pStyle w:val="Brdtext"/>
      </w:pPr>
      <w:r w:rsidRPr="00C174A4">
        <w:t>Ett äktenskap som har ingåtts enligt utländsk lag erkänns inte i Sverige</w:t>
      </w:r>
    </w:p>
    <w:p w14:paraId="4419A375" w14:textId="77777777" w:rsidR="00A050BF" w:rsidRDefault="00A050BF" w:rsidP="00EE3346">
      <w:pPr>
        <w:pStyle w:val="Brdtextmedindrag"/>
      </w:pPr>
      <w:r w:rsidRPr="00C174A4">
        <w:rPr>
          <w:spacing w:val="-4"/>
        </w:rPr>
        <w:t xml:space="preserve">1. om </w:t>
      </w:r>
      <w:r>
        <w:rPr>
          <w:spacing w:val="-4"/>
        </w:rPr>
        <w:t xml:space="preserve">parterna är släkt med varandra på något av de sätt som </w:t>
      </w:r>
      <w:r w:rsidRPr="00BA1B96">
        <w:rPr>
          <w:spacing w:val="-4"/>
        </w:rPr>
        <w:t xml:space="preserve">anges i 2 kap. 3 § äktenskapsbalken eller </w:t>
      </w:r>
      <w:r w:rsidRPr="00C174A4">
        <w:rPr>
          <w:spacing w:val="-4"/>
        </w:rPr>
        <w:t>om det vid tidpunkten för äktenskapets ingående skulle ha funnits</w:t>
      </w:r>
      <w:r w:rsidRPr="00BA1B96">
        <w:rPr>
          <w:spacing w:val="-4"/>
        </w:rPr>
        <w:t xml:space="preserve"> något annat hinder mot äktenskapet enligt svensk lag</w:t>
      </w:r>
      <w:r>
        <w:t>,</w:t>
      </w:r>
    </w:p>
    <w:p w14:paraId="26A0A5A2" w14:textId="77777777" w:rsidR="00A050BF" w:rsidRDefault="00A050BF" w:rsidP="00EE3346">
      <w:pPr>
        <w:pStyle w:val="Brdtextmedindrag"/>
      </w:pPr>
      <w:r>
        <w:t>2.</w:t>
      </w:r>
      <w:r w:rsidRPr="00C174A4">
        <w:rPr>
          <w:spacing w:val="-2"/>
        </w:rPr>
        <w:t> om det är sannolikt att äktenskapet har ingåtts under tvång, eller</w:t>
      </w:r>
    </w:p>
    <w:p w14:paraId="7BFF016E" w14:textId="77777777" w:rsidR="00A050BF" w:rsidRDefault="00A050BF" w:rsidP="00EE3346">
      <w:pPr>
        <w:pStyle w:val="Brdtextmedindrag"/>
      </w:pPr>
      <w:r>
        <w:t>3. om parterna inte var närvarande samtidigt vid äktenskapets in</w:t>
      </w:r>
      <w:r>
        <w:softHyphen/>
      </w:r>
      <w:r w:rsidRPr="00C174A4">
        <w:rPr>
          <w:spacing w:val="-2"/>
        </w:rPr>
        <w:t>gående och minst en av dem då var svensk medborgare eller hade hem</w:t>
      </w:r>
      <w:r w:rsidRPr="00C174A4">
        <w:rPr>
          <w:spacing w:val="-2"/>
        </w:rPr>
        <w:softHyphen/>
        <w:t>vist</w:t>
      </w:r>
      <w:r>
        <w:t xml:space="preserve"> i Sverige. </w:t>
      </w:r>
    </w:p>
    <w:tbl>
      <w:tblPr>
        <w:tblW w:w="5000" w:type="pct"/>
        <w:tblLook w:val="0600" w:firstRow="0" w:lastRow="0" w:firstColumn="0" w:lastColumn="0" w:noHBand="1" w:noVBand="1"/>
      </w:tblPr>
      <w:tblGrid>
        <w:gridCol w:w="2948"/>
        <w:gridCol w:w="2949"/>
      </w:tblGrid>
      <w:tr w:rsidR="00EE3346" w14:paraId="1D30BFEE" w14:textId="77777777" w:rsidTr="00A9083F">
        <w:tc>
          <w:tcPr>
            <w:tcW w:w="2500" w:type="pct"/>
            <w:shd w:val="clear" w:color="auto" w:fill="auto"/>
            <w:tcMar>
              <w:left w:w="0" w:type="dxa"/>
            </w:tcMar>
          </w:tcPr>
          <w:p w14:paraId="00E6C10A" w14:textId="77777777" w:rsidR="00A050BF" w:rsidRDefault="00A050BF" w:rsidP="00A9083F">
            <w:pPr>
              <w:pStyle w:val="Brdtextmedindrag"/>
            </w:pPr>
            <w:r w:rsidRPr="001557AF">
              <w:rPr>
                <w:i/>
                <w:iCs/>
                <w:spacing w:val="-6"/>
              </w:rPr>
              <w:t>Första stycket gäller inte om båda</w:t>
            </w:r>
            <w:r w:rsidRPr="00694A0E">
              <w:rPr>
                <w:i/>
                <w:iCs/>
              </w:rPr>
              <w:t xml:space="preserve"> </w:t>
            </w:r>
            <w:r w:rsidRPr="001557AF">
              <w:rPr>
                <w:i/>
                <w:iCs/>
                <w:spacing w:val="-4"/>
              </w:rPr>
              <w:t>parterna är över 18 år och det finns</w:t>
            </w:r>
            <w:r w:rsidRPr="00C174A4">
              <w:rPr>
                <w:i/>
                <w:iCs/>
                <w:spacing w:val="2"/>
              </w:rPr>
              <w:t xml:space="preserve"> synnerliga skäl att erkänna äkten</w:t>
            </w:r>
            <w:r w:rsidRPr="00C174A4">
              <w:rPr>
                <w:i/>
                <w:iCs/>
                <w:spacing w:val="2"/>
              </w:rPr>
              <w:softHyphen/>
              <w:t>skapet.</w:t>
            </w:r>
          </w:p>
        </w:tc>
        <w:tc>
          <w:tcPr>
            <w:tcW w:w="2500" w:type="pct"/>
            <w:shd w:val="clear" w:color="auto" w:fill="auto"/>
            <w:tcMar>
              <w:right w:w="0" w:type="dxa"/>
            </w:tcMar>
          </w:tcPr>
          <w:p w14:paraId="2F885BA6" w14:textId="77777777" w:rsidR="00A050BF" w:rsidRPr="00C70210" w:rsidRDefault="00A050BF" w:rsidP="00A9083F">
            <w:pPr>
              <w:pStyle w:val="Brdtextmedindrag"/>
              <w:rPr>
                <w:i/>
              </w:rPr>
            </w:pPr>
            <w:r>
              <w:rPr>
                <w:i/>
              </w:rPr>
              <w:t>Trots</w:t>
            </w:r>
            <w:r w:rsidRPr="00C70210">
              <w:rPr>
                <w:i/>
              </w:rPr>
              <w:t xml:space="preserve"> första stycket </w:t>
            </w:r>
            <w:r>
              <w:rPr>
                <w:i/>
              </w:rPr>
              <w:t>har äkten</w:t>
            </w:r>
            <w:r>
              <w:rPr>
                <w:i/>
              </w:rPr>
              <w:softHyphen/>
              <w:t>skapet i ett enskilt fall</w:t>
            </w:r>
            <w:r w:rsidRPr="00C70210">
              <w:rPr>
                <w:i/>
              </w:rPr>
              <w:t xml:space="preserve"> rättsverk</w:t>
            </w:r>
            <w:r>
              <w:rPr>
                <w:i/>
              </w:rPr>
              <w:t>a</w:t>
            </w:r>
            <w:r w:rsidRPr="00C70210">
              <w:rPr>
                <w:i/>
              </w:rPr>
              <w:t>n</w:t>
            </w:r>
            <w:r>
              <w:rPr>
                <w:i/>
                <w:iCs/>
              </w:rPr>
              <w:t>,</w:t>
            </w:r>
            <w:r w:rsidRPr="00C70210">
              <w:rPr>
                <w:i/>
              </w:rPr>
              <w:t xml:space="preserve"> om det </w:t>
            </w:r>
            <w:r>
              <w:rPr>
                <w:i/>
              </w:rPr>
              <w:t>finns</w:t>
            </w:r>
            <w:r w:rsidRPr="00C70210">
              <w:rPr>
                <w:i/>
              </w:rPr>
              <w:t xml:space="preserve"> </w:t>
            </w:r>
            <w:r w:rsidRPr="00C70210">
              <w:rPr>
                <w:i/>
                <w:iCs/>
              </w:rPr>
              <w:t>synner</w:t>
            </w:r>
            <w:r>
              <w:rPr>
                <w:i/>
                <w:iCs/>
              </w:rPr>
              <w:softHyphen/>
            </w:r>
            <w:r w:rsidRPr="00C70210">
              <w:rPr>
                <w:i/>
                <w:iCs/>
              </w:rPr>
              <w:t>liga</w:t>
            </w:r>
            <w:r w:rsidRPr="00C70210">
              <w:rPr>
                <w:i/>
              </w:rPr>
              <w:t xml:space="preserve"> skäl för det och båda parterna är över 18 år. </w:t>
            </w:r>
          </w:p>
        </w:tc>
      </w:tr>
    </w:tbl>
    <w:p w14:paraId="723FDD85" w14:textId="77777777" w:rsidR="00A050BF" w:rsidRDefault="00A050BF" w:rsidP="00EE3346">
      <w:pPr>
        <w:pStyle w:val="Slutstreck"/>
      </w:pPr>
      <w:r w:rsidRPr="00660EEA">
        <w:t>                     </w:t>
      </w:r>
    </w:p>
    <w:p w14:paraId="17222786" w14:textId="77777777" w:rsidR="00A050BF" w:rsidRPr="004872FE" w:rsidRDefault="00A050BF" w:rsidP="00EE3346">
      <w:pPr>
        <w:pStyle w:val="Brdtextmedindrag"/>
      </w:pPr>
      <w:r>
        <w:t>1. </w:t>
      </w:r>
      <w:r w:rsidRPr="00AE23A3">
        <w:t>Denna</w:t>
      </w:r>
      <w:r>
        <w:t xml:space="preserve"> lag träder i kraft den 2 juli 2026.</w:t>
      </w:r>
    </w:p>
    <w:p w14:paraId="145306A4" w14:textId="77777777" w:rsidR="00A050BF" w:rsidRPr="00152749" w:rsidRDefault="00A050BF" w:rsidP="00EE3346">
      <w:pPr>
        <w:pStyle w:val="Brdtextmedindrag"/>
      </w:pPr>
      <w:r>
        <w:t>2. </w:t>
      </w:r>
      <w:bookmarkStart w:id="175" w:name="_Hlk215431466"/>
      <w:r>
        <w:t>Äldre bestämmelser gäller för äktenskap som har registrerats av Skatteverket enligt folkbokföringslagen (1991:481) före ikraftträdandet. Det gäller dock inte för äktenskap där en av parterna var gift med någon annan än den andra parten vid tiden för ikraftträdandet.</w:t>
      </w:r>
      <w:bookmarkEnd w:id="175"/>
    </w:p>
    <w:p w14:paraId="65C27A05" w14:textId="77777777" w:rsidR="00A050BF" w:rsidRDefault="00A050BF" w:rsidP="00EE3346">
      <w:pPr>
        <w:pStyle w:val="Brdtextmedindrag"/>
      </w:pPr>
    </w:p>
    <w:p w14:paraId="45681DC7" w14:textId="77777777" w:rsidR="00A050BF" w:rsidRDefault="00A050BF" w:rsidP="00EE3346">
      <w:pPr>
        <w:pStyle w:val="Brdtextmedindrag"/>
      </w:pPr>
    </w:p>
    <w:p w14:paraId="70CFFFCF" w14:textId="77777777" w:rsidR="00A050BF" w:rsidRDefault="00A050BF" w:rsidP="00EE3346">
      <w:pPr>
        <w:pStyle w:val="Brdtextmedindrag"/>
      </w:pPr>
    </w:p>
    <w:p w14:paraId="7FEF6ABD" w14:textId="77777777" w:rsidR="00A050BF" w:rsidRPr="00EE3346" w:rsidRDefault="00A050BF" w:rsidP="00EE3346">
      <w:pPr>
        <w:pStyle w:val="Brdtextmedindrag"/>
        <w:sectPr w:rsidR="00A050BF" w:rsidRPr="00EE3346" w:rsidSect="00EE3346">
          <w:headerReference w:type="even" r:id="rId85"/>
          <w:headerReference w:type="default" r:id="rId86"/>
          <w:footerReference w:type="even" r:id="rId87"/>
          <w:footerReference w:type="default" r:id="rId88"/>
          <w:footerReference w:type="first" r:id="rId89"/>
          <w:footnotePr>
            <w:numRestart w:val="eachSect"/>
          </w:footnotePr>
          <w:pgSz w:w="9356" w:h="13721" w:code="9"/>
          <w:pgMar w:top="794" w:right="2438" w:bottom="1191" w:left="1021" w:header="0" w:footer="709" w:gutter="0"/>
          <w:cols w:space="708"/>
          <w:docGrid w:linePitch="360"/>
        </w:sectPr>
      </w:pPr>
    </w:p>
    <w:p w14:paraId="1EDECF78" w14:textId="77777777" w:rsidR="00A050BF" w:rsidRDefault="00A050BF" w:rsidP="001367FC">
      <w:pPr>
        <w:pStyle w:val="Bilagarubrik"/>
      </w:pPr>
      <w:bookmarkStart w:id="176" w:name="_Toc224807627"/>
      <w:r>
        <w:lastRenderedPageBreak/>
        <w:t>Lagrådets yttrande</w:t>
      </w:r>
      <w:bookmarkEnd w:id="176"/>
    </w:p>
    <w:p w14:paraId="55A1B555" w14:textId="77777777" w:rsidR="00246D3B" w:rsidRDefault="00246D3B" w:rsidP="00246D3B">
      <w:pPr>
        <w:pStyle w:val="Brdtext"/>
      </w:pPr>
      <w:r w:rsidRPr="00246D3B">
        <w:t>Utdrag ur protokoll vid sammanträde 2026-02-27</w:t>
      </w:r>
    </w:p>
    <w:p w14:paraId="53BD26E5" w14:textId="77777777" w:rsidR="00246D3B" w:rsidRPr="00246D3B" w:rsidRDefault="00246D3B" w:rsidP="00246D3B">
      <w:pPr>
        <w:pStyle w:val="Brdtextmedindrag"/>
      </w:pPr>
    </w:p>
    <w:p w14:paraId="37B6673B" w14:textId="77777777" w:rsidR="00246D3B" w:rsidRPr="00246D3B" w:rsidRDefault="00246D3B" w:rsidP="00246D3B">
      <w:pPr>
        <w:pStyle w:val="Brdtext"/>
      </w:pPr>
      <w:r w:rsidRPr="00246D3B">
        <w:rPr>
          <w:b/>
        </w:rPr>
        <w:t>Närvarande:</w:t>
      </w:r>
      <w:r w:rsidRPr="00246D3B">
        <w:t xml:space="preserve"> F.d. justitieråden Eskil Nord och Stefan Lindskog samt justitierådet Magnus Medin</w:t>
      </w:r>
    </w:p>
    <w:p w14:paraId="6BA304BE" w14:textId="41A196B5" w:rsidR="00246D3B" w:rsidRPr="00246D3B" w:rsidRDefault="00246D3B" w:rsidP="00246D3B">
      <w:pPr>
        <w:pStyle w:val="Rubrik4utannumrering"/>
      </w:pPr>
      <w:r w:rsidRPr="00246D3B">
        <w:t>Stärkt lagstiftning mot hedersrelaterat våld och förtryck</w:t>
      </w:r>
    </w:p>
    <w:p w14:paraId="67F9E3B5" w14:textId="3E583251" w:rsidR="00246D3B" w:rsidRPr="00246D3B" w:rsidRDefault="00246D3B" w:rsidP="00246D3B">
      <w:pPr>
        <w:pStyle w:val="Brdtext"/>
      </w:pPr>
      <w:r w:rsidRPr="00246D3B">
        <w:t>Enligt en lagrådsremiss den 10 februari 2026 har regeringen (Justitie</w:t>
      </w:r>
      <w:r>
        <w:softHyphen/>
      </w:r>
      <w:r w:rsidRPr="00246D3B">
        <w:t xml:space="preserve">departementet) beslutat inhämta Lagrådets yttrande över förslag till </w:t>
      </w:r>
    </w:p>
    <w:p w14:paraId="78A18C2A" w14:textId="77777777" w:rsidR="00246D3B" w:rsidRPr="00246D3B" w:rsidRDefault="00246D3B" w:rsidP="00BF204E">
      <w:pPr>
        <w:pStyle w:val="Brdtext"/>
        <w:ind w:firstLine="170"/>
      </w:pPr>
      <w:r w:rsidRPr="00246D3B">
        <w:t>1. lag om ändring i rättegångsbalken,</w:t>
      </w:r>
    </w:p>
    <w:p w14:paraId="688B194C" w14:textId="77777777" w:rsidR="00246D3B" w:rsidRPr="00246D3B" w:rsidRDefault="00246D3B" w:rsidP="00BF204E">
      <w:pPr>
        <w:pStyle w:val="Brdtext"/>
        <w:ind w:firstLine="170"/>
      </w:pPr>
      <w:r w:rsidRPr="00246D3B">
        <w:t>2. lag om ändring i brottsbalken,</w:t>
      </w:r>
    </w:p>
    <w:p w14:paraId="3B566422" w14:textId="77777777" w:rsidR="00246D3B" w:rsidRPr="00246D3B" w:rsidRDefault="00246D3B" w:rsidP="00BF204E">
      <w:pPr>
        <w:pStyle w:val="Brdtext"/>
        <w:ind w:firstLine="170"/>
      </w:pPr>
      <w:r w:rsidRPr="00246D3B">
        <w:t>3. lag om ändring i äktenskapsbalken,</w:t>
      </w:r>
    </w:p>
    <w:p w14:paraId="7C4C38ED" w14:textId="3284B9AC" w:rsidR="00246D3B" w:rsidRPr="00246D3B" w:rsidRDefault="00246D3B" w:rsidP="00BF204E">
      <w:pPr>
        <w:pStyle w:val="Brdtext"/>
        <w:ind w:firstLine="170"/>
      </w:pPr>
      <w:r w:rsidRPr="00246D3B">
        <w:t>4.</w:t>
      </w:r>
      <w:r>
        <w:t> </w:t>
      </w:r>
      <w:r w:rsidRPr="00246D3B">
        <w:t>lag om ändring i lagen (1904:26 s. 1) om vissa internationella rättsför</w:t>
      </w:r>
      <w:r>
        <w:softHyphen/>
      </w:r>
      <w:r w:rsidRPr="00246D3B">
        <w:t>hållanden rörande äktenskap och förmynderskap.</w:t>
      </w:r>
    </w:p>
    <w:p w14:paraId="4EB0AFC3" w14:textId="77777777" w:rsidR="00246D3B" w:rsidRDefault="00246D3B" w:rsidP="00246D3B">
      <w:pPr>
        <w:pStyle w:val="Brdtext"/>
      </w:pPr>
    </w:p>
    <w:p w14:paraId="52699FC6" w14:textId="2260F770" w:rsidR="00246D3B" w:rsidRDefault="00246D3B" w:rsidP="00246D3B">
      <w:pPr>
        <w:pStyle w:val="Brdtext"/>
      </w:pPr>
      <w:r w:rsidRPr="00246D3B">
        <w:t xml:space="preserve">Förslagen har inför Lagrådet föredragits av kansliråden Hedwig Kagmark och Lina Lundgren. </w:t>
      </w:r>
    </w:p>
    <w:p w14:paraId="73CC711E" w14:textId="77777777" w:rsidR="00246D3B" w:rsidRPr="00246D3B" w:rsidRDefault="00246D3B" w:rsidP="00246D3B">
      <w:pPr>
        <w:pStyle w:val="Brdtextmedindrag"/>
      </w:pPr>
    </w:p>
    <w:p w14:paraId="39234E8A" w14:textId="77777777" w:rsidR="00246D3B" w:rsidRPr="00246D3B" w:rsidRDefault="00246D3B" w:rsidP="00246D3B">
      <w:pPr>
        <w:pStyle w:val="Brdtext"/>
      </w:pPr>
      <w:r w:rsidRPr="00246D3B">
        <w:t xml:space="preserve">Förslagen föranleder följande yttrande. </w:t>
      </w:r>
    </w:p>
    <w:p w14:paraId="184E4930" w14:textId="77777777" w:rsidR="00246D3B" w:rsidRDefault="00246D3B" w:rsidP="00246D3B">
      <w:pPr>
        <w:pStyle w:val="Brdtext"/>
        <w:rPr>
          <w:u w:val="single"/>
        </w:rPr>
      </w:pPr>
    </w:p>
    <w:p w14:paraId="1A88D548" w14:textId="65841CB5" w:rsidR="00246D3B" w:rsidRPr="00246D3B" w:rsidRDefault="00246D3B" w:rsidP="00246D3B">
      <w:pPr>
        <w:pStyle w:val="Brdtext"/>
        <w:rPr>
          <w:u w:val="single"/>
        </w:rPr>
      </w:pPr>
      <w:r w:rsidRPr="00246D3B">
        <w:rPr>
          <w:u w:val="single"/>
        </w:rPr>
        <w:t>Förslaget till lag om ändring i lagen (1904:26 s. 1) om vissa internationella rättsförhållanden rörande äktenskap och förmynderskap</w:t>
      </w:r>
    </w:p>
    <w:p w14:paraId="10ABFE37" w14:textId="77777777" w:rsidR="00246D3B" w:rsidRDefault="00246D3B" w:rsidP="00246D3B">
      <w:pPr>
        <w:pStyle w:val="Brdtext"/>
      </w:pPr>
    </w:p>
    <w:p w14:paraId="0E6AFA22" w14:textId="07EC5600" w:rsidR="00246D3B" w:rsidRPr="00246D3B" w:rsidRDefault="00246D3B" w:rsidP="00246D3B">
      <w:pPr>
        <w:pStyle w:val="Brdtext"/>
      </w:pPr>
      <w:r w:rsidRPr="00246D3B">
        <w:t>1 kap. 8 a §</w:t>
      </w:r>
    </w:p>
    <w:p w14:paraId="3146F91A" w14:textId="77777777" w:rsidR="00246D3B" w:rsidRDefault="00246D3B" w:rsidP="00246D3B">
      <w:pPr>
        <w:pStyle w:val="Brdtext"/>
      </w:pPr>
    </w:p>
    <w:p w14:paraId="390AAF10" w14:textId="00E37688" w:rsidR="00246D3B" w:rsidRPr="00246D3B" w:rsidRDefault="00246D3B" w:rsidP="00246D3B">
      <w:pPr>
        <w:pStyle w:val="Brdtext"/>
      </w:pPr>
      <w:r w:rsidRPr="00246D3B">
        <w:t>I första stycket anges när ett äktenskap som har ingåtts enligt utländsk lag inte erkänns i Sverige. Den föreslagna ändringen gäller det andra stycket, som innehåller det s.k. ventilundantaget och nu har följande lydelse.</w:t>
      </w:r>
    </w:p>
    <w:p w14:paraId="69EAC1F1" w14:textId="77777777" w:rsidR="00246D3B" w:rsidRPr="00246D3B" w:rsidRDefault="00246D3B" w:rsidP="00246D3B">
      <w:pPr>
        <w:pStyle w:val="Citat"/>
      </w:pPr>
      <w:r w:rsidRPr="00246D3B">
        <w:t>Första stycket gäller inte om båda parterna är över 18 år och det finns synnerliga skäl att erkänna äktenskapet.</w:t>
      </w:r>
    </w:p>
    <w:p w14:paraId="6E1F1F2D" w14:textId="77777777" w:rsidR="00246D3B" w:rsidRPr="00246D3B" w:rsidRDefault="00246D3B" w:rsidP="00246D3B">
      <w:pPr>
        <w:pStyle w:val="Brdtext"/>
      </w:pPr>
      <w:r w:rsidRPr="00246D3B">
        <w:t xml:space="preserve">Det remitterade förslaget lyder: </w:t>
      </w:r>
    </w:p>
    <w:p w14:paraId="3AFBFF61" w14:textId="77777777" w:rsidR="00246D3B" w:rsidRPr="00246D3B" w:rsidRDefault="00246D3B" w:rsidP="00246D3B">
      <w:pPr>
        <w:pStyle w:val="Citat"/>
      </w:pPr>
      <w:r w:rsidRPr="00246D3B">
        <w:t>Trots första stycket har äktenskapet i ett enskilt fall rättsverkan om det finns synnerliga skäl för det och båda parterna är över 18 år.</w:t>
      </w:r>
    </w:p>
    <w:p w14:paraId="7080F3CB" w14:textId="77777777" w:rsidR="00246D3B" w:rsidRPr="00246D3B" w:rsidRDefault="00246D3B" w:rsidP="00246D3B">
      <w:pPr>
        <w:pStyle w:val="Brdtext"/>
      </w:pPr>
      <w:r w:rsidRPr="00246D3B">
        <w:t xml:space="preserve">Enligt förslaget förskjuts undantagsregelns rättsföljd från att äktenskapet erkänns till att äktenskapet utan att erkännas medför viss rättsverkan. Den föreslagna lydelsen innebär således rent lagtekniskt att en viss rättsverkan som annars hade förutsatt ett erkänt äktenskap kan åstadkommas utan att äktenskapet behöver erkännas. </w:t>
      </w:r>
    </w:p>
    <w:p w14:paraId="1E159E7F" w14:textId="7F83D9E9" w:rsidR="00246D3B" w:rsidRPr="00246D3B" w:rsidRDefault="00246D3B" w:rsidP="00246D3B">
      <w:pPr>
        <w:pStyle w:val="Brdtextmedindrag"/>
      </w:pPr>
      <w:r w:rsidRPr="00246D3B">
        <w:t xml:space="preserve">Den föreslagna undantagsregeln är dock varken något alternativ till eller oförenlig med den nuvarande. Skälet till att den gällande möjligheten till ett erkännande av sådana äktenskap som avses i första stycket föreslås borttagen är enligt vad som framgår av avsnitt 7.3 i övervägandena att markera ett avståndstagande till de oacceptabla äktenskapsformer som anges i första stycket. Det har också under föredragningen upplysts att något för alla myndigheter bindande domstolsavgörande avseende ett </w:t>
      </w:r>
      <w:r w:rsidRPr="00246D3B">
        <w:lastRenderedPageBreak/>
        <w:t>erkännande inte förekommit efter vad som är känt. I stället har myndig</w:t>
      </w:r>
      <w:r>
        <w:softHyphen/>
      </w:r>
      <w:r w:rsidRPr="00246D3B">
        <w:t>heterna, var och en beträffande den fråga som det ankommer på den enskilda myndigheten att avgöra, gjort sina bedömningar. Det kan då inträffa att skilda myndigheter beträffande samma äktenskap gör olika bedömningar av om undantagsregeln är tillämplig.</w:t>
      </w:r>
    </w:p>
    <w:p w14:paraId="3E6E2968" w14:textId="0D6FDDE4" w:rsidR="00246D3B" w:rsidRPr="00246D3B" w:rsidRDefault="00246D3B" w:rsidP="00246D3B">
      <w:pPr>
        <w:pStyle w:val="Brdtextmedindrag"/>
      </w:pPr>
      <w:r w:rsidRPr="00246D3B">
        <w:t>Ett absolut förbud mot att erkänna sådana utländska äktenskap som avses i första stycket innebär att de berörda parterna är förhindrade att bli erkända som gifta enligt det utländska äktenskapet. Det kan säkerligen i det enskilda fallet upplevas som både långtgående och kränkande för de berörda. I avsnitt 7.3 i övervägandena görs likväl bedömningen att Sveriges internationella åtaganden inte hindrar ett sådant förbud. Analysen är dock inte övertygande. Som exempel på att artikel 8 i Europakonven</w:t>
      </w:r>
      <w:r>
        <w:softHyphen/>
      </w:r>
      <w:r w:rsidRPr="00246D3B">
        <w:t xml:space="preserve">tionen inte innebär någon generell skyldighet för en konventionsstat att erkänna utländska äktenskap som strider mot statens egen lagstiftning nämns att Europadomstolen har uttalat att artikeln inte kan tolkas så att den ålägger en skyldighet att erkänna ett äktenskap som ingåtts av en </w:t>
      </w:r>
      <w:r>
        <w:br/>
      </w:r>
      <w:r w:rsidRPr="00246D3B">
        <w:t>14-åring (Z.H och R.H mot Schweiz, nr. 60119/12, den 8 december 2015). Men det säger inget om hur domstolen skulle se på det fallet att ett utländskt äktenskap mellan två då knappt 18-åriga parter många år senare mot deras vilja inte erkänns i Sverige. Lagrådet anser det uppenbart att ett absolut upprätthållande av förbudet i första stycket i ett sådant och vissa andra fall kan, beroende på omständigheterna, stå i strid mot främst artikel</w:t>
      </w:r>
      <w:r>
        <w:t> </w:t>
      </w:r>
      <w:r w:rsidRPr="00246D3B">
        <w:t xml:space="preserve">8 i Europakonventionen. </w:t>
      </w:r>
    </w:p>
    <w:p w14:paraId="23374842" w14:textId="592A41F6" w:rsidR="00246D3B" w:rsidRPr="00246D3B" w:rsidRDefault="00246D3B" w:rsidP="00246D3B">
      <w:pPr>
        <w:pStyle w:val="Brdtextmedindrag"/>
      </w:pPr>
      <w:r w:rsidRPr="00246D3B">
        <w:t>Att förbudet i första stycket ska upprätthållas så långt som Europakon</w:t>
      </w:r>
      <w:r>
        <w:softHyphen/>
      </w:r>
      <w:r w:rsidRPr="00246D3B">
        <w:t>ventionen och andra internationella åtaganden tillåter är ett politiskt ställningstagande som Lagrådet inte har några synpunkter på. Men ett förbud vars efterlevnad i det enskilda fallet kan stå i strid mot Europakon</w:t>
      </w:r>
      <w:r>
        <w:softHyphen/>
      </w:r>
      <w:r w:rsidRPr="00246D3B">
        <w:t xml:space="preserve">ventionen är mindre förenligt med 2 kap. 19 § regeringsformen, även om det skulle röra sig om sällsynta undantagsfall. </w:t>
      </w:r>
    </w:p>
    <w:p w14:paraId="1ADBDEC6" w14:textId="77777777" w:rsidR="00246D3B" w:rsidRPr="00246D3B" w:rsidRDefault="00246D3B" w:rsidP="00246D3B">
      <w:pPr>
        <w:pStyle w:val="Brdtextmedindrag"/>
      </w:pPr>
      <w:r w:rsidRPr="00246D3B">
        <w:t>Mot den angivna bakgrunden förordar Lagrådet att det nuvarande ventilundantaget behålls men begränsas enligt följande (som blir ett nytt andra stycke).</w:t>
      </w:r>
    </w:p>
    <w:p w14:paraId="7FFE20C0" w14:textId="77777777" w:rsidR="00246D3B" w:rsidRPr="00246D3B" w:rsidRDefault="00246D3B" w:rsidP="00246D3B">
      <w:pPr>
        <w:pStyle w:val="Citat"/>
      </w:pPr>
      <w:r w:rsidRPr="00246D3B">
        <w:t xml:space="preserve">Första stycket gäller inte om annat följer av Sveriges internationella åtaganden. </w:t>
      </w:r>
    </w:p>
    <w:p w14:paraId="533B6940" w14:textId="77777777" w:rsidR="00246D3B" w:rsidRPr="00246D3B" w:rsidRDefault="00246D3B" w:rsidP="00246D3B">
      <w:pPr>
        <w:pStyle w:val="Brdtext"/>
      </w:pPr>
      <w:r w:rsidRPr="00246D3B">
        <w:t>När det så gäller den föreslagna undantagsregeln har Lagrådet till att börja med vissa redaktionella synpunkter.</w:t>
      </w:r>
    </w:p>
    <w:p w14:paraId="29418DB3" w14:textId="77777777" w:rsidR="00246D3B" w:rsidRPr="00246D3B" w:rsidRDefault="00246D3B" w:rsidP="00246D3B">
      <w:pPr>
        <w:pStyle w:val="Brdtextmedindrag"/>
      </w:pPr>
      <w:r w:rsidRPr="00246D3B">
        <w:t xml:space="preserve">Den nuvarande regeln i andra stycket är ett undantag från första stycket. Det är därför naturligt att relatera till det stycket. Med den föreslagna bestämmelsen förhåller det sig annorlunda. Dess utgångspunkt är att det utländska äktenskapet inte bara är icke-erkänt utan också ska fortsätta att vara det. Bestämmelsen bör därför formuleras efter den utgångspunkten. Inte heller är orden ”i ett enskilt fall” särskilt träffande. De kan ge intryck av att ett utländskt äktenskap trots det första stycket ska erkännas i det enskilda fallet, vilket som nämnts inte är avsikten. Vad som avses är att ett äktenskap som inte är erkänt trots det kan få rättsverkan i ett visst hänseende. </w:t>
      </w:r>
    </w:p>
    <w:p w14:paraId="52E5D083" w14:textId="75C2BD62" w:rsidR="00246D3B" w:rsidRPr="00246D3B" w:rsidRDefault="00246D3B" w:rsidP="00246D3B">
      <w:pPr>
        <w:pStyle w:val="Brdtextmedindrag"/>
      </w:pPr>
      <w:r w:rsidRPr="00246D3B">
        <w:t xml:space="preserve">Den föreslagna formuleringen rymmer vidare en viss oklarhet som inte reds ut i författningskommentaren, nämligen hur tillämpningen är tänkt. Man skulle kunna tänka sig att bestämmelsen ska tillämpas så, att när det </w:t>
      </w:r>
      <w:r w:rsidRPr="00246D3B">
        <w:lastRenderedPageBreak/>
        <w:t>gäller en rättsföljd av en viss rättsregel där äktenskap är ett rekvisit, så ska det icke erkända äktenskapet i just det fallet anses som erkänt om skälen för rättsföljden väger tillräckligt tungt (man kan också uttrycka det så, att tillämpningen ska ske som om äktenskapet var erkänt fastän det inte är det). Men undantagsbestämmelsen kan också förstås på det sättet, att den inte (eller inte bara) tar sikte på tillämpningen av andra rättsregler utan helt enkelt ger tillämparen ett visst mandat att lägga det icke erkända äkten</w:t>
      </w:r>
      <w:r>
        <w:softHyphen/>
      </w:r>
      <w:r w:rsidRPr="00246D3B">
        <w:t>skapet till grund för viss rättsverkan (exempelvis skulle en domstol efter separation inte bara få besluta om att bodelning ska ske utan också kunna avgöra frågor om själva bodelningen efter vad omständigheterna föran</w:t>
      </w:r>
      <w:r>
        <w:softHyphen/>
      </w:r>
      <w:r w:rsidRPr="00246D3B">
        <w:t>leder). Vad som upplysts vid föredragningen ger närmast vid handen att någon särskild begränsning inte är tänkt i angivna hänseenden. Båda slagen av tillämpning bör således kunna komma i fråga.</w:t>
      </w:r>
    </w:p>
    <w:p w14:paraId="557D0C2D" w14:textId="77777777" w:rsidR="00246D3B" w:rsidRPr="00246D3B" w:rsidRDefault="00246D3B" w:rsidP="00246D3B">
      <w:pPr>
        <w:pStyle w:val="Brdtextmedindrag"/>
      </w:pPr>
      <w:r w:rsidRPr="00246D3B">
        <w:t>Mot den angivna bakgrunden föreslår Lagrådet att regeln upptas i ett nytt tredje stycke som, om den bibehålls utan någon ändring i sak, skulle kunna formuleras enligt följande.</w:t>
      </w:r>
    </w:p>
    <w:p w14:paraId="39490B57" w14:textId="77777777" w:rsidR="00246D3B" w:rsidRPr="00246D3B" w:rsidRDefault="00246D3B" w:rsidP="00246D3B">
      <w:pPr>
        <w:pStyle w:val="Citat"/>
      </w:pPr>
      <w:r w:rsidRPr="00246D3B">
        <w:t>Ett äktenskap enligt första stycket får trots att det inte erkänns läggas till grund för viss rättsverkan, om det finns synnerliga skäl för det och båda parterna är över 18 år.</w:t>
      </w:r>
    </w:p>
    <w:p w14:paraId="4244DF26" w14:textId="77777777" w:rsidR="00246D3B" w:rsidRPr="00246D3B" w:rsidRDefault="00246D3B" w:rsidP="00246D3B">
      <w:pPr>
        <w:pStyle w:val="Brdtext"/>
      </w:pPr>
      <w:r w:rsidRPr="00246D3B">
        <w:t>Lagrådet har dock även synpunkter på tillämpningsförutsättningarna för den remitterade regeln. Dessa har tagits över från det nuvarande andra stycket. Emellertid har det därvid enligt Lagrådets mening inte fästs tillräckligt avseende vid att föremålet för tillämpningsförutsättningarna skiljer sig åt mellan det nuvarande andra stycket och det remitterade. Enligt den nu gällande regeln gäller prövningen huruvida det utländska äktenskapet ska erkännas. Enligt den remitterade regeln gäller prövningen däremot endast om en viss begränsad rättsverkan bör godtas. Det är alltså en avgörande skillnad i fråga om prövningsföremål.</w:t>
      </w:r>
    </w:p>
    <w:p w14:paraId="673186C6" w14:textId="17801990" w:rsidR="00246D3B" w:rsidRPr="00246D3B" w:rsidRDefault="00246D3B" w:rsidP="00AB75D8">
      <w:pPr>
        <w:pStyle w:val="Brdtextmedindrag"/>
      </w:pPr>
      <w:r w:rsidRPr="00246D3B">
        <w:t>Kravet på synnerliga skäl enligt det nuvarande andra stycket förklaras av samma skäl som nu ligger till grund för förslaget om ett absolut erkännandeförbud; avståndstagandet till de icke godtagbara äktenskaps</w:t>
      </w:r>
      <w:r w:rsidR="00AB75D8">
        <w:softHyphen/>
      </w:r>
      <w:r w:rsidRPr="00246D3B">
        <w:t>formerna ska vara distinkt och bestämt. Men som påpekas i vissa remiss</w:t>
      </w:r>
      <w:r w:rsidR="00AB75D8">
        <w:softHyphen/>
      </w:r>
      <w:r w:rsidRPr="00246D3B">
        <w:t>yttranden gör sig den synpunkten inte gällande när fråga är om en sådan begränsad rättsverkan som kan följa av den remitterade regeln. Argumen</w:t>
      </w:r>
      <w:r w:rsidR="00AB75D8">
        <w:softHyphen/>
      </w:r>
      <w:r w:rsidRPr="00246D3B">
        <w:t>tet i avsnitt 7.3 i övervägandena om att en restriktiv tillämpning skulle bidra till att värna skyddet mot sålunda icke godtagbara äktenskapsformer framstår således som konstruerat. Lagrådet kan inte se någon risk för att sådana äktenskapsformer skulle bli vanligare eller få allvarligare samhäl</w:t>
      </w:r>
      <w:r w:rsidR="00AB75D8">
        <w:softHyphen/>
      </w:r>
      <w:r w:rsidRPr="00246D3B">
        <w:t xml:space="preserve">leliga konsekvenser bara för att den enskildes befogade skyddsbehov med anledning av ett icke erkänt äktenskap beaktades. Inte heller framträder den rättspolitiska markeringen tydligare av att rättsordningen är restriktiv med att komma en sådan drabbad part till undsättning. </w:t>
      </w:r>
    </w:p>
    <w:p w14:paraId="720C4F31" w14:textId="77777777" w:rsidR="00246D3B" w:rsidRPr="00246D3B" w:rsidRDefault="00246D3B" w:rsidP="00AB75D8">
      <w:pPr>
        <w:pStyle w:val="Brdtextmedindrag"/>
      </w:pPr>
      <w:r w:rsidRPr="00246D3B">
        <w:t xml:space="preserve">Vid ett tillämpningskrav så högt som synnerliga skäl får den enskildes skyddsbehov enligt Lagrådets mening helt enkelt inte tillräckligt beaktande. Ett så högt krav som synnerliga skäl framstår heller inte som förenligt med kravet på proportionalitet enligt Europakonventionen och unionsrätten. Vid en avvägning enligt proportionalitetsprincipen läggs, enligt den syn som redovisas i lagrådsremissen, i den ena vågskålen främst en rättspolitisk markering. Men markeringen har inte några verkningar i </w:t>
      </w:r>
      <w:r w:rsidRPr="00246D3B">
        <w:lastRenderedPageBreak/>
        <w:t xml:space="preserve">det enskilda fallet (äktenskapet är ju redan ingånget) och kan som påtalats i det föregående inte antas ha allmänpreventiva effekter. Markeringen väger därför beträffande undantagsregeln mycket lätt; dess tyngd visar sig i stället i det ”absoluta” erkännandeförbudet (att det inte är helt absolut har här mindre betydelse). Vad som däremot har en viss vikt för frågan om undantag för viss rättsverkan är intresset av att ett äktenskap enligt första stycket inte blir föremål för ett slags halvgånget de facto-erkännande genom att det beträffande olika konkreta frågor alltför lättvindigt får rättsverkningar som erkänt. Vad som mot det ska läggas i den andra vågskålen är den enskildes skyddsintresse. Det måste naturligtvis ha en viss tyngd, men att kräva så mycket som synnerliga skäl låter sig inte förenas med kravet på proportionalitet. Lagrådet håller före att det väger över om det skulle leda till oskäliga följder för den enskilde att den rättsverkan som det är fråga om inte medges. </w:t>
      </w:r>
    </w:p>
    <w:p w14:paraId="5D46EEE7" w14:textId="77777777" w:rsidR="00246D3B" w:rsidRPr="00246D3B" w:rsidRDefault="00246D3B" w:rsidP="00AB75D8">
      <w:pPr>
        <w:pStyle w:val="Brdtextmedindrag"/>
      </w:pPr>
      <w:r w:rsidRPr="00246D3B">
        <w:t>Vidare är att beakta att bedömningen inte behöver begränsa sig till hur man bör se på den aktuella bestämmelsen. Beträffande det ovannämnda fallet att det rör sig om en rättsföljd av en viss rättsregel där äktenskap är ett rekvisit (dvs. en regel av typen: om och endast om äktenskap, så rättsföljden X), så måste ändamålet med den rättsregeln och dess rättsföljd (dvs. X) också beaktas. I det sammanhanget kan även tänkas att ett samhälleligt intresse gör sig gällande av att regeln ska tillämpas (dvs. att X ska inträda). Ett generellt krav på synnerliga skäl kan stämma illa med det. Tillämpningsförutsättningarna bör därför vidgas så att även sådana aspekter kan beaktas.</w:t>
      </w:r>
    </w:p>
    <w:p w14:paraId="05480789" w14:textId="77777777" w:rsidR="00246D3B" w:rsidRPr="00246D3B" w:rsidRDefault="00246D3B" w:rsidP="00AB75D8">
      <w:pPr>
        <w:pStyle w:val="Brdtextmedindrag"/>
      </w:pPr>
      <w:r w:rsidRPr="00246D3B">
        <w:t>Mot att frångå kravet på synnerliga skäl har vid föredragningen anförts att förslaget inte innebär någon ändring i förhållande till hur det i praktiken går till idag. Vid ställningstagandet till den fråga som det ankommer på den enskilda myndigheten att avgöra prövas om det finns synnerliga skäl enligt det nuvarande andra stycket, och det ställningstagandet blir avgörande för myndighetens beslut i den enskilda frågan. På motsvarande sätt skulle synnerliga skäl bli avgörande enligt det remitterade andra stycket.</w:t>
      </w:r>
    </w:p>
    <w:p w14:paraId="3755D0A9" w14:textId="4D6BC387" w:rsidR="00246D3B" w:rsidRPr="00246D3B" w:rsidRDefault="00246D3B" w:rsidP="00AB75D8">
      <w:pPr>
        <w:pStyle w:val="Brdtextmedindrag"/>
      </w:pPr>
      <w:r w:rsidRPr="00246D3B">
        <w:t>Det nyss anförda kan svårligen förstås på något annat sätt än att myndig</w:t>
      </w:r>
      <w:r w:rsidR="00AB75D8">
        <w:softHyphen/>
      </w:r>
      <w:r w:rsidRPr="00246D3B">
        <w:t>heterna regelmässigt gör en från det andra stycket fristående bedömning av om det finns tillräckliga skäl för ett beslut om en viss rättsverkan som annars skulle förutsätta att äktenskapet var erkänt, varefter beslutet motiveras i termer av att det finns eller inte finns synnerliga skäl för att erkänna äktenskapet. Detta trots att ett sådant erkännande är något annat och mycket mer än en sådan begränsad rättsverkan som ärendet i själva verket gäller och som prövningen enligt det remitterade förslaget ska avse. Om det nu förhåller sig på det angivna sättet, så förklarar det att olika myndigheter avseende ett och samma äktenskap kan göra skilda bedöm</w:t>
      </w:r>
      <w:r w:rsidR="00AB75D8">
        <w:softHyphen/>
      </w:r>
      <w:r w:rsidRPr="00246D3B">
        <w:t>ningar av huruvida tillämpningsförutsättningarna för det nuvarande andra stycket är uppfyllda. Det är också ett starkt skäl för att tydliggöra att efter den förestående lagändringen är det endast frågan om det finns tillräckliga skäl för en viss begränsad rättsverkan som ska prövas. Den prövningen är då av ett annat slag än den som föreskrivs i det nuvarande andra stycket. Ett sätt att tydliggöra detta är att inte föra över synnerliga skäl som tillämp</w:t>
      </w:r>
      <w:r w:rsidR="00AB75D8">
        <w:softHyphen/>
      </w:r>
      <w:r w:rsidRPr="00246D3B">
        <w:t>ningsförutsättning till den föreslagna undantagsregeln.</w:t>
      </w:r>
    </w:p>
    <w:p w14:paraId="7232BE94" w14:textId="08B87DBF" w:rsidR="00246D3B" w:rsidRPr="00246D3B" w:rsidRDefault="00246D3B" w:rsidP="00AB75D8">
      <w:pPr>
        <w:pStyle w:val="Brdtextmedindrag"/>
      </w:pPr>
      <w:r w:rsidRPr="00246D3B">
        <w:t xml:space="preserve">Även kravet på att båda parterna ska vara över 18 år kan sättas i fråga. Det kravet är naturligt enligt den nuvarande undantagsbestämmelsen, men </w:t>
      </w:r>
      <w:r w:rsidRPr="00246D3B">
        <w:lastRenderedPageBreak/>
        <w:t>inte enligt den föreslagna. Visserligen är det så att när någon av parterna är under 18 år talar det med särskild styrka för att äktenskapet inte ska erkännas. Men på den andra sidan kan en part som är under 18 år till följd av ett icke erkänt utländskt äktenskap ha ett särskilt behov av rättsord</w:t>
      </w:r>
      <w:r w:rsidR="00AB75D8">
        <w:softHyphen/>
      </w:r>
      <w:r w:rsidRPr="00246D3B">
        <w:t>ningens omsorg också när det gäller de rättsverkningar som bör följa på detta. Vilken betydelse som ska tillmätas underårighet beror således på den rättsverkan som frågan gäller, och bedömningen bör därför göras på grundval av omständigheterna i det enskilda fallet.</w:t>
      </w:r>
    </w:p>
    <w:p w14:paraId="1FC63625" w14:textId="531862EB" w:rsidR="00246D3B" w:rsidRPr="00246D3B" w:rsidRDefault="00246D3B" w:rsidP="00AB75D8">
      <w:pPr>
        <w:pStyle w:val="Brdtextmedindrag"/>
      </w:pPr>
      <w:r w:rsidRPr="00246D3B">
        <w:t>På nu anförda skäl föreslår Lagrådet sammanfattningsvis att lagråds</w:t>
      </w:r>
      <w:r w:rsidR="00AB75D8">
        <w:softHyphen/>
      </w:r>
      <w:r w:rsidRPr="00246D3B">
        <w:t>remissens föreslagna andra stycke utgår och ersätts av två stycken av följande lydelse.</w:t>
      </w:r>
    </w:p>
    <w:p w14:paraId="1217DF05" w14:textId="2ECD7A65" w:rsidR="00246D3B" w:rsidRPr="00246D3B" w:rsidRDefault="00AB75D8" w:rsidP="00AB75D8">
      <w:pPr>
        <w:pStyle w:val="Citat"/>
        <w:spacing w:after="0"/>
      </w:pPr>
      <w:r>
        <w:t>   </w:t>
      </w:r>
      <w:r w:rsidR="00246D3B" w:rsidRPr="00246D3B">
        <w:t>Första stycket gäller inte om annat följer av Sveriges internationella åtaganden.</w:t>
      </w:r>
    </w:p>
    <w:p w14:paraId="38D3716C" w14:textId="3BF32016" w:rsidR="00246D3B" w:rsidRPr="00246D3B" w:rsidRDefault="00AB75D8" w:rsidP="00AB75D8">
      <w:pPr>
        <w:pStyle w:val="Citat"/>
        <w:spacing w:before="0"/>
      </w:pPr>
      <w:r>
        <w:t>   </w:t>
      </w:r>
      <w:r w:rsidR="00246D3B" w:rsidRPr="00246D3B">
        <w:t>Ett äktenskap enligt första stycket får trots att det inte erkänns läggas till grund för viss rättsverkan, om det är nödvändigt för att undvika följder som är oskäliga för den enskilde eller olämpliga från allmän synpunkt.</w:t>
      </w:r>
    </w:p>
    <w:p w14:paraId="22B31554" w14:textId="77777777" w:rsidR="00246D3B" w:rsidRDefault="00246D3B" w:rsidP="00246D3B">
      <w:pPr>
        <w:pStyle w:val="Brdtext"/>
      </w:pPr>
      <w:r w:rsidRPr="00246D3B">
        <w:t>När det gäller vad som är oskäliga följder för den enskilde ska naturligtvis som alltid i fråga om bestämmelser som efter skälighet reglerar rättigheter och skyldigheter mellan enskilda göras en allsidig bedömning. Men Lagrådet finner anledning att understryka att i centrum bör stå det behov av rättsskydd som en utsatt och underlägsen part kan ha.</w:t>
      </w:r>
    </w:p>
    <w:p w14:paraId="6797E23B" w14:textId="77777777" w:rsidR="00AB75D8" w:rsidRPr="00246D3B" w:rsidRDefault="00AB75D8" w:rsidP="00AB75D8">
      <w:pPr>
        <w:pStyle w:val="Brdtextmedindrag"/>
      </w:pPr>
    </w:p>
    <w:p w14:paraId="4B45E9DE" w14:textId="77777777" w:rsidR="00246D3B" w:rsidRPr="00246D3B" w:rsidRDefault="00246D3B" w:rsidP="00246D3B">
      <w:pPr>
        <w:pStyle w:val="Brdtext"/>
        <w:rPr>
          <w:u w:val="single"/>
        </w:rPr>
      </w:pPr>
      <w:r w:rsidRPr="00246D3B">
        <w:rPr>
          <w:u w:val="single"/>
        </w:rPr>
        <w:t>Övriga lagförslag</w:t>
      </w:r>
    </w:p>
    <w:p w14:paraId="30E83216" w14:textId="77777777" w:rsidR="00AB75D8" w:rsidRDefault="00AB75D8" w:rsidP="00246D3B">
      <w:pPr>
        <w:pStyle w:val="Brdtext"/>
      </w:pPr>
    </w:p>
    <w:p w14:paraId="5429C5E2" w14:textId="631B7F1C" w:rsidR="00246D3B" w:rsidRPr="00246D3B" w:rsidRDefault="00246D3B" w:rsidP="00246D3B">
      <w:pPr>
        <w:pStyle w:val="Brdtext"/>
      </w:pPr>
      <w:r w:rsidRPr="00246D3B">
        <w:t>Lagrådet lämnar förslagen utan erinran.</w:t>
      </w:r>
    </w:p>
    <w:p w14:paraId="64C9FD57" w14:textId="77777777" w:rsidR="00A050BF" w:rsidRDefault="00A050BF" w:rsidP="00246D3B">
      <w:pPr>
        <w:pStyle w:val="Brdtext"/>
      </w:pPr>
    </w:p>
    <w:p w14:paraId="3408EF23" w14:textId="77777777" w:rsidR="00A050BF" w:rsidRDefault="00A050BF" w:rsidP="001367FC">
      <w:pPr>
        <w:pStyle w:val="Brdtextmedindrag"/>
      </w:pPr>
    </w:p>
    <w:p w14:paraId="331E6F78" w14:textId="77777777" w:rsidR="00A050BF" w:rsidRPr="00EE3346" w:rsidRDefault="00A050BF" w:rsidP="00EE3346">
      <w:pPr>
        <w:pStyle w:val="Brdtextmedindrag"/>
        <w:sectPr w:rsidR="00A050BF" w:rsidRPr="00EE3346" w:rsidSect="00EE3346">
          <w:headerReference w:type="even" r:id="rId90"/>
          <w:headerReference w:type="default" r:id="rId91"/>
          <w:footerReference w:type="even" r:id="rId92"/>
          <w:footerReference w:type="default" r:id="rId93"/>
          <w:headerReference w:type="first" r:id="rId94"/>
          <w:footerReference w:type="first" r:id="rId95"/>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BDA2EF1" w14:textId="11242AA5" w:rsidR="00A050BF" w:rsidRDefault="006973D1" w:rsidP="006973D1">
          <w:pPr>
            <w:pStyle w:val="Proprubrik"/>
            <w:spacing w:after="190"/>
          </w:pPr>
          <w:r>
            <w:t>Justitiedepartementet</w:t>
          </w:r>
        </w:p>
      </w:sdtContent>
    </w:sdt>
    <w:p w14:paraId="0C47AE71" w14:textId="4BF852DA" w:rsidR="00A050BF" w:rsidRDefault="00A050BF" w:rsidP="00F85486">
      <w:pPr>
        <w:pStyle w:val="Proputdrag"/>
      </w:pPr>
      <w:bookmarkStart w:id="177" w:name="_Toc224807628"/>
      <w:r>
        <w:t xml:space="preserve">Utdrag ur protokoll vid regeringssammanträde </w:t>
      </w:r>
      <w:sdt>
        <w:sdtPr>
          <w:alias w:val="Datum"/>
          <w:tag w:val="Datum"/>
          <w:id w:val="679708000"/>
          <w:date w:fullDate="2026-03-19T00:00:00Z">
            <w:dateFormat w:val="'den' d MMMM yyyy"/>
            <w:lid w:val="sv-SE"/>
            <w:storeMappedDataAs w:val="dateTime"/>
            <w:calendar w:val="gregorian"/>
          </w:date>
        </w:sdtPr>
        <w:sdtEndPr/>
        <w:sdtContent>
          <w:r w:rsidR="00246D3B">
            <w:t>den 19 mars 2026</w:t>
          </w:r>
        </w:sdtContent>
      </w:sdt>
      <w:bookmarkEnd w:id="177"/>
    </w:p>
    <w:p w14:paraId="34FBE531" w14:textId="77777777" w:rsidR="00A050BF" w:rsidRDefault="00A050BF" w:rsidP="00F85486">
      <w:pPr>
        <w:pStyle w:val="Brdtext"/>
        <w:jc w:val="left"/>
      </w:pPr>
    </w:p>
    <w:p w14:paraId="3E944EDC" w14:textId="74CC0CC5" w:rsidR="00A050BF" w:rsidRDefault="00A050BF"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072863">
            <w:t>statsrådet Busch, ordförande, och statsråden Svantesson, Jonson, Strömmer, Forssmed, Tenje, Forssell, Wykman, Kullgren, Liljestrand, Bohlin, Carlson, Dousa, Larsson, Mohamsson, Lann</w:t>
          </w:r>
        </w:sdtContent>
      </w:sdt>
    </w:p>
    <w:p w14:paraId="5AA22164" w14:textId="77777777" w:rsidR="00A050BF" w:rsidRDefault="00A050BF" w:rsidP="00F85486">
      <w:pPr>
        <w:pStyle w:val="Brdtext"/>
        <w:jc w:val="left"/>
      </w:pPr>
    </w:p>
    <w:p w14:paraId="18E7E082" w14:textId="67330376" w:rsidR="00A050BF" w:rsidRDefault="00A050BF"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129C9347" w14:textId="77777777" w:rsidR="00A050BF" w:rsidRPr="00827386" w:rsidRDefault="00A050BF" w:rsidP="00F85486">
      <w:pPr>
        <w:pStyle w:val="Brdtext"/>
        <w:jc w:val="left"/>
        <w:rPr>
          <w:szCs w:val="21"/>
        </w:rPr>
      </w:pPr>
    </w:p>
    <w:p w14:paraId="1BCAB92D" w14:textId="77777777" w:rsidR="00A050BF" w:rsidRPr="00915BF3" w:rsidRDefault="00A050BF" w:rsidP="00F85486">
      <w:pPr>
        <w:pStyle w:val="Slutstreck"/>
      </w:pPr>
      <w:r w:rsidRPr="008B7E85">
        <w:t>                    </w:t>
      </w:r>
    </w:p>
    <w:p w14:paraId="4B2EB788" w14:textId="77777777" w:rsidR="00A050BF" w:rsidRPr="006E102E" w:rsidRDefault="00A050BF" w:rsidP="00F85486">
      <w:pPr>
        <w:pStyle w:val="Brdtext"/>
        <w:jc w:val="left"/>
        <w:rPr>
          <w:sz w:val="18"/>
          <w:szCs w:val="18"/>
        </w:rPr>
      </w:pPr>
    </w:p>
    <w:p w14:paraId="5A43C17C" w14:textId="77777777" w:rsidR="00A050BF" w:rsidRDefault="00A050BF" w:rsidP="00F85486">
      <w:pPr>
        <w:pStyle w:val="Brdtext"/>
        <w:jc w:val="left"/>
      </w:pPr>
    </w:p>
    <w:p w14:paraId="74628D28" w14:textId="5E152385" w:rsidR="00A050BF" w:rsidRDefault="00A050BF" w:rsidP="00F85486">
      <w:pPr>
        <w:pStyle w:val="Brdtext"/>
        <w:jc w:val="left"/>
      </w:pPr>
      <w:r>
        <w:t>Regeringen beslutar proposition</w:t>
      </w:r>
      <w:r w:rsidR="000C2243">
        <w:t xml:space="preserve"> 2025/26:213</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973D1">
            <w:t>Stärkt lagstiftning mot hedersrelaterat våld och förtryck</w:t>
          </w:r>
        </w:sdtContent>
      </w:sdt>
    </w:p>
    <w:p w14:paraId="05F8E0C0" w14:textId="77777777" w:rsidR="00DB62B9" w:rsidRDefault="00DB62B9" w:rsidP="00152749">
      <w:pPr>
        <w:pStyle w:val="Brdtextmedindrag"/>
      </w:pPr>
    </w:p>
    <w:sectPr w:rsidR="00DB62B9" w:rsidSect="00155500">
      <w:headerReference w:type="even" r:id="rId96"/>
      <w:headerReference w:type="default" r:id="rId97"/>
      <w:footerReference w:type="even" r:id="rId98"/>
      <w:footerReference w:type="default" r:id="rId99"/>
      <w:headerReference w:type="first" r:id="rId100"/>
      <w:footerReference w:type="first" r:id="rId10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333A4" w14:textId="77777777" w:rsidR="00037172" w:rsidRDefault="00037172" w:rsidP="00F8009C">
      <w:r>
        <w:separator/>
      </w:r>
    </w:p>
  </w:endnote>
  <w:endnote w:type="continuationSeparator" w:id="0">
    <w:p w14:paraId="24032DCF" w14:textId="77777777" w:rsidR="00037172" w:rsidRDefault="00037172"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19E83"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203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CB203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5FF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EC3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6EC3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4D419"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F71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CF71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9E1E"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FF6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CFF6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F25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919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6919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E08F7"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516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10516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32CDA"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3A6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B3A6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9EC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C5C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9C5C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1E9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DAA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BDAA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9F38"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2E6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C2E6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C1A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DCC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4DCC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9D6A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D096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D096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2412C"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258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3258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A927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4F1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E4F1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9AC42"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39D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C39D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89BD8"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411C2"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0411C2"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C421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9999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79999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38C6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89B8B"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389B8B"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3EF44"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32D3C"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E32D3C"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CF01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096CD"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8096CD"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2E6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1162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81162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5D"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A7859"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7A7859"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C5F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459C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7459C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0495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BD1C8"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0BD1C8"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CA60"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7CE8C"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17CE8C"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B658D"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FD280"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5FD280"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45F50"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C0C8F"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4C0C8F"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8092"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34D96"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634D96"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D41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5798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C5798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C6E9A"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F3835"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DF3835"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1C4B2"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4C705"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44C705"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F5E99"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70DDA"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470DDA"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1367"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74449"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474449"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FC381"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6E1D7"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16E1D7"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3904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9A712"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69A712"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A1BE"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217D7"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F217D7"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0EB9"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81B48"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EB81B48"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90CCD"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5C2E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75C2E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10A3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B39D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6B39D3"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38E6"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58812"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7158812"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A148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2EA9C"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02EA9C"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13042"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00AE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A00AE4"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80C86"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94E3E"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C94E3E" w14:textId="77777777" w:rsidR="00244011" w:rsidRPr="00756E21" w:rsidRDefault="00244011" w:rsidP="009C2B67">
                    <w:pPr>
                      <w:pStyle w:val="Brdtext"/>
                      <w:jc w:val="right"/>
                    </w:pPr>
                    <w:r>
                      <w:fldChar w:fldCharType="begin"/>
                    </w:r>
                    <w:r>
                      <w:instrText xml:space="preserve"> PAGE   \* MERGEFORMAT </w:instrText>
                    </w:r>
                    <w:r>
                      <w:fldChar w:fldCharType="separate"/>
                    </w:r>
                    <w:r w:rsidR="00A050BF">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0E3B"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07A3E"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C07A3E"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9415"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DDA8B"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9DDA8B" w14:textId="77777777" w:rsidR="00244011" w:rsidRPr="00756E21" w:rsidRDefault="00244011" w:rsidP="00A118D8">
                    <w:pPr>
                      <w:pStyle w:val="Brdtext"/>
                      <w:jc w:val="right"/>
                    </w:pPr>
                    <w:r>
                      <w:fldChar w:fldCharType="begin"/>
                    </w:r>
                    <w:r>
                      <w:instrText xml:space="preserve"> PAGE   \* MERGEFORMAT </w:instrText>
                    </w:r>
                    <w:r>
                      <w:fldChar w:fldCharType="separate"/>
                    </w:r>
                    <w:r w:rsidR="00A050BF">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FBCF"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CC7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6CC7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D579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C0B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8C0B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DEEA6"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F99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5F99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2833" w14:textId="77777777" w:rsidR="00037172" w:rsidRDefault="00037172" w:rsidP="006923D1">
      <w:pPr>
        <w:pStyle w:val="Sidfot"/>
      </w:pPr>
    </w:p>
  </w:footnote>
  <w:footnote w:type="continuationSeparator" w:id="0">
    <w:p w14:paraId="0D5C9D95" w14:textId="77777777" w:rsidR="00037172" w:rsidRPr="006923D1" w:rsidRDefault="00037172" w:rsidP="006923D1">
      <w:pPr>
        <w:pStyle w:val="Sidfot"/>
      </w:pPr>
    </w:p>
  </w:footnote>
  <w:footnote w:type="continuationNotice" w:id="1">
    <w:p w14:paraId="2D05FF46" w14:textId="77777777" w:rsidR="00037172" w:rsidRDefault="00037172" w:rsidP="006923D1">
      <w:pPr>
        <w:pStyle w:val="RKbas"/>
      </w:pPr>
    </w:p>
  </w:footnote>
  <w:footnote w:id="2">
    <w:p w14:paraId="1F087721" w14:textId="77777777" w:rsidR="00E6002D" w:rsidRDefault="00E6002D" w:rsidP="00E6002D">
      <w:pPr>
        <w:pStyle w:val="Fotnotstext"/>
      </w:pPr>
      <w:r>
        <w:rPr>
          <w:rStyle w:val="Fotnotsreferens"/>
        </w:rPr>
        <w:footnoteRef/>
      </w:r>
      <w:r>
        <w:t xml:space="preserve"> Senaste lydelse 2025:1282.</w:t>
      </w:r>
    </w:p>
  </w:footnote>
  <w:footnote w:id="3">
    <w:p w14:paraId="0103F2D2" w14:textId="77777777" w:rsidR="00E6002D" w:rsidRDefault="00E6002D" w:rsidP="00E6002D">
      <w:pPr>
        <w:pStyle w:val="Fotnotstext"/>
      </w:pPr>
      <w:r>
        <w:rPr>
          <w:rStyle w:val="Fotnotsreferens"/>
        </w:rPr>
        <w:footnoteRef/>
      </w:r>
      <w:r>
        <w:t xml:space="preserve"> Senaste lydelse</w:t>
      </w:r>
      <w:r w:rsidRPr="00615F59">
        <w:t xml:space="preserve"> 2025:962</w:t>
      </w:r>
      <w:r>
        <w:t>.</w:t>
      </w:r>
    </w:p>
  </w:footnote>
  <w:footnote w:id="4">
    <w:p w14:paraId="0F871445" w14:textId="77777777" w:rsidR="00E6002D" w:rsidRDefault="00E6002D" w:rsidP="00E6002D">
      <w:pPr>
        <w:pStyle w:val="Fotnotstext"/>
      </w:pPr>
      <w:r>
        <w:rPr>
          <w:rStyle w:val="Fotnotsreferens"/>
        </w:rPr>
        <w:t>2</w:t>
      </w:r>
      <w:r>
        <w:t xml:space="preserve"> Senaste lydelse 2020:349.</w:t>
      </w:r>
    </w:p>
  </w:footnote>
  <w:footnote w:id="5">
    <w:p w14:paraId="4C215476" w14:textId="77777777" w:rsidR="00E6002D" w:rsidRDefault="00E6002D" w:rsidP="00E6002D">
      <w:pPr>
        <w:pStyle w:val="Fotnotstext"/>
      </w:pPr>
      <w:r>
        <w:rPr>
          <w:rStyle w:val="Fotnotsreferens"/>
        </w:rPr>
        <w:t>3</w:t>
      </w:r>
      <w:r>
        <w:t xml:space="preserve"> Senaste lydelse 2020:349.</w:t>
      </w:r>
    </w:p>
  </w:footnote>
  <w:footnote w:id="6">
    <w:p w14:paraId="35B21D74" w14:textId="77777777" w:rsidR="00E6002D" w:rsidRDefault="00E6002D" w:rsidP="00E6002D">
      <w:pPr>
        <w:pStyle w:val="Fotnotstext"/>
      </w:pPr>
      <w:r>
        <w:rPr>
          <w:rStyle w:val="Fotnotsreferens"/>
        </w:rPr>
        <w:t>4</w:t>
      </w:r>
      <w:r>
        <w:t xml:space="preserve"> Senaste lydelse </w:t>
      </w:r>
      <w:r w:rsidRPr="005B73A9">
        <w:t>2025:962</w:t>
      </w:r>
      <w:r>
        <w:t>.</w:t>
      </w:r>
    </w:p>
  </w:footnote>
  <w:footnote w:id="7">
    <w:p w14:paraId="6BA90B3D" w14:textId="77777777" w:rsidR="00E6002D" w:rsidRDefault="00E6002D" w:rsidP="00E6002D">
      <w:pPr>
        <w:pStyle w:val="Fotnotstext"/>
      </w:pPr>
      <w:r>
        <w:rPr>
          <w:rStyle w:val="Fotnotsreferens"/>
        </w:rPr>
        <w:footnoteRef/>
      </w:r>
      <w:r>
        <w:t xml:space="preserve"> Ändringen innebär att fjärde stycket tas bort.</w:t>
      </w:r>
    </w:p>
  </w:footnote>
  <w:footnote w:id="8">
    <w:p w14:paraId="46C05970" w14:textId="1E6AE82C" w:rsidR="00664D7E" w:rsidRDefault="00664D7E">
      <w:pPr>
        <w:pStyle w:val="Fotnotstext"/>
      </w:pPr>
      <w:r>
        <w:rPr>
          <w:rStyle w:val="Fotnotsreferens"/>
        </w:rPr>
        <w:footnoteRef/>
      </w:r>
      <w:r>
        <w:t xml:space="preserve"> Senaste lydelse av lagens rubrik 1971:797.</w:t>
      </w:r>
    </w:p>
  </w:footnote>
  <w:footnote w:id="9">
    <w:p w14:paraId="145672C0" w14:textId="77777777" w:rsidR="00A050BF" w:rsidRPr="00401C92" w:rsidRDefault="00A050BF" w:rsidP="00DC7920">
      <w:pPr>
        <w:pStyle w:val="Fotnotstext"/>
      </w:pPr>
      <w:r>
        <w:rPr>
          <w:rStyle w:val="Fotnotsreferens"/>
        </w:rPr>
        <w:footnoteRef/>
      </w:r>
      <w:r w:rsidRPr="00401C92">
        <w:t xml:space="preserve"> SOU 2023:37. </w:t>
      </w:r>
    </w:p>
  </w:footnote>
  <w:footnote w:id="10">
    <w:p w14:paraId="16F6D840" w14:textId="77777777" w:rsidR="00A050BF" w:rsidRDefault="00A050BF" w:rsidP="00664811">
      <w:pPr>
        <w:pStyle w:val="Fotnotstext"/>
      </w:pPr>
      <w:r>
        <w:rPr>
          <w:rStyle w:val="Fotnotsreferens"/>
        </w:rPr>
        <w:footnoteRef/>
      </w:r>
      <w:r>
        <w:t xml:space="preserve"> Senaste lydelse 2023:534.</w:t>
      </w:r>
    </w:p>
  </w:footnote>
  <w:footnote w:id="11">
    <w:p w14:paraId="5CFED0D4" w14:textId="77777777" w:rsidR="00A050BF" w:rsidRDefault="00A050BF" w:rsidP="00664811">
      <w:pPr>
        <w:pStyle w:val="Fotnotstext"/>
      </w:pPr>
      <w:r>
        <w:rPr>
          <w:rStyle w:val="Fotnotsreferens"/>
        </w:rPr>
        <w:footnoteRef/>
      </w:r>
      <w:r>
        <w:t xml:space="preserve"> Senaste lydelse 2023:678, ändrad genom 2023:882.</w:t>
      </w:r>
    </w:p>
  </w:footnote>
  <w:footnote w:id="12">
    <w:p w14:paraId="369E3D64" w14:textId="77777777" w:rsidR="00A050BF" w:rsidRDefault="00A050BF" w:rsidP="00664811">
      <w:pPr>
        <w:pStyle w:val="Fotnotstext"/>
      </w:pPr>
      <w:r>
        <w:rPr>
          <w:rStyle w:val="Fotnotsreferens"/>
        </w:rPr>
        <w:t>2</w:t>
      </w:r>
      <w:r>
        <w:t xml:space="preserve"> Senaste lydelse 2020:349.</w:t>
      </w:r>
    </w:p>
  </w:footnote>
  <w:footnote w:id="13">
    <w:p w14:paraId="6FA60023" w14:textId="77777777" w:rsidR="00A050BF" w:rsidRDefault="00A050BF" w:rsidP="00664811">
      <w:pPr>
        <w:pStyle w:val="Fotnotstext"/>
      </w:pPr>
      <w:r>
        <w:rPr>
          <w:rStyle w:val="Fotnotsreferens"/>
        </w:rPr>
        <w:t>3</w:t>
      </w:r>
      <w:r>
        <w:t xml:space="preserve"> Senaste lydelse 2020:349.</w:t>
      </w:r>
    </w:p>
  </w:footnote>
  <w:footnote w:id="14">
    <w:p w14:paraId="4E60449C" w14:textId="77777777" w:rsidR="00A050BF" w:rsidRDefault="00A050BF" w:rsidP="00664811">
      <w:pPr>
        <w:pStyle w:val="Fotnotstext"/>
      </w:pPr>
      <w:r>
        <w:rPr>
          <w:rStyle w:val="Fotnotsreferens"/>
        </w:rPr>
        <w:t>4</w:t>
      </w:r>
      <w:r>
        <w:t xml:space="preserve"> Senaste lydelse 2022:661.</w:t>
      </w:r>
    </w:p>
  </w:footnote>
  <w:footnote w:id="15">
    <w:p w14:paraId="21AA81CE" w14:textId="77777777" w:rsidR="00A050BF" w:rsidRDefault="00A050BF" w:rsidP="00664811">
      <w:pPr>
        <w:pStyle w:val="Fotnotstext"/>
      </w:pPr>
      <w:r>
        <w:rPr>
          <w:rStyle w:val="Fotnotsreferens"/>
        </w:rPr>
        <w:footnoteRef/>
      </w:r>
      <w:r>
        <w:t xml:space="preserve"> Senaste lydelse 2021:465. </w:t>
      </w:r>
    </w:p>
  </w:footnote>
  <w:footnote w:id="16">
    <w:p w14:paraId="3DB17E46" w14:textId="77777777" w:rsidR="00A050BF" w:rsidRDefault="00A050BF" w:rsidP="00EE3346">
      <w:pPr>
        <w:pStyle w:val="Fotnotstext"/>
      </w:pPr>
      <w:r>
        <w:rPr>
          <w:rStyle w:val="Fotnotsreferens"/>
        </w:rPr>
        <w:footnoteRef/>
      </w:r>
      <w:r>
        <w:t xml:space="preserve"> Senaste lydelse 2025:1282.</w:t>
      </w:r>
    </w:p>
  </w:footnote>
  <w:footnote w:id="17">
    <w:p w14:paraId="58983D67" w14:textId="77777777" w:rsidR="00A050BF" w:rsidRDefault="00A050BF" w:rsidP="00EE3346">
      <w:pPr>
        <w:pStyle w:val="Fotnotstext"/>
      </w:pPr>
      <w:r>
        <w:rPr>
          <w:rStyle w:val="Fotnotsreferens"/>
        </w:rPr>
        <w:footnoteRef/>
      </w:r>
      <w:r>
        <w:t xml:space="preserve"> Senaste lydelse</w:t>
      </w:r>
      <w:r w:rsidRPr="00615F59">
        <w:t xml:space="preserve"> 2025:962</w:t>
      </w:r>
      <w:r>
        <w:t>.</w:t>
      </w:r>
    </w:p>
  </w:footnote>
  <w:footnote w:id="18">
    <w:p w14:paraId="63787986" w14:textId="77777777" w:rsidR="00A050BF" w:rsidRDefault="00A050BF" w:rsidP="00EE3346">
      <w:pPr>
        <w:pStyle w:val="Fotnotstext"/>
      </w:pPr>
      <w:r>
        <w:rPr>
          <w:rStyle w:val="Fotnotsreferens"/>
        </w:rPr>
        <w:t>2</w:t>
      </w:r>
      <w:r>
        <w:t xml:space="preserve"> Senaste lydelse 2020:349.</w:t>
      </w:r>
    </w:p>
  </w:footnote>
  <w:footnote w:id="19">
    <w:p w14:paraId="1FDAF31B" w14:textId="77777777" w:rsidR="00A050BF" w:rsidRDefault="00A050BF" w:rsidP="00EE3346">
      <w:pPr>
        <w:pStyle w:val="Fotnotstext"/>
      </w:pPr>
      <w:r>
        <w:rPr>
          <w:rStyle w:val="Fotnotsreferens"/>
        </w:rPr>
        <w:t>3</w:t>
      </w:r>
      <w:r>
        <w:t xml:space="preserve"> Senaste lydelse 2020:349.</w:t>
      </w:r>
    </w:p>
  </w:footnote>
  <w:footnote w:id="20">
    <w:p w14:paraId="2DAD1C17" w14:textId="77777777" w:rsidR="00A050BF" w:rsidRDefault="00A050BF" w:rsidP="00EE3346">
      <w:pPr>
        <w:pStyle w:val="Fotnotstext"/>
      </w:pPr>
      <w:r>
        <w:rPr>
          <w:rStyle w:val="Fotnotsreferens"/>
        </w:rPr>
        <w:t>4</w:t>
      </w:r>
      <w:r>
        <w:t xml:space="preserve"> Senaste lydelse </w:t>
      </w:r>
      <w:r w:rsidRPr="005B73A9">
        <w:t>2025:962</w:t>
      </w:r>
      <w:r>
        <w:t>.</w:t>
      </w:r>
    </w:p>
  </w:footnote>
  <w:footnote w:id="21">
    <w:p w14:paraId="7B7F05F5" w14:textId="77777777" w:rsidR="00A050BF" w:rsidRDefault="00A050BF" w:rsidP="00EE3346">
      <w:pPr>
        <w:pStyle w:val="Fotnotstext"/>
      </w:pPr>
      <w:r>
        <w:rPr>
          <w:rStyle w:val="Fotnotsreferens"/>
        </w:rPr>
        <w:footnoteRef/>
      </w:r>
      <w:r>
        <w:t xml:space="preserve"> Ändringen innebär att fjärde 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708D"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C8793" w14:textId="478EF597" w:rsidR="00244011" w:rsidRPr="00756E21" w:rsidRDefault="0075319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BDC8793" w14:textId="478EF597" w:rsidR="00244011" w:rsidRPr="00756E21" w:rsidRDefault="002B7D2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0AEFC"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F6A8B" w14:textId="433D0B32" w:rsidR="00244011" w:rsidRPr="00756E21" w:rsidRDefault="0075319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2DF6A8B" w14:textId="433D0B32" w:rsidR="00244011" w:rsidRPr="00756E21" w:rsidRDefault="002B7D2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122AF"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DB58A"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7A668" w14:textId="056B6B9C" w:rsidR="00244011" w:rsidRPr="00756E21" w:rsidRDefault="00753190" w:rsidP="00664D04">
                          <w:pPr>
                            <w:pStyle w:val="Brdtext"/>
                            <w:jc w:val="left"/>
                          </w:pPr>
                          <w:sdt>
                            <w:sdtPr>
                              <w:alias w:val="NummerEtikett"/>
                              <w:tag w:val="NummerEtikett"/>
                              <w:id w:val="124669238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566222118"/>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D27A668" w14:textId="056B6B9C" w:rsidR="00244011" w:rsidRPr="00756E21" w:rsidRDefault="002B7D2A" w:rsidP="00664D04">
                    <w:pPr>
                      <w:pStyle w:val="Brdtext"/>
                      <w:jc w:val="left"/>
                    </w:pPr>
                    <w:sdt>
                      <w:sdtPr>
                        <w:alias w:val="NummerEtikett"/>
                        <w:tag w:val="NummerEtikett"/>
                        <w:id w:val="124669238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566222118"/>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650D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BA064" w14:textId="38C63018" w:rsidR="00244011" w:rsidRPr="00756E21" w:rsidRDefault="00753190" w:rsidP="00A118D8">
                          <w:pPr>
                            <w:pStyle w:val="Brdtext"/>
                            <w:jc w:val="left"/>
                          </w:pPr>
                          <w:sdt>
                            <w:sdtPr>
                              <w:alias w:val="NummerEtikett"/>
                              <w:tag w:val="NummerEtikett"/>
                              <w:id w:val="-4761657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2114033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38BA064" w14:textId="38C63018" w:rsidR="00244011" w:rsidRPr="00756E21" w:rsidRDefault="002B7D2A" w:rsidP="00A118D8">
                    <w:pPr>
                      <w:pStyle w:val="Brdtext"/>
                      <w:jc w:val="left"/>
                    </w:pPr>
                    <w:sdt>
                      <w:sdtPr>
                        <w:alias w:val="NummerEtikett"/>
                        <w:tag w:val="NummerEtikett"/>
                        <w:id w:val="-4761657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2114033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6428"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C25E8" w14:textId="168094B6" w:rsidR="00244011" w:rsidRPr="00756E21" w:rsidRDefault="00753190" w:rsidP="00664D04">
                          <w:pPr>
                            <w:pStyle w:val="Brdtext"/>
                            <w:jc w:val="left"/>
                          </w:pPr>
                          <w:sdt>
                            <w:sdtPr>
                              <w:alias w:val="NummerEtikett"/>
                              <w:tag w:val="NummerEtikett"/>
                              <w:id w:val="-34302359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2364274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07C25E8" w14:textId="168094B6" w:rsidR="00244011" w:rsidRPr="00756E21" w:rsidRDefault="002B7D2A" w:rsidP="00664D04">
                    <w:pPr>
                      <w:pStyle w:val="Brdtext"/>
                      <w:jc w:val="left"/>
                    </w:pPr>
                    <w:sdt>
                      <w:sdtPr>
                        <w:alias w:val="NummerEtikett"/>
                        <w:tag w:val="NummerEtikett"/>
                        <w:id w:val="-34302359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2364274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BD2F2"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391EA" w14:textId="6B4D4819" w:rsidR="00244011" w:rsidRPr="00756E21" w:rsidRDefault="00753190" w:rsidP="00A118D8">
                          <w:pPr>
                            <w:pStyle w:val="Brdtext"/>
                            <w:jc w:val="left"/>
                          </w:pPr>
                          <w:sdt>
                            <w:sdtPr>
                              <w:alias w:val="NummerEtikett"/>
                              <w:tag w:val="NummerEtikett"/>
                              <w:id w:val="-151606825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7372463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D1391EA" w14:textId="6B4D4819" w:rsidR="00244011" w:rsidRPr="00756E21" w:rsidRDefault="002B7D2A" w:rsidP="00A118D8">
                    <w:pPr>
                      <w:pStyle w:val="Brdtext"/>
                      <w:jc w:val="left"/>
                    </w:pPr>
                    <w:sdt>
                      <w:sdtPr>
                        <w:alias w:val="NummerEtikett"/>
                        <w:tag w:val="NummerEtikett"/>
                        <w:id w:val="-151606825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7372463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E7C0F"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B4D38" w14:textId="6D71A5E9" w:rsidR="00244011" w:rsidRPr="00756E21" w:rsidRDefault="00753190" w:rsidP="00664D04">
                          <w:pPr>
                            <w:pStyle w:val="Brdtext"/>
                            <w:jc w:val="left"/>
                          </w:pPr>
                          <w:sdt>
                            <w:sdtPr>
                              <w:alias w:val="NummerEtikett"/>
                              <w:tag w:val="NummerEtikett"/>
                              <w:id w:val="130412559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88973049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F4B4D38" w14:textId="6D71A5E9" w:rsidR="00244011" w:rsidRPr="00756E21" w:rsidRDefault="002B7D2A" w:rsidP="00664D04">
                    <w:pPr>
                      <w:pStyle w:val="Brdtext"/>
                      <w:jc w:val="left"/>
                    </w:pPr>
                    <w:sdt>
                      <w:sdtPr>
                        <w:alias w:val="NummerEtikett"/>
                        <w:tag w:val="NummerEtikett"/>
                        <w:id w:val="130412559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88973049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7560"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17779" w14:textId="03E1F91C" w:rsidR="00244011" w:rsidRPr="00756E21" w:rsidRDefault="00753190" w:rsidP="00A118D8">
                          <w:pPr>
                            <w:pStyle w:val="Brdtext"/>
                            <w:jc w:val="left"/>
                          </w:pPr>
                          <w:sdt>
                            <w:sdtPr>
                              <w:alias w:val="NummerEtikett"/>
                              <w:tag w:val="NummerEtikett"/>
                              <w:id w:val="-37107957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5196401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E217779" w14:textId="03E1F91C" w:rsidR="00244011" w:rsidRPr="00756E21" w:rsidRDefault="002B7D2A" w:rsidP="00A118D8">
                    <w:pPr>
                      <w:pStyle w:val="Brdtext"/>
                      <w:jc w:val="left"/>
                    </w:pPr>
                    <w:sdt>
                      <w:sdtPr>
                        <w:alias w:val="NummerEtikett"/>
                        <w:tag w:val="NummerEtikett"/>
                        <w:id w:val="-37107957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5196401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D9E1"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48108" w14:textId="19AB0DF0" w:rsidR="00244011" w:rsidRPr="00756E21" w:rsidRDefault="00753190" w:rsidP="00664D04">
                          <w:pPr>
                            <w:pStyle w:val="Brdtext"/>
                            <w:jc w:val="left"/>
                          </w:pPr>
                          <w:sdt>
                            <w:sdtPr>
                              <w:alias w:val="NummerEtikett"/>
                              <w:tag w:val="NummerEtikett"/>
                              <w:id w:val="100749302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2391963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BF48108" w14:textId="19AB0DF0" w:rsidR="00244011" w:rsidRPr="00756E21" w:rsidRDefault="002B7D2A" w:rsidP="00664D04">
                    <w:pPr>
                      <w:pStyle w:val="Brdtext"/>
                      <w:jc w:val="left"/>
                    </w:pPr>
                    <w:sdt>
                      <w:sdtPr>
                        <w:alias w:val="NummerEtikett"/>
                        <w:tag w:val="NummerEtikett"/>
                        <w:id w:val="100749302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2391963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FCB7"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542E5" w14:textId="5974913A" w:rsidR="00244011" w:rsidRPr="00756E21" w:rsidRDefault="00753190" w:rsidP="00A118D8">
                          <w:pPr>
                            <w:pStyle w:val="Brdtext"/>
                            <w:jc w:val="left"/>
                          </w:pPr>
                          <w:sdt>
                            <w:sdtPr>
                              <w:alias w:val="NummerEtikett"/>
                              <w:tag w:val="NummerEtikett"/>
                              <w:id w:val="-2016982570"/>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8931399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B0542E5" w14:textId="5974913A" w:rsidR="00244011" w:rsidRPr="00756E21" w:rsidRDefault="002B7D2A" w:rsidP="00A118D8">
                    <w:pPr>
                      <w:pStyle w:val="Brdtext"/>
                      <w:jc w:val="left"/>
                    </w:pPr>
                    <w:sdt>
                      <w:sdtPr>
                        <w:alias w:val="NummerEtikett"/>
                        <w:tag w:val="NummerEtikett"/>
                        <w:id w:val="-2016982570"/>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8931399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B347"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59A79" w14:textId="2319A8E4" w:rsidR="00244011" w:rsidRDefault="00753190" w:rsidP="00664D04">
                          <w:pPr>
                            <w:pStyle w:val="Brdtext"/>
                            <w:jc w:val="left"/>
                          </w:pPr>
                          <w:sdt>
                            <w:sdtPr>
                              <w:alias w:val="NummerEtikett"/>
                              <w:tag w:val="NummerEtikett"/>
                              <w:id w:val="196553585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608181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E1AA725" w14:textId="1683CD4F" w:rsidR="00A050BF" w:rsidRPr="00C7375F" w:rsidRDefault="0075319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973D1">
                                <w:t>Bilaga</w:t>
                              </w:r>
                            </w:sdtContent>
                          </w:sdt>
                          <w:r w:rsidR="00A050B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973D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D59A79" w14:textId="2319A8E4" w:rsidR="00244011" w:rsidRDefault="002B7D2A" w:rsidP="00664D04">
                    <w:pPr>
                      <w:pStyle w:val="Brdtext"/>
                      <w:jc w:val="left"/>
                    </w:pPr>
                    <w:sdt>
                      <w:sdtPr>
                        <w:alias w:val="NummerEtikett"/>
                        <w:tag w:val="NummerEtikett"/>
                        <w:id w:val="196553585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608181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E1AA725" w14:textId="1683CD4F" w:rsidR="00A050BF" w:rsidRPr="00C7375F" w:rsidRDefault="002B7D2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973D1">
                          <w:t>Bilaga</w:t>
                        </w:r>
                      </w:sdtContent>
                    </w:sdt>
                    <w:r w:rsidR="00A050B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973D1">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E95E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2D8D2" w14:textId="4AAFD3F2" w:rsidR="00244011" w:rsidRDefault="00753190" w:rsidP="00A118D8">
                          <w:pPr>
                            <w:pStyle w:val="Brdtext"/>
                            <w:jc w:val="left"/>
                          </w:pPr>
                          <w:sdt>
                            <w:sdtPr>
                              <w:alias w:val="NummerEtikett"/>
                              <w:tag w:val="NummerEtikett"/>
                              <w:id w:val="2005472102"/>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78367163"/>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7E92217C" w14:textId="08626F19" w:rsidR="00A050BF" w:rsidRPr="00C7375F" w:rsidRDefault="0075319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973D1">
                                <w:t>Bilaga</w:t>
                              </w:r>
                            </w:sdtContent>
                          </w:sdt>
                          <w:r w:rsidR="00A050B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973D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82D8D2" w14:textId="4AAFD3F2" w:rsidR="00244011" w:rsidRDefault="002B7D2A" w:rsidP="00A118D8">
                    <w:pPr>
                      <w:pStyle w:val="Brdtext"/>
                      <w:jc w:val="left"/>
                    </w:pPr>
                    <w:sdt>
                      <w:sdtPr>
                        <w:alias w:val="NummerEtikett"/>
                        <w:tag w:val="NummerEtikett"/>
                        <w:id w:val="2005472102"/>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78367163"/>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7E92217C" w14:textId="08626F19" w:rsidR="00A050BF" w:rsidRPr="00C7375F" w:rsidRDefault="002B7D2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973D1">
                          <w:t>Bilaga</w:t>
                        </w:r>
                      </w:sdtContent>
                    </w:sdt>
                    <w:r w:rsidR="00A050B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973D1">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155F"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7756"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6F14B" w14:textId="2448A720" w:rsidR="00244011" w:rsidRDefault="00753190" w:rsidP="00664D04">
                          <w:pPr>
                            <w:pStyle w:val="Brdtext"/>
                            <w:jc w:val="left"/>
                          </w:pPr>
                          <w:sdt>
                            <w:sdtPr>
                              <w:alias w:val="NummerEtikett"/>
                              <w:tag w:val="NummerEtikett"/>
                              <w:id w:val="2144470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6276521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70D6144" w14:textId="5B291CAC" w:rsidR="00A050BF" w:rsidRPr="00C7375F" w:rsidRDefault="00753190" w:rsidP="00C7375F">
                          <w:pPr>
                            <w:pStyle w:val="Brdtext"/>
                          </w:pPr>
                          <w:sdt>
                            <w:sdtPr>
                              <w:alias w:val="BilageEtikett"/>
                              <w:tag w:val="BilageEtikett"/>
                              <w:id w:val="1857221608"/>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822611504"/>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446F14B" w14:textId="2448A720" w:rsidR="00244011" w:rsidRDefault="002B7D2A" w:rsidP="00664D04">
                    <w:pPr>
                      <w:pStyle w:val="Brdtext"/>
                      <w:jc w:val="left"/>
                    </w:pPr>
                    <w:sdt>
                      <w:sdtPr>
                        <w:alias w:val="NummerEtikett"/>
                        <w:tag w:val="NummerEtikett"/>
                        <w:id w:val="2144470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6276521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70D6144" w14:textId="5B291CAC" w:rsidR="00A050BF" w:rsidRPr="00C7375F" w:rsidRDefault="002B7D2A" w:rsidP="00C7375F">
                    <w:pPr>
                      <w:pStyle w:val="Brdtext"/>
                    </w:pPr>
                    <w:sdt>
                      <w:sdtPr>
                        <w:alias w:val="BilageEtikett"/>
                        <w:tag w:val="BilageEtikett"/>
                        <w:id w:val="1857221608"/>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822611504"/>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0F8A8"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0078C" w14:textId="46B529EA" w:rsidR="00244011" w:rsidRDefault="00753190" w:rsidP="00A118D8">
                          <w:pPr>
                            <w:pStyle w:val="Brdtext"/>
                            <w:jc w:val="left"/>
                          </w:pPr>
                          <w:sdt>
                            <w:sdtPr>
                              <w:alias w:val="NummerEtikett"/>
                              <w:tag w:val="NummerEtikett"/>
                              <w:id w:val="-92504243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0083512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EBFE406" w14:textId="095AC9B6" w:rsidR="00A050BF" w:rsidRPr="00C7375F" w:rsidRDefault="00753190" w:rsidP="00C7375F">
                          <w:pPr>
                            <w:pStyle w:val="Brdtext"/>
                          </w:pPr>
                          <w:sdt>
                            <w:sdtPr>
                              <w:alias w:val="BilageEtikett"/>
                              <w:tag w:val="BilageEtikett"/>
                              <w:id w:val="87510194"/>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785253663"/>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540078C" w14:textId="46B529EA" w:rsidR="00244011" w:rsidRDefault="002B7D2A" w:rsidP="00A118D8">
                    <w:pPr>
                      <w:pStyle w:val="Brdtext"/>
                      <w:jc w:val="left"/>
                    </w:pPr>
                    <w:sdt>
                      <w:sdtPr>
                        <w:alias w:val="NummerEtikett"/>
                        <w:tag w:val="NummerEtikett"/>
                        <w:id w:val="-92504243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0083512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EBFE406" w14:textId="095AC9B6" w:rsidR="00A050BF" w:rsidRPr="00C7375F" w:rsidRDefault="002B7D2A" w:rsidP="00C7375F">
                    <w:pPr>
                      <w:pStyle w:val="Brdtext"/>
                    </w:pPr>
                    <w:sdt>
                      <w:sdtPr>
                        <w:alias w:val="BilageEtikett"/>
                        <w:tag w:val="BilageEtikett"/>
                        <w:id w:val="87510194"/>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785253663"/>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410F7"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862C"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DC5FB" w14:textId="718EB81D" w:rsidR="00244011" w:rsidRDefault="00753190" w:rsidP="00664D04">
                          <w:pPr>
                            <w:pStyle w:val="Brdtext"/>
                            <w:jc w:val="left"/>
                          </w:pPr>
                          <w:sdt>
                            <w:sdtPr>
                              <w:alias w:val="NummerEtikett"/>
                              <w:tag w:val="NummerEtikett"/>
                              <w:id w:val="105288733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5436900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9E1812F" w14:textId="3B8E52F0" w:rsidR="00A050BF" w:rsidRPr="00C7375F" w:rsidRDefault="00753190" w:rsidP="00C7375F">
                          <w:pPr>
                            <w:pStyle w:val="Brdtext"/>
                          </w:pPr>
                          <w:sdt>
                            <w:sdtPr>
                              <w:alias w:val="BilageEtikett"/>
                              <w:tag w:val="BilageEtikett"/>
                              <w:id w:val="1984654196"/>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675567802"/>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BDC5FB" w14:textId="718EB81D" w:rsidR="00244011" w:rsidRDefault="002B7D2A" w:rsidP="00664D04">
                    <w:pPr>
                      <w:pStyle w:val="Brdtext"/>
                      <w:jc w:val="left"/>
                    </w:pPr>
                    <w:sdt>
                      <w:sdtPr>
                        <w:alias w:val="NummerEtikett"/>
                        <w:tag w:val="NummerEtikett"/>
                        <w:id w:val="1052887337"/>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5436900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9E1812F" w14:textId="3B8E52F0" w:rsidR="00A050BF" w:rsidRPr="00C7375F" w:rsidRDefault="002B7D2A" w:rsidP="00C7375F">
                    <w:pPr>
                      <w:pStyle w:val="Brdtext"/>
                    </w:pPr>
                    <w:sdt>
                      <w:sdtPr>
                        <w:alias w:val="BilageEtikett"/>
                        <w:tag w:val="BilageEtikett"/>
                        <w:id w:val="1984654196"/>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675567802"/>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5BB98"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404DF" w14:textId="53276BED" w:rsidR="00244011" w:rsidRDefault="00753190" w:rsidP="00A118D8">
                          <w:pPr>
                            <w:pStyle w:val="Brdtext"/>
                            <w:jc w:val="left"/>
                          </w:pPr>
                          <w:sdt>
                            <w:sdtPr>
                              <w:alias w:val="NummerEtikett"/>
                              <w:tag w:val="NummerEtikett"/>
                              <w:id w:val="-186288863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41343228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C9993F4" w14:textId="3C074503" w:rsidR="00A050BF" w:rsidRPr="00C7375F" w:rsidRDefault="00753190" w:rsidP="00C7375F">
                          <w:pPr>
                            <w:pStyle w:val="Brdtext"/>
                          </w:pPr>
                          <w:sdt>
                            <w:sdtPr>
                              <w:alias w:val="BilageEtikett"/>
                              <w:tag w:val="BilageEtikett"/>
                              <w:id w:val="1973095402"/>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826541032"/>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C4404DF" w14:textId="53276BED" w:rsidR="00244011" w:rsidRDefault="002B7D2A" w:rsidP="00A118D8">
                    <w:pPr>
                      <w:pStyle w:val="Brdtext"/>
                      <w:jc w:val="left"/>
                    </w:pPr>
                    <w:sdt>
                      <w:sdtPr>
                        <w:alias w:val="NummerEtikett"/>
                        <w:tag w:val="NummerEtikett"/>
                        <w:id w:val="-186288863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41343228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C9993F4" w14:textId="3C074503" w:rsidR="00A050BF" w:rsidRPr="00C7375F" w:rsidRDefault="002B7D2A" w:rsidP="00C7375F">
                    <w:pPr>
                      <w:pStyle w:val="Brdtext"/>
                    </w:pPr>
                    <w:sdt>
                      <w:sdtPr>
                        <w:alias w:val="BilageEtikett"/>
                        <w:tag w:val="BilageEtikett"/>
                        <w:id w:val="1973095402"/>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1826541032"/>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5E6A4"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60CEB" w14:textId="628B3478" w:rsidR="00244011" w:rsidRDefault="00753190" w:rsidP="00664D04">
                          <w:pPr>
                            <w:pStyle w:val="Brdtext"/>
                            <w:jc w:val="left"/>
                          </w:pPr>
                          <w:sdt>
                            <w:sdtPr>
                              <w:alias w:val="NummerEtikett"/>
                              <w:tag w:val="NummerEtikett"/>
                              <w:id w:val="161616876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33399001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BC35D6B" w14:textId="6189156D" w:rsidR="00A050BF" w:rsidRPr="00C7375F" w:rsidRDefault="00753190" w:rsidP="00C7375F">
                          <w:pPr>
                            <w:pStyle w:val="Brdtext"/>
                          </w:pPr>
                          <w:sdt>
                            <w:sdtPr>
                              <w:alias w:val="BilageEtikett"/>
                              <w:tag w:val="BilageEtikett"/>
                              <w:id w:val="1103605615"/>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61801820"/>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1060CEB" w14:textId="628B3478" w:rsidR="00244011" w:rsidRDefault="002B7D2A" w:rsidP="00664D04">
                    <w:pPr>
                      <w:pStyle w:val="Brdtext"/>
                      <w:jc w:val="left"/>
                    </w:pPr>
                    <w:sdt>
                      <w:sdtPr>
                        <w:alias w:val="NummerEtikett"/>
                        <w:tag w:val="NummerEtikett"/>
                        <w:id w:val="161616876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333990017"/>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BC35D6B" w14:textId="6189156D" w:rsidR="00A050BF" w:rsidRPr="00C7375F" w:rsidRDefault="002B7D2A" w:rsidP="00C7375F">
                    <w:pPr>
                      <w:pStyle w:val="Brdtext"/>
                    </w:pPr>
                    <w:sdt>
                      <w:sdtPr>
                        <w:alias w:val="BilageEtikett"/>
                        <w:tag w:val="BilageEtikett"/>
                        <w:id w:val="1103605615"/>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61801820"/>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8B135"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8D3D3" w14:textId="7D72DCE4" w:rsidR="00244011" w:rsidRDefault="00753190" w:rsidP="00A118D8">
                          <w:pPr>
                            <w:pStyle w:val="Brdtext"/>
                            <w:jc w:val="left"/>
                          </w:pPr>
                          <w:sdt>
                            <w:sdtPr>
                              <w:alias w:val="NummerEtikett"/>
                              <w:tag w:val="NummerEtikett"/>
                              <w:id w:val="3400326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431968339"/>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117F840" w14:textId="40D687B3" w:rsidR="00A050BF" w:rsidRPr="00C7375F" w:rsidRDefault="00753190" w:rsidP="00C7375F">
                          <w:pPr>
                            <w:pStyle w:val="Brdtext"/>
                          </w:pPr>
                          <w:sdt>
                            <w:sdtPr>
                              <w:alias w:val="BilageEtikett"/>
                              <w:tag w:val="BilageEtikett"/>
                              <w:id w:val="-1623837153"/>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2106804028"/>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B98D3D3" w14:textId="7D72DCE4" w:rsidR="00244011" w:rsidRDefault="002B7D2A" w:rsidP="00A118D8">
                    <w:pPr>
                      <w:pStyle w:val="Brdtext"/>
                      <w:jc w:val="left"/>
                    </w:pPr>
                    <w:sdt>
                      <w:sdtPr>
                        <w:alias w:val="NummerEtikett"/>
                        <w:tag w:val="NummerEtikett"/>
                        <w:id w:val="3400326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431968339"/>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117F840" w14:textId="40D687B3" w:rsidR="00A050BF" w:rsidRPr="00C7375F" w:rsidRDefault="002B7D2A" w:rsidP="00C7375F">
                    <w:pPr>
                      <w:pStyle w:val="Brdtext"/>
                    </w:pPr>
                    <w:sdt>
                      <w:sdtPr>
                        <w:alias w:val="BilageEtikett"/>
                        <w:tag w:val="BilageEtikett"/>
                        <w:id w:val="-1623837153"/>
                        <w:lock w:val="sdtContentLocked"/>
                        <w:dataBinding w:prefixMappings="xmlns:ns0='http://rkdhs/mallar/lagstiftning/Prop/Prop.xsd'" w:xpath="/ns0:dokumentvärden[1]/ns0:bilagor[1]/ns0:bilaga[2]/@bilageetikett" w:storeItemID="{068625C3-B546-44A5-B525-B7CC092E5AD6}"/>
                        <w:text/>
                      </w:sdtPr>
                      <w:sdtEndPr/>
                      <w:sdtContent>
                        <w:r w:rsidR="006973D1">
                          <w:t>Bilaga</w:t>
                        </w:r>
                      </w:sdtContent>
                    </w:sdt>
                    <w:r w:rsidR="00A050BF">
                      <w:t xml:space="preserve"> </w:t>
                    </w:r>
                    <w:sdt>
                      <w:sdtPr>
                        <w:alias w:val="BilageNummer"/>
                        <w:tag w:val="BilageNummer"/>
                        <w:id w:val="-2106804028"/>
                        <w:lock w:val="sdtContentLocked"/>
                        <w:dataBinding w:prefixMappings="xmlns:ns0='http://rkdhs/mallar/lagstiftning/Prop/Prop.xsd'" w:xpath="/ns0:dokumentvärden[1]/ns0:bilagor[1]/ns0:bilaga[2]/@bilagenummer" w:storeItemID="{068625C3-B546-44A5-B525-B7CC092E5AD6}"/>
                        <w:text/>
                      </w:sdtPr>
                      <w:sdtEndPr/>
                      <w:sdtContent>
                        <w:r w:rsidR="006973D1">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4B0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02C54" w14:textId="6D3B680F" w:rsidR="00244011" w:rsidRDefault="00753190" w:rsidP="00664D04">
                          <w:pPr>
                            <w:pStyle w:val="Brdtext"/>
                            <w:jc w:val="left"/>
                          </w:pPr>
                          <w:sdt>
                            <w:sdtPr>
                              <w:alias w:val="NummerEtikett"/>
                              <w:tag w:val="NummerEtikett"/>
                              <w:id w:val="65456421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53738644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9E297BE" w14:textId="07652743" w:rsidR="00A050BF" w:rsidRPr="00C7375F" w:rsidRDefault="00753190" w:rsidP="00C7375F">
                          <w:pPr>
                            <w:pStyle w:val="Brdtext"/>
                          </w:pPr>
                          <w:sdt>
                            <w:sdtPr>
                              <w:alias w:val="BilageEtikett"/>
                              <w:tag w:val="BilageEtikett"/>
                              <w:id w:val="1237824897"/>
                              <w:lock w:val="sdtContentLocked"/>
                              <w:dataBinding w:prefixMappings="xmlns:ns0='http://rkdhs/mallar/lagstiftning/Prop/Prop.xsd'" w:xpath="/ns0:dokumentvärden[1]/ns0:bilagor[1]/ns0:bilaga[3]/@bilageetikett" w:storeItemID="{068625C3-B546-44A5-B525-B7CC092E5AD6}"/>
                              <w:text/>
                            </w:sdtPr>
                            <w:sdtEndPr/>
                            <w:sdtContent>
                              <w:r w:rsidR="006973D1">
                                <w:t>Bilaga</w:t>
                              </w:r>
                            </w:sdtContent>
                          </w:sdt>
                          <w:r w:rsidR="00A050BF">
                            <w:t xml:space="preserve"> </w:t>
                          </w:r>
                          <w:sdt>
                            <w:sdtPr>
                              <w:alias w:val="BilageNummer"/>
                              <w:tag w:val="BilageNummer"/>
                              <w:id w:val="-1984613156"/>
                              <w:lock w:val="sdtContentLocked"/>
                              <w:dataBinding w:prefixMappings="xmlns:ns0='http://rkdhs/mallar/lagstiftning/Prop/Prop.xsd'" w:xpath="/ns0:dokumentvärden[1]/ns0:bilagor[1]/ns0:bilaga[3]/@bilagenummer" w:storeItemID="{068625C3-B546-44A5-B525-B7CC092E5AD6}"/>
                              <w:text/>
                            </w:sdtPr>
                            <w:sdtEndPr/>
                            <w:sdtContent>
                              <w:r w:rsidR="006973D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102C54" w14:textId="6D3B680F" w:rsidR="00244011" w:rsidRDefault="002B7D2A" w:rsidP="00664D04">
                    <w:pPr>
                      <w:pStyle w:val="Brdtext"/>
                      <w:jc w:val="left"/>
                    </w:pPr>
                    <w:sdt>
                      <w:sdtPr>
                        <w:alias w:val="NummerEtikett"/>
                        <w:tag w:val="NummerEtikett"/>
                        <w:id w:val="65456421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53738644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9E297BE" w14:textId="07652743" w:rsidR="00A050BF" w:rsidRPr="00C7375F" w:rsidRDefault="002B7D2A" w:rsidP="00C7375F">
                    <w:pPr>
                      <w:pStyle w:val="Brdtext"/>
                    </w:pPr>
                    <w:sdt>
                      <w:sdtPr>
                        <w:alias w:val="BilageEtikett"/>
                        <w:tag w:val="BilageEtikett"/>
                        <w:id w:val="1237824897"/>
                        <w:lock w:val="sdtContentLocked"/>
                        <w:dataBinding w:prefixMappings="xmlns:ns0='http://rkdhs/mallar/lagstiftning/Prop/Prop.xsd'" w:xpath="/ns0:dokumentvärden[1]/ns0:bilagor[1]/ns0:bilaga[3]/@bilageetikett" w:storeItemID="{068625C3-B546-44A5-B525-B7CC092E5AD6}"/>
                        <w:text/>
                      </w:sdtPr>
                      <w:sdtEndPr/>
                      <w:sdtContent>
                        <w:r w:rsidR="006973D1">
                          <w:t>Bilaga</w:t>
                        </w:r>
                      </w:sdtContent>
                    </w:sdt>
                    <w:r w:rsidR="00A050BF">
                      <w:t xml:space="preserve"> </w:t>
                    </w:r>
                    <w:sdt>
                      <w:sdtPr>
                        <w:alias w:val="BilageNummer"/>
                        <w:tag w:val="BilageNummer"/>
                        <w:id w:val="-1984613156"/>
                        <w:lock w:val="sdtContentLocked"/>
                        <w:dataBinding w:prefixMappings="xmlns:ns0='http://rkdhs/mallar/lagstiftning/Prop/Prop.xsd'" w:xpath="/ns0:dokumentvärden[1]/ns0:bilagor[1]/ns0:bilaga[3]/@bilagenummer" w:storeItemID="{068625C3-B546-44A5-B525-B7CC092E5AD6}"/>
                        <w:text/>
                      </w:sdtPr>
                      <w:sdtEndPr/>
                      <w:sdtContent>
                        <w:r w:rsidR="006973D1">
                          <w:t>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68C5A"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7812E" w14:textId="68B317CB" w:rsidR="00244011" w:rsidRDefault="00753190" w:rsidP="00A118D8">
                          <w:pPr>
                            <w:pStyle w:val="Brdtext"/>
                            <w:jc w:val="left"/>
                          </w:pPr>
                          <w:sdt>
                            <w:sdtPr>
                              <w:alias w:val="NummerEtikett"/>
                              <w:tag w:val="NummerEtikett"/>
                              <w:id w:val="-148855128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86226769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740EF1A4" w14:textId="65BC623A" w:rsidR="00A050BF" w:rsidRPr="00C7375F" w:rsidRDefault="00753190" w:rsidP="00C7375F">
                          <w:pPr>
                            <w:pStyle w:val="Brdtext"/>
                          </w:pPr>
                          <w:sdt>
                            <w:sdtPr>
                              <w:alias w:val="BilageEtikett"/>
                              <w:tag w:val="BilageEtikett"/>
                              <w:id w:val="-122616228"/>
                              <w:lock w:val="sdtContentLocked"/>
                              <w:dataBinding w:prefixMappings="xmlns:ns0='http://rkdhs/mallar/lagstiftning/Prop/Prop.xsd'" w:xpath="/ns0:dokumentvärden[1]/ns0:bilagor[1]/ns0:bilaga[3]/@bilageetikett" w:storeItemID="{068625C3-B546-44A5-B525-B7CC092E5AD6}"/>
                              <w:text/>
                            </w:sdtPr>
                            <w:sdtEndPr/>
                            <w:sdtContent>
                              <w:r w:rsidR="006973D1">
                                <w:t>Bilaga</w:t>
                              </w:r>
                            </w:sdtContent>
                          </w:sdt>
                          <w:r w:rsidR="00A050BF">
                            <w:t xml:space="preserve"> </w:t>
                          </w:r>
                          <w:sdt>
                            <w:sdtPr>
                              <w:alias w:val="BilageNummer"/>
                              <w:tag w:val="BilageNummer"/>
                              <w:id w:val="1408653046"/>
                              <w:lock w:val="sdtContentLocked"/>
                              <w:dataBinding w:prefixMappings="xmlns:ns0='http://rkdhs/mallar/lagstiftning/Prop/Prop.xsd'" w:xpath="/ns0:dokumentvärden[1]/ns0:bilagor[1]/ns0:bilaga[3]/@bilagenummer" w:storeItemID="{068625C3-B546-44A5-B525-B7CC092E5AD6}"/>
                              <w:text/>
                            </w:sdtPr>
                            <w:sdtEndPr/>
                            <w:sdtContent>
                              <w:r w:rsidR="006973D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077812E" w14:textId="68B317CB" w:rsidR="00244011" w:rsidRDefault="002B7D2A" w:rsidP="00A118D8">
                    <w:pPr>
                      <w:pStyle w:val="Brdtext"/>
                      <w:jc w:val="left"/>
                    </w:pPr>
                    <w:sdt>
                      <w:sdtPr>
                        <w:alias w:val="NummerEtikett"/>
                        <w:tag w:val="NummerEtikett"/>
                        <w:id w:val="-1488551284"/>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86226769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740EF1A4" w14:textId="65BC623A" w:rsidR="00A050BF" w:rsidRPr="00C7375F" w:rsidRDefault="002B7D2A" w:rsidP="00C7375F">
                    <w:pPr>
                      <w:pStyle w:val="Brdtext"/>
                    </w:pPr>
                    <w:sdt>
                      <w:sdtPr>
                        <w:alias w:val="BilageEtikett"/>
                        <w:tag w:val="BilageEtikett"/>
                        <w:id w:val="-122616228"/>
                        <w:lock w:val="sdtContentLocked"/>
                        <w:dataBinding w:prefixMappings="xmlns:ns0='http://rkdhs/mallar/lagstiftning/Prop/Prop.xsd'" w:xpath="/ns0:dokumentvärden[1]/ns0:bilagor[1]/ns0:bilaga[3]/@bilageetikett" w:storeItemID="{068625C3-B546-44A5-B525-B7CC092E5AD6}"/>
                        <w:text/>
                      </w:sdtPr>
                      <w:sdtEndPr/>
                      <w:sdtContent>
                        <w:r w:rsidR="006973D1">
                          <w:t>Bilaga</w:t>
                        </w:r>
                      </w:sdtContent>
                    </w:sdt>
                    <w:r w:rsidR="00A050BF">
                      <w:t xml:space="preserve"> </w:t>
                    </w:r>
                    <w:sdt>
                      <w:sdtPr>
                        <w:alias w:val="BilageNummer"/>
                        <w:tag w:val="BilageNummer"/>
                        <w:id w:val="1408653046"/>
                        <w:lock w:val="sdtContentLocked"/>
                        <w:dataBinding w:prefixMappings="xmlns:ns0='http://rkdhs/mallar/lagstiftning/Prop/Prop.xsd'" w:xpath="/ns0:dokumentvärden[1]/ns0:bilagor[1]/ns0:bilaga[3]/@bilagenummer" w:storeItemID="{068625C3-B546-44A5-B525-B7CC092E5AD6}"/>
                        <w:text/>
                      </w:sdtPr>
                      <w:sdtEndPr/>
                      <w:sdtContent>
                        <w:r w:rsidR="006973D1">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2690"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36763"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D2C3F" w14:textId="7CF07DCE" w:rsidR="00244011" w:rsidRDefault="00753190" w:rsidP="00664D04">
                          <w:pPr>
                            <w:pStyle w:val="Brdtext"/>
                            <w:jc w:val="left"/>
                          </w:pPr>
                          <w:sdt>
                            <w:sdtPr>
                              <w:alias w:val="NummerEtikett"/>
                              <w:tag w:val="NummerEtikett"/>
                              <w:id w:val="32602166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87939013"/>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6B5B6D62" w14:textId="32D25BC8" w:rsidR="00A050BF" w:rsidRPr="00C7375F" w:rsidRDefault="00753190" w:rsidP="00C7375F">
                          <w:pPr>
                            <w:pStyle w:val="Brdtext"/>
                          </w:pPr>
                          <w:sdt>
                            <w:sdtPr>
                              <w:alias w:val="BilageEtikett"/>
                              <w:tag w:val="BilageEtikett"/>
                              <w:id w:val="1526749103"/>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718167909"/>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9D2C3F" w14:textId="7CF07DCE" w:rsidR="00244011" w:rsidRDefault="002B7D2A" w:rsidP="00664D04">
                    <w:pPr>
                      <w:pStyle w:val="Brdtext"/>
                      <w:jc w:val="left"/>
                    </w:pPr>
                    <w:sdt>
                      <w:sdtPr>
                        <w:alias w:val="NummerEtikett"/>
                        <w:tag w:val="NummerEtikett"/>
                        <w:id w:val="326021668"/>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87939013"/>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6B5B6D62" w14:textId="32D25BC8" w:rsidR="00A050BF" w:rsidRPr="00C7375F" w:rsidRDefault="002B7D2A" w:rsidP="00C7375F">
                    <w:pPr>
                      <w:pStyle w:val="Brdtext"/>
                    </w:pPr>
                    <w:sdt>
                      <w:sdtPr>
                        <w:alias w:val="BilageEtikett"/>
                        <w:tag w:val="BilageEtikett"/>
                        <w:id w:val="1526749103"/>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718167909"/>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5635D"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F1C85" w14:textId="65925509" w:rsidR="00244011" w:rsidRDefault="00753190" w:rsidP="00A118D8">
                          <w:pPr>
                            <w:pStyle w:val="Brdtext"/>
                            <w:jc w:val="left"/>
                          </w:pPr>
                          <w:sdt>
                            <w:sdtPr>
                              <w:alias w:val="NummerEtikett"/>
                              <w:tag w:val="NummerEtikett"/>
                              <w:id w:val="-6433593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0267018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6CBEA9EA" w14:textId="6ECAEFF4" w:rsidR="00A050BF" w:rsidRPr="00C7375F" w:rsidRDefault="00753190" w:rsidP="00C7375F">
                          <w:pPr>
                            <w:pStyle w:val="Brdtext"/>
                          </w:pPr>
                          <w:sdt>
                            <w:sdtPr>
                              <w:alias w:val="BilageEtikett"/>
                              <w:tag w:val="BilageEtikett"/>
                              <w:id w:val="-753749686"/>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819038121"/>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79F1C85" w14:textId="65925509" w:rsidR="00244011" w:rsidRDefault="002B7D2A" w:rsidP="00A118D8">
                    <w:pPr>
                      <w:pStyle w:val="Brdtext"/>
                      <w:jc w:val="left"/>
                    </w:pPr>
                    <w:sdt>
                      <w:sdtPr>
                        <w:alias w:val="NummerEtikett"/>
                        <w:tag w:val="NummerEtikett"/>
                        <w:id w:val="-6433593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0267018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6CBEA9EA" w14:textId="6ECAEFF4" w:rsidR="00A050BF" w:rsidRPr="00C7375F" w:rsidRDefault="002B7D2A" w:rsidP="00C7375F">
                    <w:pPr>
                      <w:pStyle w:val="Brdtext"/>
                    </w:pPr>
                    <w:sdt>
                      <w:sdtPr>
                        <w:alias w:val="BilageEtikett"/>
                        <w:tag w:val="BilageEtikett"/>
                        <w:id w:val="-753749686"/>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819038121"/>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5D88F"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AE42C"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3D190" w14:textId="40FDCA7D" w:rsidR="00244011" w:rsidRDefault="00753190" w:rsidP="00664D04">
                          <w:pPr>
                            <w:pStyle w:val="Brdtext"/>
                            <w:jc w:val="left"/>
                          </w:pPr>
                          <w:sdt>
                            <w:sdtPr>
                              <w:alias w:val="NummerEtikett"/>
                              <w:tag w:val="NummerEtikett"/>
                              <w:id w:val="-1548300560"/>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65109974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DC58F2E" w14:textId="744975F9" w:rsidR="00A050BF" w:rsidRPr="00C7375F" w:rsidRDefault="00753190" w:rsidP="00C7375F">
                          <w:pPr>
                            <w:pStyle w:val="Brdtext"/>
                          </w:pPr>
                          <w:sdt>
                            <w:sdtPr>
                              <w:alias w:val="BilageEtikett"/>
                              <w:tag w:val="BilageEtikett"/>
                              <w:id w:val="1579546131"/>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14084970"/>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93D190" w14:textId="40FDCA7D" w:rsidR="00244011" w:rsidRDefault="002B7D2A" w:rsidP="00664D04">
                    <w:pPr>
                      <w:pStyle w:val="Brdtext"/>
                      <w:jc w:val="left"/>
                    </w:pPr>
                    <w:sdt>
                      <w:sdtPr>
                        <w:alias w:val="NummerEtikett"/>
                        <w:tag w:val="NummerEtikett"/>
                        <w:id w:val="-1548300560"/>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65109974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4DC58F2E" w14:textId="744975F9" w:rsidR="00A050BF" w:rsidRPr="00C7375F" w:rsidRDefault="002B7D2A" w:rsidP="00C7375F">
                    <w:pPr>
                      <w:pStyle w:val="Brdtext"/>
                    </w:pPr>
                    <w:sdt>
                      <w:sdtPr>
                        <w:alias w:val="BilageEtikett"/>
                        <w:tag w:val="BilageEtikett"/>
                        <w:id w:val="1579546131"/>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14084970"/>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7FC40"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178AF" w14:textId="3ECB9E2D" w:rsidR="00244011" w:rsidRDefault="00753190" w:rsidP="00A118D8">
                          <w:pPr>
                            <w:pStyle w:val="Brdtext"/>
                            <w:jc w:val="left"/>
                          </w:pPr>
                          <w:sdt>
                            <w:sdtPr>
                              <w:alias w:val="NummerEtikett"/>
                              <w:tag w:val="NummerEtikett"/>
                              <w:id w:val="-139889305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2834931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78CADE5" w14:textId="491E8959" w:rsidR="00A050BF" w:rsidRPr="00C7375F" w:rsidRDefault="00753190" w:rsidP="00C7375F">
                          <w:pPr>
                            <w:pStyle w:val="Brdtext"/>
                          </w:pPr>
                          <w:sdt>
                            <w:sdtPr>
                              <w:alias w:val="BilageEtikett"/>
                              <w:tag w:val="BilageEtikett"/>
                              <w:id w:val="-1779477353"/>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2145541852"/>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11178AF" w14:textId="3ECB9E2D" w:rsidR="00244011" w:rsidRDefault="002B7D2A" w:rsidP="00A118D8">
                    <w:pPr>
                      <w:pStyle w:val="Brdtext"/>
                      <w:jc w:val="left"/>
                    </w:pPr>
                    <w:sdt>
                      <w:sdtPr>
                        <w:alias w:val="NummerEtikett"/>
                        <w:tag w:val="NummerEtikett"/>
                        <w:id w:val="-139889305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628349311"/>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78CADE5" w14:textId="491E8959" w:rsidR="00A050BF" w:rsidRPr="00C7375F" w:rsidRDefault="002B7D2A" w:rsidP="00C7375F">
                    <w:pPr>
                      <w:pStyle w:val="Brdtext"/>
                    </w:pPr>
                    <w:sdt>
                      <w:sdtPr>
                        <w:alias w:val="BilageEtikett"/>
                        <w:tag w:val="BilageEtikett"/>
                        <w:id w:val="-1779477353"/>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2145541852"/>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1A95A"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F0EC5" w14:textId="5C1976B0" w:rsidR="00244011" w:rsidRDefault="00753190" w:rsidP="00664D04">
                          <w:pPr>
                            <w:pStyle w:val="Brdtext"/>
                            <w:jc w:val="left"/>
                          </w:pPr>
                          <w:sdt>
                            <w:sdtPr>
                              <w:alias w:val="NummerEtikett"/>
                              <w:tag w:val="NummerEtikett"/>
                              <w:id w:val="-45842559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3905285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2E60068D" w14:textId="010F1395" w:rsidR="00A050BF" w:rsidRPr="00C7375F" w:rsidRDefault="00753190" w:rsidP="00C7375F">
                          <w:pPr>
                            <w:pStyle w:val="Brdtext"/>
                          </w:pPr>
                          <w:sdt>
                            <w:sdtPr>
                              <w:alias w:val="BilageEtikett"/>
                              <w:tag w:val="BilageEtikett"/>
                              <w:id w:val="1775211416"/>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43304794"/>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22F0EC5" w14:textId="5C1976B0" w:rsidR="00244011" w:rsidRDefault="002B7D2A" w:rsidP="00664D04">
                    <w:pPr>
                      <w:pStyle w:val="Brdtext"/>
                      <w:jc w:val="left"/>
                    </w:pPr>
                    <w:sdt>
                      <w:sdtPr>
                        <w:alias w:val="NummerEtikett"/>
                        <w:tag w:val="NummerEtikett"/>
                        <w:id w:val="-45842559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3905285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2E60068D" w14:textId="010F1395" w:rsidR="00A050BF" w:rsidRPr="00C7375F" w:rsidRDefault="002B7D2A" w:rsidP="00C7375F">
                    <w:pPr>
                      <w:pStyle w:val="Brdtext"/>
                    </w:pPr>
                    <w:sdt>
                      <w:sdtPr>
                        <w:alias w:val="BilageEtikett"/>
                        <w:tag w:val="BilageEtikett"/>
                        <w:id w:val="1775211416"/>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43304794"/>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5D5D4"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79DAD" w14:textId="7285CD3F" w:rsidR="00244011" w:rsidRDefault="00753190" w:rsidP="00A118D8">
                          <w:pPr>
                            <w:pStyle w:val="Brdtext"/>
                            <w:jc w:val="left"/>
                          </w:pPr>
                          <w:sdt>
                            <w:sdtPr>
                              <w:alias w:val="NummerEtikett"/>
                              <w:tag w:val="NummerEtikett"/>
                              <w:id w:val="154672235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5937616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2F858CE" w14:textId="4F11C778" w:rsidR="00A050BF" w:rsidRPr="00C7375F" w:rsidRDefault="00753190" w:rsidP="00C7375F">
                          <w:pPr>
                            <w:pStyle w:val="Brdtext"/>
                          </w:pPr>
                          <w:sdt>
                            <w:sdtPr>
                              <w:alias w:val="BilageEtikett"/>
                              <w:tag w:val="BilageEtikett"/>
                              <w:id w:val="-1192840479"/>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289968381"/>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C679DAD" w14:textId="7285CD3F" w:rsidR="00244011" w:rsidRDefault="002B7D2A" w:rsidP="00A118D8">
                    <w:pPr>
                      <w:pStyle w:val="Brdtext"/>
                      <w:jc w:val="left"/>
                    </w:pPr>
                    <w:sdt>
                      <w:sdtPr>
                        <w:alias w:val="NummerEtikett"/>
                        <w:tag w:val="NummerEtikett"/>
                        <w:id w:val="154672235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95937616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2F858CE" w14:textId="4F11C778" w:rsidR="00A050BF" w:rsidRPr="00C7375F" w:rsidRDefault="002B7D2A" w:rsidP="00C7375F">
                    <w:pPr>
                      <w:pStyle w:val="Brdtext"/>
                    </w:pPr>
                    <w:sdt>
                      <w:sdtPr>
                        <w:alias w:val="BilageEtikett"/>
                        <w:tag w:val="BilageEtikett"/>
                        <w:id w:val="-1192840479"/>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289968381"/>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F2DC5"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1E0DB" w14:textId="6934166A" w:rsidR="00244011" w:rsidRDefault="00753190" w:rsidP="00664D04">
                          <w:pPr>
                            <w:pStyle w:val="Brdtext"/>
                            <w:jc w:val="left"/>
                          </w:pPr>
                          <w:sdt>
                            <w:sdtPr>
                              <w:alias w:val="NummerEtikett"/>
                              <w:tag w:val="NummerEtikett"/>
                              <w:id w:val="-129659748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1549223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383D5E1C" w14:textId="38560269" w:rsidR="00A050BF" w:rsidRPr="00C7375F" w:rsidRDefault="00753190" w:rsidP="00C7375F">
                          <w:pPr>
                            <w:pStyle w:val="Brdtext"/>
                          </w:pPr>
                          <w:sdt>
                            <w:sdtPr>
                              <w:alias w:val="BilageEtikett"/>
                              <w:tag w:val="BilageEtikett"/>
                              <w:id w:val="1252007602"/>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296991284"/>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B41E0DB" w14:textId="6934166A" w:rsidR="00244011" w:rsidRDefault="002B7D2A" w:rsidP="00664D04">
                    <w:pPr>
                      <w:pStyle w:val="Brdtext"/>
                      <w:jc w:val="left"/>
                    </w:pPr>
                    <w:sdt>
                      <w:sdtPr>
                        <w:alias w:val="NummerEtikett"/>
                        <w:tag w:val="NummerEtikett"/>
                        <w:id w:val="-1296597483"/>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11549223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383D5E1C" w14:textId="38560269" w:rsidR="00A050BF" w:rsidRPr="00C7375F" w:rsidRDefault="002B7D2A" w:rsidP="00C7375F">
                    <w:pPr>
                      <w:pStyle w:val="Brdtext"/>
                    </w:pPr>
                    <w:sdt>
                      <w:sdtPr>
                        <w:alias w:val="BilageEtikett"/>
                        <w:tag w:val="BilageEtikett"/>
                        <w:id w:val="1252007602"/>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296991284"/>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E071"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F8776" w14:textId="32FFBE33" w:rsidR="00244011" w:rsidRDefault="00753190" w:rsidP="00A118D8">
                          <w:pPr>
                            <w:pStyle w:val="Brdtext"/>
                            <w:jc w:val="left"/>
                          </w:pPr>
                          <w:sdt>
                            <w:sdtPr>
                              <w:alias w:val="NummerEtikett"/>
                              <w:tag w:val="NummerEtikett"/>
                              <w:id w:val="-172435905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46505068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6BC8432" w14:textId="6827F115" w:rsidR="00A050BF" w:rsidRPr="00C7375F" w:rsidRDefault="00753190" w:rsidP="00C7375F">
                          <w:pPr>
                            <w:pStyle w:val="Brdtext"/>
                          </w:pPr>
                          <w:sdt>
                            <w:sdtPr>
                              <w:alias w:val="BilageEtikett"/>
                              <w:tag w:val="BilageEtikett"/>
                              <w:id w:val="-1303386494"/>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73811406"/>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1F8776" w14:textId="32FFBE33" w:rsidR="00244011" w:rsidRDefault="002B7D2A" w:rsidP="00A118D8">
                    <w:pPr>
                      <w:pStyle w:val="Brdtext"/>
                      <w:jc w:val="left"/>
                    </w:pPr>
                    <w:sdt>
                      <w:sdtPr>
                        <w:alias w:val="NummerEtikett"/>
                        <w:tag w:val="NummerEtikett"/>
                        <w:id w:val="-1724359059"/>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465050685"/>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16BC8432" w14:textId="6827F115" w:rsidR="00A050BF" w:rsidRPr="00C7375F" w:rsidRDefault="002B7D2A" w:rsidP="00C7375F">
                    <w:pPr>
                      <w:pStyle w:val="Brdtext"/>
                    </w:pPr>
                    <w:sdt>
                      <w:sdtPr>
                        <w:alias w:val="BilageEtikett"/>
                        <w:tag w:val="BilageEtikett"/>
                        <w:id w:val="-1303386494"/>
                        <w:lock w:val="sdtContentLocked"/>
                        <w:dataBinding w:prefixMappings="xmlns:ns0='http://rkdhs/mallar/lagstiftning/Prop/Prop.xsd'" w:xpath="/ns0:dokumentvärden[1]/ns0:bilagor[1]/ns0:bilaga[4]/@bilageetikett" w:storeItemID="{068625C3-B546-44A5-B525-B7CC092E5AD6}"/>
                        <w:text/>
                      </w:sdtPr>
                      <w:sdtEndPr/>
                      <w:sdtContent>
                        <w:r w:rsidR="006973D1">
                          <w:t>Bilaga</w:t>
                        </w:r>
                      </w:sdtContent>
                    </w:sdt>
                    <w:r w:rsidR="00A050BF">
                      <w:t xml:space="preserve"> </w:t>
                    </w:r>
                    <w:sdt>
                      <w:sdtPr>
                        <w:alias w:val="BilageNummer"/>
                        <w:tag w:val="BilageNummer"/>
                        <w:id w:val="1873811406"/>
                        <w:lock w:val="sdtContentLocked"/>
                        <w:dataBinding w:prefixMappings="xmlns:ns0='http://rkdhs/mallar/lagstiftning/Prop/Prop.xsd'" w:xpath="/ns0:dokumentvärden[1]/ns0:bilagor[1]/ns0:bilaga[4]/@bilagenummer" w:storeItemID="{068625C3-B546-44A5-B525-B7CC092E5AD6}"/>
                        <w:text/>
                      </w:sdtPr>
                      <w:sdtEndPr/>
                      <w:sdtContent>
                        <w:r w:rsidR="006973D1">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7FBF"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BA901" w14:textId="17B4C2F0" w:rsidR="00244011" w:rsidRDefault="00753190" w:rsidP="00664D04">
                          <w:pPr>
                            <w:pStyle w:val="Brdtext"/>
                            <w:jc w:val="left"/>
                          </w:pPr>
                          <w:sdt>
                            <w:sdtPr>
                              <w:alias w:val="NummerEtikett"/>
                              <w:tag w:val="NummerEtikett"/>
                              <w:id w:val="66051094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09019051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33198565" w14:textId="49FF0D74" w:rsidR="00A050BF" w:rsidRPr="00C7375F" w:rsidRDefault="00753190" w:rsidP="00C7375F">
                          <w:pPr>
                            <w:pStyle w:val="Brdtext"/>
                          </w:pPr>
                          <w:sdt>
                            <w:sdtPr>
                              <w:alias w:val="BilageEtikett"/>
                              <w:tag w:val="BilageEtikett"/>
                              <w:id w:val="-365062589"/>
                              <w:lock w:val="sdtContentLocked"/>
                              <w:dataBinding w:prefixMappings="xmlns:ns0='http://rkdhs/mallar/lagstiftning/Prop/Prop.xsd'" w:xpath="/ns0:dokumentvärden[1]/ns0:bilagor[1]/ns0:bilaga[5]/@bilageetikett" w:storeItemID="{068625C3-B546-44A5-B525-B7CC092E5AD6}"/>
                              <w:text/>
                            </w:sdtPr>
                            <w:sdtEndPr/>
                            <w:sdtContent>
                              <w:r w:rsidR="006973D1">
                                <w:t>Bilaga</w:t>
                              </w:r>
                            </w:sdtContent>
                          </w:sdt>
                          <w:r w:rsidR="00A050BF">
                            <w:t xml:space="preserve"> </w:t>
                          </w:r>
                          <w:sdt>
                            <w:sdtPr>
                              <w:alias w:val="BilageNummer"/>
                              <w:tag w:val="BilageNummer"/>
                              <w:id w:val="-130639986"/>
                              <w:lock w:val="sdtContentLocked"/>
                              <w:dataBinding w:prefixMappings="xmlns:ns0='http://rkdhs/mallar/lagstiftning/Prop/Prop.xsd'" w:xpath="/ns0:dokumentvärden[1]/ns0:bilagor[1]/ns0:bilaga[5]/@bilagenummer" w:storeItemID="{068625C3-B546-44A5-B525-B7CC092E5AD6}"/>
                              <w:text/>
                            </w:sdtPr>
                            <w:sdtEndPr/>
                            <w:sdtContent>
                              <w:r w:rsidR="006973D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99BA901" w14:textId="17B4C2F0" w:rsidR="00244011" w:rsidRDefault="002B7D2A" w:rsidP="00664D04">
                    <w:pPr>
                      <w:pStyle w:val="Brdtext"/>
                      <w:jc w:val="left"/>
                    </w:pPr>
                    <w:sdt>
                      <w:sdtPr>
                        <w:alias w:val="NummerEtikett"/>
                        <w:tag w:val="NummerEtikett"/>
                        <w:id w:val="660510945"/>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09019051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33198565" w14:textId="49FF0D74" w:rsidR="00A050BF" w:rsidRPr="00C7375F" w:rsidRDefault="002B7D2A" w:rsidP="00C7375F">
                    <w:pPr>
                      <w:pStyle w:val="Brdtext"/>
                    </w:pPr>
                    <w:sdt>
                      <w:sdtPr>
                        <w:alias w:val="BilageEtikett"/>
                        <w:tag w:val="BilageEtikett"/>
                        <w:id w:val="-365062589"/>
                        <w:lock w:val="sdtContentLocked"/>
                        <w:dataBinding w:prefixMappings="xmlns:ns0='http://rkdhs/mallar/lagstiftning/Prop/Prop.xsd'" w:xpath="/ns0:dokumentvärden[1]/ns0:bilagor[1]/ns0:bilaga[5]/@bilageetikett" w:storeItemID="{068625C3-B546-44A5-B525-B7CC092E5AD6}"/>
                        <w:text/>
                      </w:sdtPr>
                      <w:sdtEndPr/>
                      <w:sdtContent>
                        <w:r w:rsidR="006973D1">
                          <w:t>Bilaga</w:t>
                        </w:r>
                      </w:sdtContent>
                    </w:sdt>
                    <w:r w:rsidR="00A050BF">
                      <w:t xml:space="preserve"> </w:t>
                    </w:r>
                    <w:sdt>
                      <w:sdtPr>
                        <w:alias w:val="BilageNummer"/>
                        <w:tag w:val="BilageNummer"/>
                        <w:id w:val="-130639986"/>
                        <w:lock w:val="sdtContentLocked"/>
                        <w:dataBinding w:prefixMappings="xmlns:ns0='http://rkdhs/mallar/lagstiftning/Prop/Prop.xsd'" w:xpath="/ns0:dokumentvärden[1]/ns0:bilagor[1]/ns0:bilaga[5]/@bilagenummer" w:storeItemID="{068625C3-B546-44A5-B525-B7CC092E5AD6}"/>
                        <w:text/>
                      </w:sdtPr>
                      <w:sdtEndPr/>
                      <w:sdtContent>
                        <w:r w:rsidR="006973D1">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BFC2"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3F43A" w14:textId="029E064A" w:rsidR="00244011" w:rsidRDefault="00753190" w:rsidP="00A118D8">
                          <w:pPr>
                            <w:pStyle w:val="Brdtext"/>
                            <w:jc w:val="left"/>
                          </w:pPr>
                          <w:sdt>
                            <w:sdtPr>
                              <w:alias w:val="NummerEtikett"/>
                              <w:tag w:val="NummerEtikett"/>
                              <w:id w:val="55536133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9204235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5DD5570" w14:textId="09180663" w:rsidR="00A050BF" w:rsidRPr="00C7375F" w:rsidRDefault="00753190" w:rsidP="00C7375F">
                          <w:pPr>
                            <w:pStyle w:val="Brdtext"/>
                          </w:pPr>
                          <w:sdt>
                            <w:sdtPr>
                              <w:alias w:val="BilageEtikett"/>
                              <w:tag w:val="BilageEtikett"/>
                              <w:id w:val="1313223221"/>
                              <w:lock w:val="sdtContentLocked"/>
                              <w:dataBinding w:prefixMappings="xmlns:ns0='http://rkdhs/mallar/lagstiftning/Prop/Prop.xsd'" w:xpath="/ns0:dokumentvärden[1]/ns0:bilagor[1]/ns0:bilaga[5]/@bilageetikett" w:storeItemID="{068625C3-B546-44A5-B525-B7CC092E5AD6}"/>
                              <w:text/>
                            </w:sdtPr>
                            <w:sdtEndPr/>
                            <w:sdtContent>
                              <w:r w:rsidR="006973D1">
                                <w:t>Bilaga</w:t>
                              </w:r>
                            </w:sdtContent>
                          </w:sdt>
                          <w:r w:rsidR="00A050BF">
                            <w:t xml:space="preserve"> </w:t>
                          </w:r>
                          <w:sdt>
                            <w:sdtPr>
                              <w:alias w:val="BilageNummer"/>
                              <w:tag w:val="BilageNummer"/>
                              <w:id w:val="1508023085"/>
                              <w:lock w:val="sdtContentLocked"/>
                              <w:dataBinding w:prefixMappings="xmlns:ns0='http://rkdhs/mallar/lagstiftning/Prop/Prop.xsd'" w:xpath="/ns0:dokumentvärden[1]/ns0:bilagor[1]/ns0:bilaga[5]/@bilagenummer" w:storeItemID="{068625C3-B546-44A5-B525-B7CC092E5AD6}"/>
                              <w:text/>
                            </w:sdtPr>
                            <w:sdtEndPr/>
                            <w:sdtContent>
                              <w:r w:rsidR="006973D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13F43A" w14:textId="029E064A" w:rsidR="00244011" w:rsidRDefault="002B7D2A" w:rsidP="00A118D8">
                    <w:pPr>
                      <w:pStyle w:val="Brdtext"/>
                      <w:jc w:val="left"/>
                    </w:pPr>
                    <w:sdt>
                      <w:sdtPr>
                        <w:alias w:val="NummerEtikett"/>
                        <w:tag w:val="NummerEtikett"/>
                        <w:id w:val="55536133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92042356"/>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p w14:paraId="55DD5570" w14:textId="09180663" w:rsidR="00A050BF" w:rsidRPr="00C7375F" w:rsidRDefault="002B7D2A" w:rsidP="00C7375F">
                    <w:pPr>
                      <w:pStyle w:val="Brdtext"/>
                    </w:pPr>
                    <w:sdt>
                      <w:sdtPr>
                        <w:alias w:val="BilageEtikett"/>
                        <w:tag w:val="BilageEtikett"/>
                        <w:id w:val="1313223221"/>
                        <w:lock w:val="sdtContentLocked"/>
                        <w:dataBinding w:prefixMappings="xmlns:ns0='http://rkdhs/mallar/lagstiftning/Prop/Prop.xsd'" w:xpath="/ns0:dokumentvärden[1]/ns0:bilagor[1]/ns0:bilaga[5]/@bilageetikett" w:storeItemID="{068625C3-B546-44A5-B525-B7CC092E5AD6}"/>
                        <w:text/>
                      </w:sdtPr>
                      <w:sdtEndPr/>
                      <w:sdtContent>
                        <w:r w:rsidR="006973D1">
                          <w:t>Bilaga</w:t>
                        </w:r>
                      </w:sdtContent>
                    </w:sdt>
                    <w:r w:rsidR="00A050BF">
                      <w:t xml:space="preserve"> </w:t>
                    </w:r>
                    <w:sdt>
                      <w:sdtPr>
                        <w:alias w:val="BilageNummer"/>
                        <w:tag w:val="BilageNummer"/>
                        <w:id w:val="1508023085"/>
                        <w:lock w:val="sdtContentLocked"/>
                        <w:dataBinding w:prefixMappings="xmlns:ns0='http://rkdhs/mallar/lagstiftning/Prop/Prop.xsd'" w:xpath="/ns0:dokumentvärden[1]/ns0:bilagor[1]/ns0:bilaga[5]/@bilagenummer" w:storeItemID="{068625C3-B546-44A5-B525-B7CC092E5AD6}"/>
                        <w:text/>
                      </w:sdtPr>
                      <w:sdtEndPr/>
                      <w:sdtContent>
                        <w:r w:rsidR="006973D1">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B2B07"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B527E"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86C23" w14:textId="2B67282E" w:rsidR="00244011" w:rsidRPr="00756E21" w:rsidRDefault="00753190" w:rsidP="00664D04">
                          <w:pPr>
                            <w:pStyle w:val="Brdtext"/>
                            <w:jc w:val="left"/>
                          </w:pPr>
                          <w:sdt>
                            <w:sdtPr>
                              <w:alias w:val="NummerEtikett"/>
                              <w:tag w:val="NummerEtikett"/>
                              <w:id w:val="211092835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2062382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7C86C23" w14:textId="2B67282E" w:rsidR="00244011" w:rsidRPr="00756E21" w:rsidRDefault="002B7D2A" w:rsidP="00664D04">
                    <w:pPr>
                      <w:pStyle w:val="Brdtext"/>
                      <w:jc w:val="left"/>
                    </w:pPr>
                    <w:sdt>
                      <w:sdtPr>
                        <w:alias w:val="NummerEtikett"/>
                        <w:tag w:val="NummerEtikett"/>
                        <w:id w:val="2110928351"/>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20623824"/>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716F3"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1C9B6" w14:textId="6ED800AB" w:rsidR="00244011" w:rsidRPr="00756E21" w:rsidRDefault="00753190" w:rsidP="00A118D8">
                          <w:pPr>
                            <w:pStyle w:val="Brdtext"/>
                            <w:jc w:val="left"/>
                          </w:pPr>
                          <w:sdt>
                            <w:sdtPr>
                              <w:alias w:val="NummerEtikett"/>
                              <w:tag w:val="NummerEtikett"/>
                              <w:id w:val="-185132039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2583392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AF1C9B6" w14:textId="6ED800AB" w:rsidR="00244011" w:rsidRPr="00756E21" w:rsidRDefault="002B7D2A" w:rsidP="00A118D8">
                    <w:pPr>
                      <w:pStyle w:val="Brdtext"/>
                      <w:jc w:val="left"/>
                    </w:pPr>
                    <w:sdt>
                      <w:sdtPr>
                        <w:alias w:val="NummerEtikett"/>
                        <w:tag w:val="NummerEtikett"/>
                        <w:id w:val="-1851320396"/>
                        <w:lock w:val="sdtContentLocked"/>
                        <w:dataBinding w:prefixMappings="xmlns:ns0='http://rkdhs/mallar/lagstiftning/Prop/Prop.xsd'" w:xpath="/ns0:dokumentvärden[1]/ns0:dokumentnummer[1]/@etikett" w:storeItemID="{068625C3-B546-44A5-B525-B7CC092E5AD6}"/>
                        <w:text/>
                      </w:sdtPr>
                      <w:sdtEndPr/>
                      <w:sdtContent>
                        <w:r w:rsidR="006973D1">
                          <w:t>Prop.</w:t>
                        </w:r>
                      </w:sdtContent>
                    </w:sdt>
                    <w:r w:rsidR="00244011">
                      <w:t xml:space="preserve"> </w:t>
                    </w:r>
                    <w:sdt>
                      <w:sdtPr>
                        <w:alias w:val="Nummer"/>
                        <w:tag w:val="Nummer"/>
                        <w:id w:val="-1725833922"/>
                        <w:lock w:val="sdtContentLocked"/>
                        <w:dataBinding w:prefixMappings="xmlns:ns0='http://rkdhs/mallar/lagstiftning/Prop/Prop.xsd'" w:xpath="/ns0:dokumentvärden[1]/ns0:dokumentnummer[1]" w:storeItemID="{068625C3-B546-44A5-B525-B7CC092E5AD6}"/>
                        <w:text/>
                      </w:sdtPr>
                      <w:sdtEndPr/>
                      <w:sdtContent>
                        <w:r w:rsidR="00550DEF">
                          <w:t>2025/26:213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83DE9"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172"/>
    <w:rsid w:val="000010F7"/>
    <w:rsid w:val="000023F8"/>
    <w:rsid w:val="000070E2"/>
    <w:rsid w:val="0000783D"/>
    <w:rsid w:val="000106C3"/>
    <w:rsid w:val="00010A13"/>
    <w:rsid w:val="000112FE"/>
    <w:rsid w:val="00012042"/>
    <w:rsid w:val="000127FF"/>
    <w:rsid w:val="00012D86"/>
    <w:rsid w:val="00013272"/>
    <w:rsid w:val="000140A3"/>
    <w:rsid w:val="000163C7"/>
    <w:rsid w:val="000211BF"/>
    <w:rsid w:val="0002180B"/>
    <w:rsid w:val="00023C1A"/>
    <w:rsid w:val="00025171"/>
    <w:rsid w:val="000276E3"/>
    <w:rsid w:val="00027720"/>
    <w:rsid w:val="0003051C"/>
    <w:rsid w:val="00032E6D"/>
    <w:rsid w:val="00034652"/>
    <w:rsid w:val="00037172"/>
    <w:rsid w:val="00040A0F"/>
    <w:rsid w:val="00043AB1"/>
    <w:rsid w:val="00043EBE"/>
    <w:rsid w:val="00044DF3"/>
    <w:rsid w:val="00046417"/>
    <w:rsid w:val="00046ABC"/>
    <w:rsid w:val="00047664"/>
    <w:rsid w:val="00051769"/>
    <w:rsid w:val="00051890"/>
    <w:rsid w:val="00055486"/>
    <w:rsid w:val="00055B72"/>
    <w:rsid w:val="00056037"/>
    <w:rsid w:val="00060992"/>
    <w:rsid w:val="00061989"/>
    <w:rsid w:val="000631A9"/>
    <w:rsid w:val="00064516"/>
    <w:rsid w:val="00066562"/>
    <w:rsid w:val="00067524"/>
    <w:rsid w:val="00070C17"/>
    <w:rsid w:val="00070DFE"/>
    <w:rsid w:val="00072689"/>
    <w:rsid w:val="00072863"/>
    <w:rsid w:val="00075368"/>
    <w:rsid w:val="00075E7B"/>
    <w:rsid w:val="00075F2D"/>
    <w:rsid w:val="000761F8"/>
    <w:rsid w:val="000806A5"/>
    <w:rsid w:val="0008203A"/>
    <w:rsid w:val="0008377F"/>
    <w:rsid w:val="00085593"/>
    <w:rsid w:val="00085ABB"/>
    <w:rsid w:val="00085AEF"/>
    <w:rsid w:val="00085EFF"/>
    <w:rsid w:val="00086DA8"/>
    <w:rsid w:val="000879B3"/>
    <w:rsid w:val="00090E9C"/>
    <w:rsid w:val="0009544E"/>
    <w:rsid w:val="00096CFD"/>
    <w:rsid w:val="000978DE"/>
    <w:rsid w:val="000979E6"/>
    <w:rsid w:val="000A1209"/>
    <w:rsid w:val="000A2ED9"/>
    <w:rsid w:val="000A40DD"/>
    <w:rsid w:val="000A4E11"/>
    <w:rsid w:val="000A6489"/>
    <w:rsid w:val="000A66BE"/>
    <w:rsid w:val="000A6F2D"/>
    <w:rsid w:val="000B3DDA"/>
    <w:rsid w:val="000B630E"/>
    <w:rsid w:val="000B69A1"/>
    <w:rsid w:val="000B7DEE"/>
    <w:rsid w:val="000C0142"/>
    <w:rsid w:val="000C0772"/>
    <w:rsid w:val="000C2243"/>
    <w:rsid w:val="000C5CDD"/>
    <w:rsid w:val="000C5FBA"/>
    <w:rsid w:val="000C6C34"/>
    <w:rsid w:val="000C7233"/>
    <w:rsid w:val="000C79C7"/>
    <w:rsid w:val="000D0981"/>
    <w:rsid w:val="000D3B15"/>
    <w:rsid w:val="000E133A"/>
    <w:rsid w:val="000E19C5"/>
    <w:rsid w:val="000E38AC"/>
    <w:rsid w:val="000E67B7"/>
    <w:rsid w:val="000E6A30"/>
    <w:rsid w:val="000E6C9A"/>
    <w:rsid w:val="000E7DA9"/>
    <w:rsid w:val="000F4DD6"/>
    <w:rsid w:val="000F5628"/>
    <w:rsid w:val="000F5788"/>
    <w:rsid w:val="000F73EB"/>
    <w:rsid w:val="00100D03"/>
    <w:rsid w:val="001028C5"/>
    <w:rsid w:val="00107129"/>
    <w:rsid w:val="00110C85"/>
    <w:rsid w:val="00113CC6"/>
    <w:rsid w:val="00115516"/>
    <w:rsid w:val="00116299"/>
    <w:rsid w:val="001166EB"/>
    <w:rsid w:val="0012094D"/>
    <w:rsid w:val="00120FDD"/>
    <w:rsid w:val="001217B0"/>
    <w:rsid w:val="00122565"/>
    <w:rsid w:val="0012360F"/>
    <w:rsid w:val="00125F18"/>
    <w:rsid w:val="001268F9"/>
    <w:rsid w:val="00127836"/>
    <w:rsid w:val="00131972"/>
    <w:rsid w:val="00132612"/>
    <w:rsid w:val="0013346E"/>
    <w:rsid w:val="0013464D"/>
    <w:rsid w:val="0013498D"/>
    <w:rsid w:val="00135343"/>
    <w:rsid w:val="00137F97"/>
    <w:rsid w:val="00144361"/>
    <w:rsid w:val="001445C6"/>
    <w:rsid w:val="001456A0"/>
    <w:rsid w:val="00145A4A"/>
    <w:rsid w:val="00152749"/>
    <w:rsid w:val="00152BB9"/>
    <w:rsid w:val="001531B4"/>
    <w:rsid w:val="00155500"/>
    <w:rsid w:val="001575AA"/>
    <w:rsid w:val="00157EF7"/>
    <w:rsid w:val="00161E69"/>
    <w:rsid w:val="00162BB7"/>
    <w:rsid w:val="00163056"/>
    <w:rsid w:val="00163D57"/>
    <w:rsid w:val="00166139"/>
    <w:rsid w:val="00173BAE"/>
    <w:rsid w:val="00174E46"/>
    <w:rsid w:val="00175A45"/>
    <w:rsid w:val="00176E54"/>
    <w:rsid w:val="00181DAB"/>
    <w:rsid w:val="00182CAC"/>
    <w:rsid w:val="00184452"/>
    <w:rsid w:val="00185AD6"/>
    <w:rsid w:val="00186929"/>
    <w:rsid w:val="0019074D"/>
    <w:rsid w:val="001939FE"/>
    <w:rsid w:val="00194C95"/>
    <w:rsid w:val="00195571"/>
    <w:rsid w:val="00196757"/>
    <w:rsid w:val="001A0FB9"/>
    <w:rsid w:val="001A465E"/>
    <w:rsid w:val="001A4767"/>
    <w:rsid w:val="001A5048"/>
    <w:rsid w:val="001A5FA0"/>
    <w:rsid w:val="001A6FAB"/>
    <w:rsid w:val="001B1C1C"/>
    <w:rsid w:val="001B36BE"/>
    <w:rsid w:val="001B7CDA"/>
    <w:rsid w:val="001C0D83"/>
    <w:rsid w:val="001C25BF"/>
    <w:rsid w:val="001C4647"/>
    <w:rsid w:val="001D0157"/>
    <w:rsid w:val="001D0638"/>
    <w:rsid w:val="001D1007"/>
    <w:rsid w:val="001D2B7C"/>
    <w:rsid w:val="001D3465"/>
    <w:rsid w:val="001D4287"/>
    <w:rsid w:val="001D6650"/>
    <w:rsid w:val="001D7CBF"/>
    <w:rsid w:val="001D7D3E"/>
    <w:rsid w:val="001E37F0"/>
    <w:rsid w:val="001E43C9"/>
    <w:rsid w:val="001E4AE4"/>
    <w:rsid w:val="001E7634"/>
    <w:rsid w:val="001F0E82"/>
    <w:rsid w:val="001F1212"/>
    <w:rsid w:val="001F5CE5"/>
    <w:rsid w:val="001F782A"/>
    <w:rsid w:val="002001F8"/>
    <w:rsid w:val="00200A69"/>
    <w:rsid w:val="0020278B"/>
    <w:rsid w:val="00203904"/>
    <w:rsid w:val="00203FAB"/>
    <w:rsid w:val="0020543F"/>
    <w:rsid w:val="002063F1"/>
    <w:rsid w:val="00206B9F"/>
    <w:rsid w:val="00211E15"/>
    <w:rsid w:val="002132D5"/>
    <w:rsid w:val="002157F4"/>
    <w:rsid w:val="00217CAA"/>
    <w:rsid w:val="00220319"/>
    <w:rsid w:val="0022086D"/>
    <w:rsid w:val="00226C1F"/>
    <w:rsid w:val="00227DDF"/>
    <w:rsid w:val="00231BD3"/>
    <w:rsid w:val="00232C1C"/>
    <w:rsid w:val="00233E31"/>
    <w:rsid w:val="00234502"/>
    <w:rsid w:val="00235765"/>
    <w:rsid w:val="002367E5"/>
    <w:rsid w:val="002405D8"/>
    <w:rsid w:val="0024101E"/>
    <w:rsid w:val="00243B93"/>
    <w:rsid w:val="00244011"/>
    <w:rsid w:val="00244906"/>
    <w:rsid w:val="00244EB4"/>
    <w:rsid w:val="00245B7F"/>
    <w:rsid w:val="00246D3B"/>
    <w:rsid w:val="002510FC"/>
    <w:rsid w:val="00252C4D"/>
    <w:rsid w:val="002531FA"/>
    <w:rsid w:val="002558C8"/>
    <w:rsid w:val="002603EF"/>
    <w:rsid w:val="00263274"/>
    <w:rsid w:val="00263817"/>
    <w:rsid w:val="002675C4"/>
    <w:rsid w:val="00272992"/>
    <w:rsid w:val="0027703A"/>
    <w:rsid w:val="002818CA"/>
    <w:rsid w:val="00281DEE"/>
    <w:rsid w:val="002835B0"/>
    <w:rsid w:val="00283EAE"/>
    <w:rsid w:val="002859A1"/>
    <w:rsid w:val="00285A6F"/>
    <w:rsid w:val="00287045"/>
    <w:rsid w:val="00290255"/>
    <w:rsid w:val="0029293D"/>
    <w:rsid w:val="00292E0F"/>
    <w:rsid w:val="00294B19"/>
    <w:rsid w:val="00295225"/>
    <w:rsid w:val="00295C59"/>
    <w:rsid w:val="00297A80"/>
    <w:rsid w:val="002A1E80"/>
    <w:rsid w:val="002A2948"/>
    <w:rsid w:val="002A4FFE"/>
    <w:rsid w:val="002A6BD0"/>
    <w:rsid w:val="002B01BF"/>
    <w:rsid w:val="002B12FD"/>
    <w:rsid w:val="002B7EB5"/>
    <w:rsid w:val="002C0961"/>
    <w:rsid w:val="002C14EF"/>
    <w:rsid w:val="002C167E"/>
    <w:rsid w:val="002C1EBF"/>
    <w:rsid w:val="002C205B"/>
    <w:rsid w:val="002C49A5"/>
    <w:rsid w:val="002C5B5D"/>
    <w:rsid w:val="002D0084"/>
    <w:rsid w:val="002D0119"/>
    <w:rsid w:val="002D09C9"/>
    <w:rsid w:val="002D2ED8"/>
    <w:rsid w:val="002D6A16"/>
    <w:rsid w:val="002E0966"/>
    <w:rsid w:val="002E219E"/>
    <w:rsid w:val="002E3C3C"/>
    <w:rsid w:val="002E4CEB"/>
    <w:rsid w:val="002E57AD"/>
    <w:rsid w:val="002E5F6A"/>
    <w:rsid w:val="002E60D4"/>
    <w:rsid w:val="002E7485"/>
    <w:rsid w:val="002F073E"/>
    <w:rsid w:val="002F153A"/>
    <w:rsid w:val="002F427B"/>
    <w:rsid w:val="002F434A"/>
    <w:rsid w:val="002F4A14"/>
    <w:rsid w:val="002F4DD9"/>
    <w:rsid w:val="0030548A"/>
    <w:rsid w:val="0031012B"/>
    <w:rsid w:val="00312E5A"/>
    <w:rsid w:val="00314970"/>
    <w:rsid w:val="00317CC4"/>
    <w:rsid w:val="00320896"/>
    <w:rsid w:val="00327E6C"/>
    <w:rsid w:val="00332455"/>
    <w:rsid w:val="003324CC"/>
    <w:rsid w:val="00332DE2"/>
    <w:rsid w:val="00336F52"/>
    <w:rsid w:val="0034001E"/>
    <w:rsid w:val="00342845"/>
    <w:rsid w:val="00342D4D"/>
    <w:rsid w:val="003437B0"/>
    <w:rsid w:val="00344E28"/>
    <w:rsid w:val="0034791C"/>
    <w:rsid w:val="00347C33"/>
    <w:rsid w:val="00351E66"/>
    <w:rsid w:val="0035347F"/>
    <w:rsid w:val="0035356C"/>
    <w:rsid w:val="00355582"/>
    <w:rsid w:val="003559D0"/>
    <w:rsid w:val="003605D4"/>
    <w:rsid w:val="00360677"/>
    <w:rsid w:val="003612EA"/>
    <w:rsid w:val="00361ABA"/>
    <w:rsid w:val="00362009"/>
    <w:rsid w:val="00362B62"/>
    <w:rsid w:val="0037021E"/>
    <w:rsid w:val="00371D07"/>
    <w:rsid w:val="003737D5"/>
    <w:rsid w:val="00376669"/>
    <w:rsid w:val="00377CCE"/>
    <w:rsid w:val="00381C02"/>
    <w:rsid w:val="003836AC"/>
    <w:rsid w:val="0038460A"/>
    <w:rsid w:val="0038525D"/>
    <w:rsid w:val="00385C7A"/>
    <w:rsid w:val="0038735C"/>
    <w:rsid w:val="00390683"/>
    <w:rsid w:val="00390A6D"/>
    <w:rsid w:val="0039689B"/>
    <w:rsid w:val="00397521"/>
    <w:rsid w:val="003A1544"/>
    <w:rsid w:val="003A4BC3"/>
    <w:rsid w:val="003A600F"/>
    <w:rsid w:val="003B024C"/>
    <w:rsid w:val="003B0EF7"/>
    <w:rsid w:val="003B10D7"/>
    <w:rsid w:val="003B26C6"/>
    <w:rsid w:val="003B4FB9"/>
    <w:rsid w:val="003B5848"/>
    <w:rsid w:val="003B5B7C"/>
    <w:rsid w:val="003B735E"/>
    <w:rsid w:val="003C0194"/>
    <w:rsid w:val="003C1841"/>
    <w:rsid w:val="003C1EC7"/>
    <w:rsid w:val="003C266B"/>
    <w:rsid w:val="003C2D6F"/>
    <w:rsid w:val="003C5766"/>
    <w:rsid w:val="003C5ADB"/>
    <w:rsid w:val="003D02E8"/>
    <w:rsid w:val="003D0E6F"/>
    <w:rsid w:val="003D565A"/>
    <w:rsid w:val="003D6631"/>
    <w:rsid w:val="003E1270"/>
    <w:rsid w:val="003E2E9A"/>
    <w:rsid w:val="003E3444"/>
    <w:rsid w:val="003E3D11"/>
    <w:rsid w:val="003E4276"/>
    <w:rsid w:val="003F2744"/>
    <w:rsid w:val="003F3D8A"/>
    <w:rsid w:val="003F4295"/>
    <w:rsid w:val="003F463B"/>
    <w:rsid w:val="003F6CBA"/>
    <w:rsid w:val="00400B0C"/>
    <w:rsid w:val="0040324D"/>
    <w:rsid w:val="00403AC8"/>
    <w:rsid w:val="0040644F"/>
    <w:rsid w:val="00407AD4"/>
    <w:rsid w:val="00414A77"/>
    <w:rsid w:val="004158C3"/>
    <w:rsid w:val="0042549F"/>
    <w:rsid w:val="0042561B"/>
    <w:rsid w:val="0042584F"/>
    <w:rsid w:val="00427DA3"/>
    <w:rsid w:val="0043136F"/>
    <w:rsid w:val="00432371"/>
    <w:rsid w:val="00437E18"/>
    <w:rsid w:val="004457A0"/>
    <w:rsid w:val="00445801"/>
    <w:rsid w:val="00446747"/>
    <w:rsid w:val="00450482"/>
    <w:rsid w:val="004506DF"/>
    <w:rsid w:val="00451C3E"/>
    <w:rsid w:val="00452D99"/>
    <w:rsid w:val="00454D1F"/>
    <w:rsid w:val="00456712"/>
    <w:rsid w:val="00460CBB"/>
    <w:rsid w:val="00465E66"/>
    <w:rsid w:val="00467447"/>
    <w:rsid w:val="004727BD"/>
    <w:rsid w:val="004734CD"/>
    <w:rsid w:val="00473627"/>
    <w:rsid w:val="004738C6"/>
    <w:rsid w:val="00474983"/>
    <w:rsid w:val="00474EEE"/>
    <w:rsid w:val="00475B30"/>
    <w:rsid w:val="004763D9"/>
    <w:rsid w:val="004767AA"/>
    <w:rsid w:val="00477ABF"/>
    <w:rsid w:val="00480FD3"/>
    <w:rsid w:val="00484FCB"/>
    <w:rsid w:val="00487BE9"/>
    <w:rsid w:val="00490ACA"/>
    <w:rsid w:val="004917D3"/>
    <w:rsid w:val="004922AF"/>
    <w:rsid w:val="00493FDA"/>
    <w:rsid w:val="004944BC"/>
    <w:rsid w:val="004947DF"/>
    <w:rsid w:val="004A4D23"/>
    <w:rsid w:val="004B0463"/>
    <w:rsid w:val="004B1275"/>
    <w:rsid w:val="004B22CF"/>
    <w:rsid w:val="004B45DA"/>
    <w:rsid w:val="004B5C2E"/>
    <w:rsid w:val="004B6A37"/>
    <w:rsid w:val="004B771E"/>
    <w:rsid w:val="004C3AEF"/>
    <w:rsid w:val="004C6EBB"/>
    <w:rsid w:val="004C70F2"/>
    <w:rsid w:val="004D11A8"/>
    <w:rsid w:val="004D367B"/>
    <w:rsid w:val="004D48AB"/>
    <w:rsid w:val="004D6D83"/>
    <w:rsid w:val="004D7475"/>
    <w:rsid w:val="004D7A3D"/>
    <w:rsid w:val="004E0277"/>
    <w:rsid w:val="004E0B75"/>
    <w:rsid w:val="004E0E7D"/>
    <w:rsid w:val="004E49E4"/>
    <w:rsid w:val="004E62A0"/>
    <w:rsid w:val="004E704C"/>
    <w:rsid w:val="004E7ED9"/>
    <w:rsid w:val="004F013F"/>
    <w:rsid w:val="004F0236"/>
    <w:rsid w:val="004F1561"/>
    <w:rsid w:val="004F1BB2"/>
    <w:rsid w:val="004F29B2"/>
    <w:rsid w:val="004F33AD"/>
    <w:rsid w:val="004F4804"/>
    <w:rsid w:val="00500B7A"/>
    <w:rsid w:val="0050181A"/>
    <w:rsid w:val="00504643"/>
    <w:rsid w:val="00504ADE"/>
    <w:rsid w:val="00504FB2"/>
    <w:rsid w:val="005056A4"/>
    <w:rsid w:val="00506A6B"/>
    <w:rsid w:val="005071B0"/>
    <w:rsid w:val="0050742E"/>
    <w:rsid w:val="00510DD2"/>
    <w:rsid w:val="0051351F"/>
    <w:rsid w:val="00513F14"/>
    <w:rsid w:val="00515EC7"/>
    <w:rsid w:val="00517460"/>
    <w:rsid w:val="00524D3F"/>
    <w:rsid w:val="005255DA"/>
    <w:rsid w:val="005264B6"/>
    <w:rsid w:val="00526571"/>
    <w:rsid w:val="005311C5"/>
    <w:rsid w:val="00533341"/>
    <w:rsid w:val="00533460"/>
    <w:rsid w:val="0053355B"/>
    <w:rsid w:val="00535212"/>
    <w:rsid w:val="005358B1"/>
    <w:rsid w:val="00536113"/>
    <w:rsid w:val="00536700"/>
    <w:rsid w:val="00537022"/>
    <w:rsid w:val="00537049"/>
    <w:rsid w:val="00540DF7"/>
    <w:rsid w:val="0054196B"/>
    <w:rsid w:val="005429E7"/>
    <w:rsid w:val="00542DDB"/>
    <w:rsid w:val="00544938"/>
    <w:rsid w:val="00550DEF"/>
    <w:rsid w:val="00551502"/>
    <w:rsid w:val="00552E8C"/>
    <w:rsid w:val="00554A7F"/>
    <w:rsid w:val="0055615B"/>
    <w:rsid w:val="00556424"/>
    <w:rsid w:val="00557DB0"/>
    <w:rsid w:val="00561D74"/>
    <w:rsid w:val="0056410E"/>
    <w:rsid w:val="00564D4D"/>
    <w:rsid w:val="005652A9"/>
    <w:rsid w:val="00566ABF"/>
    <w:rsid w:val="005670B6"/>
    <w:rsid w:val="00570CCF"/>
    <w:rsid w:val="005722ED"/>
    <w:rsid w:val="00574282"/>
    <w:rsid w:val="00574F50"/>
    <w:rsid w:val="005840BE"/>
    <w:rsid w:val="00584FCD"/>
    <w:rsid w:val="005870F4"/>
    <w:rsid w:val="005926A7"/>
    <w:rsid w:val="00592B19"/>
    <w:rsid w:val="00593A35"/>
    <w:rsid w:val="005A0098"/>
    <w:rsid w:val="005A2C12"/>
    <w:rsid w:val="005A3B52"/>
    <w:rsid w:val="005A3B8A"/>
    <w:rsid w:val="005A49BC"/>
    <w:rsid w:val="005A565F"/>
    <w:rsid w:val="005A72C8"/>
    <w:rsid w:val="005A7EB1"/>
    <w:rsid w:val="005B037C"/>
    <w:rsid w:val="005B3171"/>
    <w:rsid w:val="005B49A2"/>
    <w:rsid w:val="005B522B"/>
    <w:rsid w:val="005B584E"/>
    <w:rsid w:val="005C0FDC"/>
    <w:rsid w:val="005C11AF"/>
    <w:rsid w:val="005C2E5B"/>
    <w:rsid w:val="005C5DD2"/>
    <w:rsid w:val="005C6166"/>
    <w:rsid w:val="005D31A4"/>
    <w:rsid w:val="005D36CC"/>
    <w:rsid w:val="005D3B15"/>
    <w:rsid w:val="005E1131"/>
    <w:rsid w:val="005E24F5"/>
    <w:rsid w:val="005E255B"/>
    <w:rsid w:val="005E3665"/>
    <w:rsid w:val="005E3671"/>
    <w:rsid w:val="005E3C60"/>
    <w:rsid w:val="005E3C87"/>
    <w:rsid w:val="005E48A6"/>
    <w:rsid w:val="005E5E8D"/>
    <w:rsid w:val="005E7780"/>
    <w:rsid w:val="005F089D"/>
    <w:rsid w:val="005F121F"/>
    <w:rsid w:val="005F13BA"/>
    <w:rsid w:val="005F2844"/>
    <w:rsid w:val="005F2BDF"/>
    <w:rsid w:val="005F3082"/>
    <w:rsid w:val="005F3B23"/>
    <w:rsid w:val="005F4514"/>
    <w:rsid w:val="005F48D9"/>
    <w:rsid w:val="005F4DD9"/>
    <w:rsid w:val="005F4EBB"/>
    <w:rsid w:val="005F7386"/>
    <w:rsid w:val="00601BA2"/>
    <w:rsid w:val="00602FF7"/>
    <w:rsid w:val="006042E5"/>
    <w:rsid w:val="0060645E"/>
    <w:rsid w:val="0060650E"/>
    <w:rsid w:val="006106BA"/>
    <w:rsid w:val="006115D2"/>
    <w:rsid w:val="00613168"/>
    <w:rsid w:val="0061523C"/>
    <w:rsid w:val="00617215"/>
    <w:rsid w:val="00617CE6"/>
    <w:rsid w:val="00617D56"/>
    <w:rsid w:val="006202ED"/>
    <w:rsid w:val="00623CE7"/>
    <w:rsid w:val="006240B2"/>
    <w:rsid w:val="00626856"/>
    <w:rsid w:val="00626B7E"/>
    <w:rsid w:val="006305C1"/>
    <w:rsid w:val="00634C6C"/>
    <w:rsid w:val="00637C77"/>
    <w:rsid w:val="006409E0"/>
    <w:rsid w:val="00640C08"/>
    <w:rsid w:val="00641434"/>
    <w:rsid w:val="0064389E"/>
    <w:rsid w:val="00645103"/>
    <w:rsid w:val="0064723F"/>
    <w:rsid w:val="00650A95"/>
    <w:rsid w:val="0065293C"/>
    <w:rsid w:val="00652B2E"/>
    <w:rsid w:val="0065424D"/>
    <w:rsid w:val="0065493F"/>
    <w:rsid w:val="00655001"/>
    <w:rsid w:val="00663F13"/>
    <w:rsid w:val="00664D04"/>
    <w:rsid w:val="00664D7E"/>
    <w:rsid w:val="0066525D"/>
    <w:rsid w:val="0066533B"/>
    <w:rsid w:val="00667FC2"/>
    <w:rsid w:val="00670FDB"/>
    <w:rsid w:val="006737AA"/>
    <w:rsid w:val="006741D1"/>
    <w:rsid w:val="00674574"/>
    <w:rsid w:val="00676699"/>
    <w:rsid w:val="00676752"/>
    <w:rsid w:val="00676D95"/>
    <w:rsid w:val="00680AAC"/>
    <w:rsid w:val="00684F41"/>
    <w:rsid w:val="0068579B"/>
    <w:rsid w:val="00687950"/>
    <w:rsid w:val="006923D1"/>
    <w:rsid w:val="006949B8"/>
    <w:rsid w:val="00696705"/>
    <w:rsid w:val="006973D1"/>
    <w:rsid w:val="00697F8F"/>
    <w:rsid w:val="006A0759"/>
    <w:rsid w:val="006A2EEC"/>
    <w:rsid w:val="006A6FF1"/>
    <w:rsid w:val="006B032D"/>
    <w:rsid w:val="006B2E43"/>
    <w:rsid w:val="006B3861"/>
    <w:rsid w:val="006B54DE"/>
    <w:rsid w:val="006B6F5C"/>
    <w:rsid w:val="006C0437"/>
    <w:rsid w:val="006C153C"/>
    <w:rsid w:val="006C2C0B"/>
    <w:rsid w:val="006C2E09"/>
    <w:rsid w:val="006C3AFC"/>
    <w:rsid w:val="006C5805"/>
    <w:rsid w:val="006C671A"/>
    <w:rsid w:val="006D0E20"/>
    <w:rsid w:val="006D1590"/>
    <w:rsid w:val="006D232A"/>
    <w:rsid w:val="006D4A59"/>
    <w:rsid w:val="006D4C91"/>
    <w:rsid w:val="006D63A3"/>
    <w:rsid w:val="006D6F79"/>
    <w:rsid w:val="006E0779"/>
    <w:rsid w:val="006E0B12"/>
    <w:rsid w:val="006E1EA2"/>
    <w:rsid w:val="006E234F"/>
    <w:rsid w:val="006E345B"/>
    <w:rsid w:val="006E34F6"/>
    <w:rsid w:val="006E4743"/>
    <w:rsid w:val="006E5A48"/>
    <w:rsid w:val="006E5BA0"/>
    <w:rsid w:val="006F0724"/>
    <w:rsid w:val="006F1889"/>
    <w:rsid w:val="006F2296"/>
    <w:rsid w:val="006F2857"/>
    <w:rsid w:val="006F4745"/>
    <w:rsid w:val="007020D6"/>
    <w:rsid w:val="007030C4"/>
    <w:rsid w:val="00703289"/>
    <w:rsid w:val="007064DA"/>
    <w:rsid w:val="00712EDD"/>
    <w:rsid w:val="00712EEA"/>
    <w:rsid w:val="007159FE"/>
    <w:rsid w:val="00716F3C"/>
    <w:rsid w:val="0072298B"/>
    <w:rsid w:val="00723474"/>
    <w:rsid w:val="00725271"/>
    <w:rsid w:val="00726BB9"/>
    <w:rsid w:val="00730644"/>
    <w:rsid w:val="00734823"/>
    <w:rsid w:val="00735F7E"/>
    <w:rsid w:val="00736087"/>
    <w:rsid w:val="007428B6"/>
    <w:rsid w:val="00743000"/>
    <w:rsid w:val="00746055"/>
    <w:rsid w:val="00746AD8"/>
    <w:rsid w:val="00750E98"/>
    <w:rsid w:val="00751306"/>
    <w:rsid w:val="00751382"/>
    <w:rsid w:val="00751EDC"/>
    <w:rsid w:val="007524F1"/>
    <w:rsid w:val="00753190"/>
    <w:rsid w:val="0075387A"/>
    <w:rsid w:val="00753EFC"/>
    <w:rsid w:val="00756E53"/>
    <w:rsid w:val="00756EAD"/>
    <w:rsid w:val="00762AC5"/>
    <w:rsid w:val="00762CDA"/>
    <w:rsid w:val="00763A3D"/>
    <w:rsid w:val="007648F2"/>
    <w:rsid w:val="00766154"/>
    <w:rsid w:val="00766CDE"/>
    <w:rsid w:val="007705A3"/>
    <w:rsid w:val="00773619"/>
    <w:rsid w:val="0077500F"/>
    <w:rsid w:val="007751D7"/>
    <w:rsid w:val="007754D6"/>
    <w:rsid w:val="00775C92"/>
    <w:rsid w:val="0077784F"/>
    <w:rsid w:val="00777AB3"/>
    <w:rsid w:val="00781161"/>
    <w:rsid w:val="007814E2"/>
    <w:rsid w:val="00781A16"/>
    <w:rsid w:val="00782D59"/>
    <w:rsid w:val="0078629E"/>
    <w:rsid w:val="00787BEC"/>
    <w:rsid w:val="0079115E"/>
    <w:rsid w:val="00791898"/>
    <w:rsid w:val="00791EA0"/>
    <w:rsid w:val="00795ED4"/>
    <w:rsid w:val="007A040D"/>
    <w:rsid w:val="007A0AC8"/>
    <w:rsid w:val="007A2097"/>
    <w:rsid w:val="007A29AE"/>
    <w:rsid w:val="007A2C7F"/>
    <w:rsid w:val="007A36F3"/>
    <w:rsid w:val="007A3F9B"/>
    <w:rsid w:val="007A4089"/>
    <w:rsid w:val="007A5C02"/>
    <w:rsid w:val="007B26E9"/>
    <w:rsid w:val="007B30E2"/>
    <w:rsid w:val="007B65BE"/>
    <w:rsid w:val="007B76B6"/>
    <w:rsid w:val="007C1483"/>
    <w:rsid w:val="007C15BE"/>
    <w:rsid w:val="007C5FCE"/>
    <w:rsid w:val="007C6631"/>
    <w:rsid w:val="007C6E37"/>
    <w:rsid w:val="007D045C"/>
    <w:rsid w:val="007D1098"/>
    <w:rsid w:val="007D25ED"/>
    <w:rsid w:val="007D3A5C"/>
    <w:rsid w:val="007D4577"/>
    <w:rsid w:val="007D64D9"/>
    <w:rsid w:val="007E0B08"/>
    <w:rsid w:val="007E17BC"/>
    <w:rsid w:val="007E44F8"/>
    <w:rsid w:val="007E70C6"/>
    <w:rsid w:val="007F4631"/>
    <w:rsid w:val="007F5652"/>
    <w:rsid w:val="00800368"/>
    <w:rsid w:val="00802043"/>
    <w:rsid w:val="008054AE"/>
    <w:rsid w:val="00806287"/>
    <w:rsid w:val="00807D84"/>
    <w:rsid w:val="00811697"/>
    <w:rsid w:val="00811E52"/>
    <w:rsid w:val="008141FF"/>
    <w:rsid w:val="0081778B"/>
    <w:rsid w:val="00817E46"/>
    <w:rsid w:val="008212D3"/>
    <w:rsid w:val="00823968"/>
    <w:rsid w:val="008243C8"/>
    <w:rsid w:val="00830602"/>
    <w:rsid w:val="008321F8"/>
    <w:rsid w:val="00833155"/>
    <w:rsid w:val="00833CC4"/>
    <w:rsid w:val="00834815"/>
    <w:rsid w:val="008432A7"/>
    <w:rsid w:val="008449F4"/>
    <w:rsid w:val="00846072"/>
    <w:rsid w:val="008463D8"/>
    <w:rsid w:val="008478BB"/>
    <w:rsid w:val="008524DA"/>
    <w:rsid w:val="00852B90"/>
    <w:rsid w:val="008539FB"/>
    <w:rsid w:val="00853C1F"/>
    <w:rsid w:val="00855816"/>
    <w:rsid w:val="008568B8"/>
    <w:rsid w:val="0085711F"/>
    <w:rsid w:val="0086234D"/>
    <w:rsid w:val="00862380"/>
    <w:rsid w:val="00862AC3"/>
    <w:rsid w:val="00862F0A"/>
    <w:rsid w:val="00863AA1"/>
    <w:rsid w:val="00863C1F"/>
    <w:rsid w:val="00863FAF"/>
    <w:rsid w:val="008719B4"/>
    <w:rsid w:val="0087615E"/>
    <w:rsid w:val="00876795"/>
    <w:rsid w:val="00882820"/>
    <w:rsid w:val="00884D66"/>
    <w:rsid w:val="008857B8"/>
    <w:rsid w:val="00890F70"/>
    <w:rsid w:val="0089321A"/>
    <w:rsid w:val="008937E3"/>
    <w:rsid w:val="00897938"/>
    <w:rsid w:val="00897A84"/>
    <w:rsid w:val="00897BD6"/>
    <w:rsid w:val="008A1705"/>
    <w:rsid w:val="008A48C1"/>
    <w:rsid w:val="008B06CB"/>
    <w:rsid w:val="008B171A"/>
    <w:rsid w:val="008B19CC"/>
    <w:rsid w:val="008B1C1B"/>
    <w:rsid w:val="008B2F80"/>
    <w:rsid w:val="008B48D7"/>
    <w:rsid w:val="008B5B8D"/>
    <w:rsid w:val="008B6943"/>
    <w:rsid w:val="008C39A0"/>
    <w:rsid w:val="008C4B61"/>
    <w:rsid w:val="008C6FA5"/>
    <w:rsid w:val="008C728F"/>
    <w:rsid w:val="008D07FD"/>
    <w:rsid w:val="008D5418"/>
    <w:rsid w:val="008D779A"/>
    <w:rsid w:val="008E1047"/>
    <w:rsid w:val="008E2C8E"/>
    <w:rsid w:val="008E3691"/>
    <w:rsid w:val="008E434C"/>
    <w:rsid w:val="008E643A"/>
    <w:rsid w:val="008E6815"/>
    <w:rsid w:val="008E6D6E"/>
    <w:rsid w:val="008E7B59"/>
    <w:rsid w:val="008F0389"/>
    <w:rsid w:val="008F0733"/>
    <w:rsid w:val="008F2013"/>
    <w:rsid w:val="008F4925"/>
    <w:rsid w:val="008F61C6"/>
    <w:rsid w:val="008F6391"/>
    <w:rsid w:val="008F7951"/>
    <w:rsid w:val="00900A87"/>
    <w:rsid w:val="00901AF8"/>
    <w:rsid w:val="00902666"/>
    <w:rsid w:val="009026BB"/>
    <w:rsid w:val="00906FC8"/>
    <w:rsid w:val="00906FDE"/>
    <w:rsid w:val="00911224"/>
    <w:rsid w:val="0091172E"/>
    <w:rsid w:val="00912A73"/>
    <w:rsid w:val="00914A74"/>
    <w:rsid w:val="00915BF3"/>
    <w:rsid w:val="009161B5"/>
    <w:rsid w:val="00920097"/>
    <w:rsid w:val="009205B3"/>
    <w:rsid w:val="00922E83"/>
    <w:rsid w:val="00924F22"/>
    <w:rsid w:val="009256F0"/>
    <w:rsid w:val="0093096C"/>
    <w:rsid w:val="00931362"/>
    <w:rsid w:val="00932F55"/>
    <w:rsid w:val="0093413F"/>
    <w:rsid w:val="00936B1B"/>
    <w:rsid w:val="00940694"/>
    <w:rsid w:val="009415C3"/>
    <w:rsid w:val="0094324D"/>
    <w:rsid w:val="00947731"/>
    <w:rsid w:val="00951955"/>
    <w:rsid w:val="00951A28"/>
    <w:rsid w:val="00952E1E"/>
    <w:rsid w:val="00953CAC"/>
    <w:rsid w:val="00953D04"/>
    <w:rsid w:val="00955249"/>
    <w:rsid w:val="0095585D"/>
    <w:rsid w:val="009560E1"/>
    <w:rsid w:val="00960FDF"/>
    <w:rsid w:val="00962091"/>
    <w:rsid w:val="0096299B"/>
    <w:rsid w:val="00962A8B"/>
    <w:rsid w:val="009653A6"/>
    <w:rsid w:val="00970699"/>
    <w:rsid w:val="009726C3"/>
    <w:rsid w:val="00973365"/>
    <w:rsid w:val="00975EA3"/>
    <w:rsid w:val="00977B59"/>
    <w:rsid w:val="00980016"/>
    <w:rsid w:val="00981CF6"/>
    <w:rsid w:val="009831A0"/>
    <w:rsid w:val="0098330E"/>
    <w:rsid w:val="00983422"/>
    <w:rsid w:val="00985FDE"/>
    <w:rsid w:val="00987008"/>
    <w:rsid w:val="00991CA3"/>
    <w:rsid w:val="00994767"/>
    <w:rsid w:val="00997B48"/>
    <w:rsid w:val="009A4473"/>
    <w:rsid w:val="009A46D7"/>
    <w:rsid w:val="009A4C6F"/>
    <w:rsid w:val="009A4FDE"/>
    <w:rsid w:val="009A51D0"/>
    <w:rsid w:val="009A7300"/>
    <w:rsid w:val="009A7B86"/>
    <w:rsid w:val="009B72AD"/>
    <w:rsid w:val="009C0F31"/>
    <w:rsid w:val="009C2B67"/>
    <w:rsid w:val="009C38E8"/>
    <w:rsid w:val="009C5051"/>
    <w:rsid w:val="009C52B1"/>
    <w:rsid w:val="009C52E3"/>
    <w:rsid w:val="009C61A6"/>
    <w:rsid w:val="009C6229"/>
    <w:rsid w:val="009C6D87"/>
    <w:rsid w:val="009D0A16"/>
    <w:rsid w:val="009D1AD6"/>
    <w:rsid w:val="009D3954"/>
    <w:rsid w:val="009D6497"/>
    <w:rsid w:val="009D6571"/>
    <w:rsid w:val="009D6A5E"/>
    <w:rsid w:val="009D7B25"/>
    <w:rsid w:val="009D7EF0"/>
    <w:rsid w:val="009E0F2B"/>
    <w:rsid w:val="009E6D1E"/>
    <w:rsid w:val="009E7CF6"/>
    <w:rsid w:val="009F2038"/>
    <w:rsid w:val="009F2AC6"/>
    <w:rsid w:val="009F38FB"/>
    <w:rsid w:val="009F4006"/>
    <w:rsid w:val="009F71FB"/>
    <w:rsid w:val="00A050BF"/>
    <w:rsid w:val="00A052D3"/>
    <w:rsid w:val="00A06F44"/>
    <w:rsid w:val="00A118D8"/>
    <w:rsid w:val="00A11C77"/>
    <w:rsid w:val="00A11DE2"/>
    <w:rsid w:val="00A13A71"/>
    <w:rsid w:val="00A1432B"/>
    <w:rsid w:val="00A15B1B"/>
    <w:rsid w:val="00A16183"/>
    <w:rsid w:val="00A177C7"/>
    <w:rsid w:val="00A20FD6"/>
    <w:rsid w:val="00A2108E"/>
    <w:rsid w:val="00A22920"/>
    <w:rsid w:val="00A22B78"/>
    <w:rsid w:val="00A2670B"/>
    <w:rsid w:val="00A27963"/>
    <w:rsid w:val="00A27C03"/>
    <w:rsid w:val="00A30271"/>
    <w:rsid w:val="00A30AE8"/>
    <w:rsid w:val="00A3200F"/>
    <w:rsid w:val="00A32406"/>
    <w:rsid w:val="00A32BF1"/>
    <w:rsid w:val="00A3425E"/>
    <w:rsid w:val="00A36FA7"/>
    <w:rsid w:val="00A37291"/>
    <w:rsid w:val="00A40190"/>
    <w:rsid w:val="00A401C4"/>
    <w:rsid w:val="00A4086F"/>
    <w:rsid w:val="00A4236F"/>
    <w:rsid w:val="00A42808"/>
    <w:rsid w:val="00A4595C"/>
    <w:rsid w:val="00A46AD1"/>
    <w:rsid w:val="00A476E3"/>
    <w:rsid w:val="00A51BC6"/>
    <w:rsid w:val="00A538A3"/>
    <w:rsid w:val="00A63A5A"/>
    <w:rsid w:val="00A640C6"/>
    <w:rsid w:val="00A643CF"/>
    <w:rsid w:val="00A67010"/>
    <w:rsid w:val="00A7165A"/>
    <w:rsid w:val="00A71FBF"/>
    <w:rsid w:val="00A738F0"/>
    <w:rsid w:val="00A73FCD"/>
    <w:rsid w:val="00A76360"/>
    <w:rsid w:val="00A77512"/>
    <w:rsid w:val="00A80877"/>
    <w:rsid w:val="00A82617"/>
    <w:rsid w:val="00A851EA"/>
    <w:rsid w:val="00A8548C"/>
    <w:rsid w:val="00A856B5"/>
    <w:rsid w:val="00A858C5"/>
    <w:rsid w:val="00A85C95"/>
    <w:rsid w:val="00A8707F"/>
    <w:rsid w:val="00A909A6"/>
    <w:rsid w:val="00A90DD6"/>
    <w:rsid w:val="00A93215"/>
    <w:rsid w:val="00A932B0"/>
    <w:rsid w:val="00A937DF"/>
    <w:rsid w:val="00A94369"/>
    <w:rsid w:val="00A950D5"/>
    <w:rsid w:val="00A950E7"/>
    <w:rsid w:val="00AA00A4"/>
    <w:rsid w:val="00AA0605"/>
    <w:rsid w:val="00AA1AF4"/>
    <w:rsid w:val="00AA2A75"/>
    <w:rsid w:val="00AA4F19"/>
    <w:rsid w:val="00AA5DA5"/>
    <w:rsid w:val="00AA730B"/>
    <w:rsid w:val="00AB0FD8"/>
    <w:rsid w:val="00AB3066"/>
    <w:rsid w:val="00AB35DF"/>
    <w:rsid w:val="00AB5A45"/>
    <w:rsid w:val="00AB67EF"/>
    <w:rsid w:val="00AB75D8"/>
    <w:rsid w:val="00AC0393"/>
    <w:rsid w:val="00AC05E7"/>
    <w:rsid w:val="00AC1C20"/>
    <w:rsid w:val="00AC259F"/>
    <w:rsid w:val="00AC3E3B"/>
    <w:rsid w:val="00AC484C"/>
    <w:rsid w:val="00AC64FC"/>
    <w:rsid w:val="00AC6EEA"/>
    <w:rsid w:val="00AD1BBC"/>
    <w:rsid w:val="00AD2D40"/>
    <w:rsid w:val="00AD2EC1"/>
    <w:rsid w:val="00AD40B3"/>
    <w:rsid w:val="00AD6662"/>
    <w:rsid w:val="00AE121A"/>
    <w:rsid w:val="00AE41F9"/>
    <w:rsid w:val="00AE553C"/>
    <w:rsid w:val="00AF1194"/>
    <w:rsid w:val="00AF1431"/>
    <w:rsid w:val="00AF1449"/>
    <w:rsid w:val="00AF283E"/>
    <w:rsid w:val="00AF2C80"/>
    <w:rsid w:val="00AF4655"/>
    <w:rsid w:val="00AF509E"/>
    <w:rsid w:val="00AF69AE"/>
    <w:rsid w:val="00AF7BE2"/>
    <w:rsid w:val="00B0103B"/>
    <w:rsid w:val="00B0163B"/>
    <w:rsid w:val="00B021EE"/>
    <w:rsid w:val="00B02A14"/>
    <w:rsid w:val="00B04D10"/>
    <w:rsid w:val="00B07126"/>
    <w:rsid w:val="00B07A32"/>
    <w:rsid w:val="00B07A91"/>
    <w:rsid w:val="00B11CC8"/>
    <w:rsid w:val="00B1355A"/>
    <w:rsid w:val="00B15B0B"/>
    <w:rsid w:val="00B21971"/>
    <w:rsid w:val="00B21F89"/>
    <w:rsid w:val="00B22069"/>
    <w:rsid w:val="00B27984"/>
    <w:rsid w:val="00B31DFE"/>
    <w:rsid w:val="00B32167"/>
    <w:rsid w:val="00B36057"/>
    <w:rsid w:val="00B36F45"/>
    <w:rsid w:val="00B40CA5"/>
    <w:rsid w:val="00B425C2"/>
    <w:rsid w:val="00B42712"/>
    <w:rsid w:val="00B439B9"/>
    <w:rsid w:val="00B43E6A"/>
    <w:rsid w:val="00B444D4"/>
    <w:rsid w:val="00B462C1"/>
    <w:rsid w:val="00B50A9C"/>
    <w:rsid w:val="00B50C12"/>
    <w:rsid w:val="00B50DBD"/>
    <w:rsid w:val="00B5483D"/>
    <w:rsid w:val="00B5604F"/>
    <w:rsid w:val="00B57140"/>
    <w:rsid w:val="00B603E0"/>
    <w:rsid w:val="00B60C99"/>
    <w:rsid w:val="00B60EB0"/>
    <w:rsid w:val="00B60F1E"/>
    <w:rsid w:val="00B61F4F"/>
    <w:rsid w:val="00B6470E"/>
    <w:rsid w:val="00B647A1"/>
    <w:rsid w:val="00B66357"/>
    <w:rsid w:val="00B669F3"/>
    <w:rsid w:val="00B706C4"/>
    <w:rsid w:val="00B711B7"/>
    <w:rsid w:val="00B72277"/>
    <w:rsid w:val="00B72B1A"/>
    <w:rsid w:val="00B73841"/>
    <w:rsid w:val="00B7421B"/>
    <w:rsid w:val="00B74FB6"/>
    <w:rsid w:val="00B76245"/>
    <w:rsid w:val="00B7625D"/>
    <w:rsid w:val="00B81CA6"/>
    <w:rsid w:val="00B82B71"/>
    <w:rsid w:val="00B849B0"/>
    <w:rsid w:val="00B87498"/>
    <w:rsid w:val="00B92D32"/>
    <w:rsid w:val="00B934DA"/>
    <w:rsid w:val="00B937F4"/>
    <w:rsid w:val="00B9461D"/>
    <w:rsid w:val="00BA6701"/>
    <w:rsid w:val="00BA6DA2"/>
    <w:rsid w:val="00BA6FBF"/>
    <w:rsid w:val="00BA760C"/>
    <w:rsid w:val="00BA79AD"/>
    <w:rsid w:val="00BB2606"/>
    <w:rsid w:val="00BB265A"/>
    <w:rsid w:val="00BB36B0"/>
    <w:rsid w:val="00BB3F51"/>
    <w:rsid w:val="00BB4010"/>
    <w:rsid w:val="00BB4346"/>
    <w:rsid w:val="00BB5D1D"/>
    <w:rsid w:val="00BC0372"/>
    <w:rsid w:val="00BC06AC"/>
    <w:rsid w:val="00BC2840"/>
    <w:rsid w:val="00BC47D5"/>
    <w:rsid w:val="00BC4B2B"/>
    <w:rsid w:val="00BC4EBF"/>
    <w:rsid w:val="00BD0368"/>
    <w:rsid w:val="00BD1624"/>
    <w:rsid w:val="00BD3326"/>
    <w:rsid w:val="00BD6947"/>
    <w:rsid w:val="00BD70B8"/>
    <w:rsid w:val="00BD794E"/>
    <w:rsid w:val="00BE673F"/>
    <w:rsid w:val="00BE67A7"/>
    <w:rsid w:val="00BE6BF8"/>
    <w:rsid w:val="00BF0AD0"/>
    <w:rsid w:val="00BF204E"/>
    <w:rsid w:val="00BF40F4"/>
    <w:rsid w:val="00BF4230"/>
    <w:rsid w:val="00BF449B"/>
    <w:rsid w:val="00BF4A47"/>
    <w:rsid w:val="00BF5F66"/>
    <w:rsid w:val="00BF6FD4"/>
    <w:rsid w:val="00C015F7"/>
    <w:rsid w:val="00C024CA"/>
    <w:rsid w:val="00C026B4"/>
    <w:rsid w:val="00C0514A"/>
    <w:rsid w:val="00C0566A"/>
    <w:rsid w:val="00C05B93"/>
    <w:rsid w:val="00C066F9"/>
    <w:rsid w:val="00C06FD5"/>
    <w:rsid w:val="00C13B63"/>
    <w:rsid w:val="00C14CC2"/>
    <w:rsid w:val="00C17119"/>
    <w:rsid w:val="00C2293B"/>
    <w:rsid w:val="00C22958"/>
    <w:rsid w:val="00C2358B"/>
    <w:rsid w:val="00C24C3D"/>
    <w:rsid w:val="00C250F3"/>
    <w:rsid w:val="00C3161F"/>
    <w:rsid w:val="00C3241F"/>
    <w:rsid w:val="00C3691B"/>
    <w:rsid w:val="00C44506"/>
    <w:rsid w:val="00C46FB2"/>
    <w:rsid w:val="00C47A8A"/>
    <w:rsid w:val="00C511B9"/>
    <w:rsid w:val="00C5213E"/>
    <w:rsid w:val="00C530D4"/>
    <w:rsid w:val="00C5339B"/>
    <w:rsid w:val="00C544DB"/>
    <w:rsid w:val="00C54CB7"/>
    <w:rsid w:val="00C54F93"/>
    <w:rsid w:val="00C57856"/>
    <w:rsid w:val="00C57E30"/>
    <w:rsid w:val="00C60629"/>
    <w:rsid w:val="00C634BD"/>
    <w:rsid w:val="00C6365E"/>
    <w:rsid w:val="00C63F12"/>
    <w:rsid w:val="00C67150"/>
    <w:rsid w:val="00C6727F"/>
    <w:rsid w:val="00C70289"/>
    <w:rsid w:val="00C71644"/>
    <w:rsid w:val="00C716D6"/>
    <w:rsid w:val="00C746D2"/>
    <w:rsid w:val="00C75B2E"/>
    <w:rsid w:val="00C76E3E"/>
    <w:rsid w:val="00C76EC8"/>
    <w:rsid w:val="00C779B1"/>
    <w:rsid w:val="00C77C20"/>
    <w:rsid w:val="00C8338D"/>
    <w:rsid w:val="00C8425B"/>
    <w:rsid w:val="00C84568"/>
    <w:rsid w:val="00C90B1E"/>
    <w:rsid w:val="00C92EDF"/>
    <w:rsid w:val="00C95AD1"/>
    <w:rsid w:val="00C9647C"/>
    <w:rsid w:val="00C967B5"/>
    <w:rsid w:val="00C97F02"/>
    <w:rsid w:val="00CA038C"/>
    <w:rsid w:val="00CA0B12"/>
    <w:rsid w:val="00CA161B"/>
    <w:rsid w:val="00CA1B36"/>
    <w:rsid w:val="00CA4574"/>
    <w:rsid w:val="00CA644F"/>
    <w:rsid w:val="00CA71C5"/>
    <w:rsid w:val="00CB1851"/>
    <w:rsid w:val="00CB495A"/>
    <w:rsid w:val="00CB4A1B"/>
    <w:rsid w:val="00CB5C17"/>
    <w:rsid w:val="00CB6397"/>
    <w:rsid w:val="00CB67B4"/>
    <w:rsid w:val="00CB6DE7"/>
    <w:rsid w:val="00CC03D3"/>
    <w:rsid w:val="00CC3895"/>
    <w:rsid w:val="00CC6964"/>
    <w:rsid w:val="00CC7E2B"/>
    <w:rsid w:val="00CD1F87"/>
    <w:rsid w:val="00CD3194"/>
    <w:rsid w:val="00CD368D"/>
    <w:rsid w:val="00CD41FA"/>
    <w:rsid w:val="00CD4E29"/>
    <w:rsid w:val="00CE0113"/>
    <w:rsid w:val="00CE0CEC"/>
    <w:rsid w:val="00CE1029"/>
    <w:rsid w:val="00CE501F"/>
    <w:rsid w:val="00CE5186"/>
    <w:rsid w:val="00CE5BE1"/>
    <w:rsid w:val="00CE5F1A"/>
    <w:rsid w:val="00CF0598"/>
    <w:rsid w:val="00CF1CB5"/>
    <w:rsid w:val="00CF2B9C"/>
    <w:rsid w:val="00CF3744"/>
    <w:rsid w:val="00CF7CBB"/>
    <w:rsid w:val="00D03775"/>
    <w:rsid w:val="00D04A06"/>
    <w:rsid w:val="00D04A47"/>
    <w:rsid w:val="00D04EC3"/>
    <w:rsid w:val="00D07424"/>
    <w:rsid w:val="00D10121"/>
    <w:rsid w:val="00D104F8"/>
    <w:rsid w:val="00D13425"/>
    <w:rsid w:val="00D13F23"/>
    <w:rsid w:val="00D143D5"/>
    <w:rsid w:val="00D167E4"/>
    <w:rsid w:val="00D174F5"/>
    <w:rsid w:val="00D218B9"/>
    <w:rsid w:val="00D22DED"/>
    <w:rsid w:val="00D26F18"/>
    <w:rsid w:val="00D27105"/>
    <w:rsid w:val="00D30AFA"/>
    <w:rsid w:val="00D332B5"/>
    <w:rsid w:val="00D34027"/>
    <w:rsid w:val="00D36FEA"/>
    <w:rsid w:val="00D40154"/>
    <w:rsid w:val="00D42F0C"/>
    <w:rsid w:val="00D45DEE"/>
    <w:rsid w:val="00D465BF"/>
    <w:rsid w:val="00D475FC"/>
    <w:rsid w:val="00D477A5"/>
    <w:rsid w:val="00D47DFC"/>
    <w:rsid w:val="00D50784"/>
    <w:rsid w:val="00D51C77"/>
    <w:rsid w:val="00D51E13"/>
    <w:rsid w:val="00D53197"/>
    <w:rsid w:val="00D5586B"/>
    <w:rsid w:val="00D55B15"/>
    <w:rsid w:val="00D56025"/>
    <w:rsid w:val="00D623D8"/>
    <w:rsid w:val="00D63B88"/>
    <w:rsid w:val="00D64698"/>
    <w:rsid w:val="00D66F4C"/>
    <w:rsid w:val="00D70515"/>
    <w:rsid w:val="00D75981"/>
    <w:rsid w:val="00D76584"/>
    <w:rsid w:val="00D77109"/>
    <w:rsid w:val="00D83411"/>
    <w:rsid w:val="00D853BF"/>
    <w:rsid w:val="00D9256D"/>
    <w:rsid w:val="00D92C74"/>
    <w:rsid w:val="00D92C98"/>
    <w:rsid w:val="00D9402D"/>
    <w:rsid w:val="00D9410D"/>
    <w:rsid w:val="00D947BA"/>
    <w:rsid w:val="00D97627"/>
    <w:rsid w:val="00DA316F"/>
    <w:rsid w:val="00DA48DE"/>
    <w:rsid w:val="00DA524D"/>
    <w:rsid w:val="00DA5F4E"/>
    <w:rsid w:val="00DA612D"/>
    <w:rsid w:val="00DA646D"/>
    <w:rsid w:val="00DA7121"/>
    <w:rsid w:val="00DB3BFC"/>
    <w:rsid w:val="00DB3C2B"/>
    <w:rsid w:val="00DB4617"/>
    <w:rsid w:val="00DB5937"/>
    <w:rsid w:val="00DB62B9"/>
    <w:rsid w:val="00DC2740"/>
    <w:rsid w:val="00DC55EB"/>
    <w:rsid w:val="00DC702A"/>
    <w:rsid w:val="00DD103F"/>
    <w:rsid w:val="00DD127F"/>
    <w:rsid w:val="00DD1584"/>
    <w:rsid w:val="00DD26CE"/>
    <w:rsid w:val="00DD3155"/>
    <w:rsid w:val="00DD6674"/>
    <w:rsid w:val="00DD706C"/>
    <w:rsid w:val="00DD7177"/>
    <w:rsid w:val="00DE00CD"/>
    <w:rsid w:val="00DE4A8A"/>
    <w:rsid w:val="00DE581C"/>
    <w:rsid w:val="00DE62BC"/>
    <w:rsid w:val="00DE6481"/>
    <w:rsid w:val="00DF1DF6"/>
    <w:rsid w:val="00DF54B0"/>
    <w:rsid w:val="00DF5E55"/>
    <w:rsid w:val="00DF6DE6"/>
    <w:rsid w:val="00DF7BBC"/>
    <w:rsid w:val="00E0029E"/>
    <w:rsid w:val="00E01018"/>
    <w:rsid w:val="00E023EB"/>
    <w:rsid w:val="00E03BC7"/>
    <w:rsid w:val="00E05B09"/>
    <w:rsid w:val="00E07DD1"/>
    <w:rsid w:val="00E169B3"/>
    <w:rsid w:val="00E16D28"/>
    <w:rsid w:val="00E21A97"/>
    <w:rsid w:val="00E22AC9"/>
    <w:rsid w:val="00E24CE3"/>
    <w:rsid w:val="00E24F16"/>
    <w:rsid w:val="00E2570A"/>
    <w:rsid w:val="00E257CC"/>
    <w:rsid w:val="00E2734F"/>
    <w:rsid w:val="00E371B7"/>
    <w:rsid w:val="00E419EA"/>
    <w:rsid w:val="00E42EEC"/>
    <w:rsid w:val="00E444C3"/>
    <w:rsid w:val="00E45D01"/>
    <w:rsid w:val="00E46004"/>
    <w:rsid w:val="00E465F6"/>
    <w:rsid w:val="00E50D69"/>
    <w:rsid w:val="00E52261"/>
    <w:rsid w:val="00E53493"/>
    <w:rsid w:val="00E55412"/>
    <w:rsid w:val="00E57C43"/>
    <w:rsid w:val="00E6002D"/>
    <w:rsid w:val="00E672A6"/>
    <w:rsid w:val="00E678BE"/>
    <w:rsid w:val="00E72942"/>
    <w:rsid w:val="00E74044"/>
    <w:rsid w:val="00E752E2"/>
    <w:rsid w:val="00E77951"/>
    <w:rsid w:val="00E77BE5"/>
    <w:rsid w:val="00E80DA0"/>
    <w:rsid w:val="00E81F6B"/>
    <w:rsid w:val="00E823D2"/>
    <w:rsid w:val="00E86D71"/>
    <w:rsid w:val="00E90753"/>
    <w:rsid w:val="00E90A4D"/>
    <w:rsid w:val="00E91ECB"/>
    <w:rsid w:val="00E93706"/>
    <w:rsid w:val="00E954C2"/>
    <w:rsid w:val="00E97AB2"/>
    <w:rsid w:val="00EA1CBC"/>
    <w:rsid w:val="00EA1F6C"/>
    <w:rsid w:val="00EA36C7"/>
    <w:rsid w:val="00EA4366"/>
    <w:rsid w:val="00EA662D"/>
    <w:rsid w:val="00EA7762"/>
    <w:rsid w:val="00EB2528"/>
    <w:rsid w:val="00EB2ECB"/>
    <w:rsid w:val="00EB5551"/>
    <w:rsid w:val="00EB5F99"/>
    <w:rsid w:val="00EC1355"/>
    <w:rsid w:val="00EC3063"/>
    <w:rsid w:val="00EC3880"/>
    <w:rsid w:val="00EC442C"/>
    <w:rsid w:val="00ED4157"/>
    <w:rsid w:val="00ED5748"/>
    <w:rsid w:val="00ED633C"/>
    <w:rsid w:val="00EE1584"/>
    <w:rsid w:val="00EE5DA5"/>
    <w:rsid w:val="00EE700F"/>
    <w:rsid w:val="00EF34A0"/>
    <w:rsid w:val="00EF37DD"/>
    <w:rsid w:val="00EF4F11"/>
    <w:rsid w:val="00EF6D3F"/>
    <w:rsid w:val="00EF74DE"/>
    <w:rsid w:val="00F007F3"/>
    <w:rsid w:val="00F00C64"/>
    <w:rsid w:val="00F00D25"/>
    <w:rsid w:val="00F0233C"/>
    <w:rsid w:val="00F039B2"/>
    <w:rsid w:val="00F04D4C"/>
    <w:rsid w:val="00F05B4E"/>
    <w:rsid w:val="00F06A6A"/>
    <w:rsid w:val="00F10357"/>
    <w:rsid w:val="00F11470"/>
    <w:rsid w:val="00F11605"/>
    <w:rsid w:val="00F1254B"/>
    <w:rsid w:val="00F12A03"/>
    <w:rsid w:val="00F12F05"/>
    <w:rsid w:val="00F13B4D"/>
    <w:rsid w:val="00F1410E"/>
    <w:rsid w:val="00F15A86"/>
    <w:rsid w:val="00F15CC0"/>
    <w:rsid w:val="00F16A9C"/>
    <w:rsid w:val="00F214E2"/>
    <w:rsid w:val="00F23C7A"/>
    <w:rsid w:val="00F252B8"/>
    <w:rsid w:val="00F2564E"/>
    <w:rsid w:val="00F256DD"/>
    <w:rsid w:val="00F25B39"/>
    <w:rsid w:val="00F25F3F"/>
    <w:rsid w:val="00F261C1"/>
    <w:rsid w:val="00F301F8"/>
    <w:rsid w:val="00F31501"/>
    <w:rsid w:val="00F323C1"/>
    <w:rsid w:val="00F324A0"/>
    <w:rsid w:val="00F3416E"/>
    <w:rsid w:val="00F35C14"/>
    <w:rsid w:val="00F36F53"/>
    <w:rsid w:val="00F4279E"/>
    <w:rsid w:val="00F44DC6"/>
    <w:rsid w:val="00F4581B"/>
    <w:rsid w:val="00F50DDC"/>
    <w:rsid w:val="00F52BEC"/>
    <w:rsid w:val="00F5396D"/>
    <w:rsid w:val="00F54C2F"/>
    <w:rsid w:val="00F55FDD"/>
    <w:rsid w:val="00F615FB"/>
    <w:rsid w:val="00F63CFC"/>
    <w:rsid w:val="00F65393"/>
    <w:rsid w:val="00F65D5F"/>
    <w:rsid w:val="00F66903"/>
    <w:rsid w:val="00F67AA9"/>
    <w:rsid w:val="00F70067"/>
    <w:rsid w:val="00F71993"/>
    <w:rsid w:val="00F7204B"/>
    <w:rsid w:val="00F72DEB"/>
    <w:rsid w:val="00F8009C"/>
    <w:rsid w:val="00F8033E"/>
    <w:rsid w:val="00F80610"/>
    <w:rsid w:val="00F83776"/>
    <w:rsid w:val="00F83863"/>
    <w:rsid w:val="00F85211"/>
    <w:rsid w:val="00F862EE"/>
    <w:rsid w:val="00F874C2"/>
    <w:rsid w:val="00F925FA"/>
    <w:rsid w:val="00F93877"/>
    <w:rsid w:val="00F9472F"/>
    <w:rsid w:val="00F965F7"/>
    <w:rsid w:val="00F9798D"/>
    <w:rsid w:val="00FA1E93"/>
    <w:rsid w:val="00FA2081"/>
    <w:rsid w:val="00FA60BB"/>
    <w:rsid w:val="00FA63CA"/>
    <w:rsid w:val="00FB0984"/>
    <w:rsid w:val="00FB2317"/>
    <w:rsid w:val="00FB2D6C"/>
    <w:rsid w:val="00FB78A1"/>
    <w:rsid w:val="00FC0765"/>
    <w:rsid w:val="00FC1834"/>
    <w:rsid w:val="00FC2999"/>
    <w:rsid w:val="00FC2CFD"/>
    <w:rsid w:val="00FC6786"/>
    <w:rsid w:val="00FC67BC"/>
    <w:rsid w:val="00FC6F89"/>
    <w:rsid w:val="00FD0928"/>
    <w:rsid w:val="00FD260D"/>
    <w:rsid w:val="00FD2C38"/>
    <w:rsid w:val="00FD5004"/>
    <w:rsid w:val="00FD695E"/>
    <w:rsid w:val="00FD7991"/>
    <w:rsid w:val="00FE09D4"/>
    <w:rsid w:val="00FE0AB2"/>
    <w:rsid w:val="00FE0C4D"/>
    <w:rsid w:val="00FE104B"/>
    <w:rsid w:val="00FE2333"/>
    <w:rsid w:val="00FE41DC"/>
    <w:rsid w:val="00FF106A"/>
    <w:rsid w:val="00FF3248"/>
    <w:rsid w:val="00FF3DA7"/>
    <w:rsid w:val="00FF6C1A"/>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3C876"/>
  <w15:docId w15:val="{F528B95E-0ED7-43AC-9512-A245D70E8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200A69"/>
    <w:rPr>
      <w:sz w:val="16"/>
      <w:szCs w:val="16"/>
    </w:rPr>
  </w:style>
  <w:style w:type="paragraph" w:styleId="Kommentarer">
    <w:name w:val="annotation text"/>
    <w:basedOn w:val="Normal"/>
    <w:link w:val="KommentarerChar"/>
    <w:uiPriority w:val="99"/>
    <w:semiHidden/>
    <w:rsid w:val="00200A69"/>
    <w:pPr>
      <w:spacing w:line="240" w:lineRule="auto"/>
    </w:pPr>
    <w:rPr>
      <w:sz w:val="20"/>
    </w:rPr>
  </w:style>
  <w:style w:type="character" w:customStyle="1" w:styleId="KommentarerChar">
    <w:name w:val="Kommentarer Char"/>
    <w:basedOn w:val="Standardstycketeckensnitt"/>
    <w:link w:val="Kommentarer"/>
    <w:uiPriority w:val="99"/>
    <w:semiHidden/>
    <w:rsid w:val="00200A69"/>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200A69"/>
    <w:rPr>
      <w:b/>
      <w:bCs/>
    </w:rPr>
  </w:style>
  <w:style w:type="character" w:customStyle="1" w:styleId="KommentarsmneChar">
    <w:name w:val="Kommentarsämne Char"/>
    <w:basedOn w:val="KommentarerChar"/>
    <w:link w:val="Kommentarsmne"/>
    <w:uiPriority w:val="99"/>
    <w:semiHidden/>
    <w:rsid w:val="00200A69"/>
    <w:rPr>
      <w:rFonts w:eastAsia="Times New Roman" w:cs="Times New Roman"/>
      <w:b/>
      <w:bCs/>
      <w:sz w:val="20"/>
      <w:szCs w:val="20"/>
    </w:rPr>
  </w:style>
  <w:style w:type="paragraph" w:styleId="Revision">
    <w:name w:val="Revision"/>
    <w:hidden/>
    <w:uiPriority w:val="99"/>
    <w:semiHidden/>
    <w:rsid w:val="00A1432B"/>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31831">
      <w:bodyDiv w:val="1"/>
      <w:marLeft w:val="0"/>
      <w:marRight w:val="0"/>
      <w:marTop w:val="0"/>
      <w:marBottom w:val="0"/>
      <w:divBdr>
        <w:top w:val="none" w:sz="0" w:space="0" w:color="auto"/>
        <w:left w:val="none" w:sz="0" w:space="0" w:color="auto"/>
        <w:bottom w:val="none" w:sz="0" w:space="0" w:color="auto"/>
        <w:right w:val="none" w:sz="0" w:space="0" w:color="auto"/>
      </w:divBdr>
    </w:div>
    <w:div w:id="175462161">
      <w:bodyDiv w:val="1"/>
      <w:marLeft w:val="0"/>
      <w:marRight w:val="0"/>
      <w:marTop w:val="0"/>
      <w:marBottom w:val="0"/>
      <w:divBdr>
        <w:top w:val="none" w:sz="0" w:space="0" w:color="auto"/>
        <w:left w:val="none" w:sz="0" w:space="0" w:color="auto"/>
        <w:bottom w:val="none" w:sz="0" w:space="0" w:color="auto"/>
        <w:right w:val="none" w:sz="0" w:space="0" w:color="auto"/>
      </w:divBdr>
    </w:div>
    <w:div w:id="195851606">
      <w:bodyDiv w:val="1"/>
      <w:marLeft w:val="0"/>
      <w:marRight w:val="0"/>
      <w:marTop w:val="0"/>
      <w:marBottom w:val="0"/>
      <w:divBdr>
        <w:top w:val="none" w:sz="0" w:space="0" w:color="auto"/>
        <w:left w:val="none" w:sz="0" w:space="0" w:color="auto"/>
        <w:bottom w:val="none" w:sz="0" w:space="0" w:color="auto"/>
        <w:right w:val="none" w:sz="0" w:space="0" w:color="auto"/>
      </w:divBdr>
    </w:div>
    <w:div w:id="349527914">
      <w:bodyDiv w:val="1"/>
      <w:marLeft w:val="0"/>
      <w:marRight w:val="0"/>
      <w:marTop w:val="0"/>
      <w:marBottom w:val="0"/>
      <w:divBdr>
        <w:top w:val="none" w:sz="0" w:space="0" w:color="auto"/>
        <w:left w:val="none" w:sz="0" w:space="0" w:color="auto"/>
        <w:bottom w:val="none" w:sz="0" w:space="0" w:color="auto"/>
        <w:right w:val="none" w:sz="0" w:space="0" w:color="auto"/>
      </w:divBdr>
    </w:div>
    <w:div w:id="523634015">
      <w:bodyDiv w:val="1"/>
      <w:marLeft w:val="0"/>
      <w:marRight w:val="0"/>
      <w:marTop w:val="0"/>
      <w:marBottom w:val="0"/>
      <w:divBdr>
        <w:top w:val="none" w:sz="0" w:space="0" w:color="auto"/>
        <w:left w:val="none" w:sz="0" w:space="0" w:color="auto"/>
        <w:bottom w:val="none" w:sz="0" w:space="0" w:color="auto"/>
        <w:right w:val="none" w:sz="0" w:space="0" w:color="auto"/>
      </w:divBdr>
    </w:div>
    <w:div w:id="579489527">
      <w:bodyDiv w:val="1"/>
      <w:marLeft w:val="0"/>
      <w:marRight w:val="0"/>
      <w:marTop w:val="0"/>
      <w:marBottom w:val="0"/>
      <w:divBdr>
        <w:top w:val="none" w:sz="0" w:space="0" w:color="auto"/>
        <w:left w:val="none" w:sz="0" w:space="0" w:color="auto"/>
        <w:bottom w:val="none" w:sz="0" w:space="0" w:color="auto"/>
        <w:right w:val="none" w:sz="0" w:space="0" w:color="auto"/>
      </w:divBdr>
    </w:div>
    <w:div w:id="587353539">
      <w:bodyDiv w:val="1"/>
      <w:marLeft w:val="0"/>
      <w:marRight w:val="0"/>
      <w:marTop w:val="0"/>
      <w:marBottom w:val="0"/>
      <w:divBdr>
        <w:top w:val="none" w:sz="0" w:space="0" w:color="auto"/>
        <w:left w:val="none" w:sz="0" w:space="0" w:color="auto"/>
        <w:bottom w:val="none" w:sz="0" w:space="0" w:color="auto"/>
        <w:right w:val="none" w:sz="0" w:space="0" w:color="auto"/>
      </w:divBdr>
    </w:div>
    <w:div w:id="621618773">
      <w:bodyDiv w:val="1"/>
      <w:marLeft w:val="0"/>
      <w:marRight w:val="0"/>
      <w:marTop w:val="0"/>
      <w:marBottom w:val="0"/>
      <w:divBdr>
        <w:top w:val="none" w:sz="0" w:space="0" w:color="auto"/>
        <w:left w:val="none" w:sz="0" w:space="0" w:color="auto"/>
        <w:bottom w:val="none" w:sz="0" w:space="0" w:color="auto"/>
        <w:right w:val="none" w:sz="0" w:space="0" w:color="auto"/>
      </w:divBdr>
    </w:div>
    <w:div w:id="735396028">
      <w:bodyDiv w:val="1"/>
      <w:marLeft w:val="0"/>
      <w:marRight w:val="0"/>
      <w:marTop w:val="0"/>
      <w:marBottom w:val="0"/>
      <w:divBdr>
        <w:top w:val="none" w:sz="0" w:space="0" w:color="auto"/>
        <w:left w:val="none" w:sz="0" w:space="0" w:color="auto"/>
        <w:bottom w:val="none" w:sz="0" w:space="0" w:color="auto"/>
        <w:right w:val="none" w:sz="0" w:space="0" w:color="auto"/>
      </w:divBdr>
    </w:div>
    <w:div w:id="782043952">
      <w:bodyDiv w:val="1"/>
      <w:marLeft w:val="0"/>
      <w:marRight w:val="0"/>
      <w:marTop w:val="0"/>
      <w:marBottom w:val="0"/>
      <w:divBdr>
        <w:top w:val="none" w:sz="0" w:space="0" w:color="auto"/>
        <w:left w:val="none" w:sz="0" w:space="0" w:color="auto"/>
        <w:bottom w:val="none" w:sz="0" w:space="0" w:color="auto"/>
        <w:right w:val="none" w:sz="0" w:space="0" w:color="auto"/>
      </w:divBdr>
    </w:div>
    <w:div w:id="967051871">
      <w:bodyDiv w:val="1"/>
      <w:marLeft w:val="0"/>
      <w:marRight w:val="0"/>
      <w:marTop w:val="0"/>
      <w:marBottom w:val="0"/>
      <w:divBdr>
        <w:top w:val="none" w:sz="0" w:space="0" w:color="auto"/>
        <w:left w:val="none" w:sz="0" w:space="0" w:color="auto"/>
        <w:bottom w:val="none" w:sz="0" w:space="0" w:color="auto"/>
        <w:right w:val="none" w:sz="0" w:space="0" w:color="auto"/>
      </w:divBdr>
    </w:div>
    <w:div w:id="1027563435">
      <w:bodyDiv w:val="1"/>
      <w:marLeft w:val="0"/>
      <w:marRight w:val="0"/>
      <w:marTop w:val="0"/>
      <w:marBottom w:val="0"/>
      <w:divBdr>
        <w:top w:val="none" w:sz="0" w:space="0" w:color="auto"/>
        <w:left w:val="none" w:sz="0" w:space="0" w:color="auto"/>
        <w:bottom w:val="none" w:sz="0" w:space="0" w:color="auto"/>
        <w:right w:val="none" w:sz="0" w:space="0" w:color="auto"/>
      </w:divBdr>
    </w:div>
    <w:div w:id="1212764874">
      <w:bodyDiv w:val="1"/>
      <w:marLeft w:val="0"/>
      <w:marRight w:val="0"/>
      <w:marTop w:val="0"/>
      <w:marBottom w:val="0"/>
      <w:divBdr>
        <w:top w:val="none" w:sz="0" w:space="0" w:color="auto"/>
        <w:left w:val="none" w:sz="0" w:space="0" w:color="auto"/>
        <w:bottom w:val="none" w:sz="0" w:space="0" w:color="auto"/>
        <w:right w:val="none" w:sz="0" w:space="0" w:color="auto"/>
      </w:divBdr>
    </w:div>
    <w:div w:id="1451582872">
      <w:bodyDiv w:val="1"/>
      <w:marLeft w:val="0"/>
      <w:marRight w:val="0"/>
      <w:marTop w:val="0"/>
      <w:marBottom w:val="0"/>
      <w:divBdr>
        <w:top w:val="none" w:sz="0" w:space="0" w:color="auto"/>
        <w:left w:val="none" w:sz="0" w:space="0" w:color="auto"/>
        <w:bottom w:val="none" w:sz="0" w:space="0" w:color="auto"/>
        <w:right w:val="none" w:sz="0" w:space="0" w:color="auto"/>
      </w:divBdr>
    </w:div>
    <w:div w:id="1681353934">
      <w:bodyDiv w:val="1"/>
      <w:marLeft w:val="0"/>
      <w:marRight w:val="0"/>
      <w:marTop w:val="0"/>
      <w:marBottom w:val="0"/>
      <w:divBdr>
        <w:top w:val="none" w:sz="0" w:space="0" w:color="auto"/>
        <w:left w:val="none" w:sz="0" w:space="0" w:color="auto"/>
        <w:bottom w:val="none" w:sz="0" w:space="0" w:color="auto"/>
        <w:right w:val="none" w:sz="0" w:space="0" w:color="auto"/>
      </w:divBdr>
    </w:div>
    <w:div w:id="1753238740">
      <w:bodyDiv w:val="1"/>
      <w:marLeft w:val="0"/>
      <w:marRight w:val="0"/>
      <w:marTop w:val="0"/>
      <w:marBottom w:val="0"/>
      <w:divBdr>
        <w:top w:val="none" w:sz="0" w:space="0" w:color="auto"/>
        <w:left w:val="none" w:sz="0" w:space="0" w:color="auto"/>
        <w:bottom w:val="none" w:sz="0" w:space="0" w:color="auto"/>
        <w:right w:val="none" w:sz="0" w:space="0" w:color="auto"/>
      </w:divBdr>
    </w:div>
    <w:div w:id="1856772859">
      <w:bodyDiv w:val="1"/>
      <w:marLeft w:val="0"/>
      <w:marRight w:val="0"/>
      <w:marTop w:val="0"/>
      <w:marBottom w:val="0"/>
      <w:divBdr>
        <w:top w:val="none" w:sz="0" w:space="0" w:color="auto"/>
        <w:left w:val="none" w:sz="0" w:space="0" w:color="auto"/>
        <w:bottom w:val="none" w:sz="0" w:space="0" w:color="auto"/>
        <w:right w:val="none" w:sz="0" w:space="0" w:color="auto"/>
      </w:divBdr>
    </w:div>
    <w:div w:id="1860268416">
      <w:bodyDiv w:val="1"/>
      <w:marLeft w:val="0"/>
      <w:marRight w:val="0"/>
      <w:marTop w:val="0"/>
      <w:marBottom w:val="0"/>
      <w:divBdr>
        <w:top w:val="none" w:sz="0" w:space="0" w:color="auto"/>
        <w:left w:val="none" w:sz="0" w:space="0" w:color="auto"/>
        <w:bottom w:val="none" w:sz="0" w:space="0" w:color="auto"/>
        <w:right w:val="none" w:sz="0" w:space="0" w:color="auto"/>
      </w:divBdr>
    </w:div>
    <w:div w:id="1862351941">
      <w:bodyDiv w:val="1"/>
      <w:marLeft w:val="0"/>
      <w:marRight w:val="0"/>
      <w:marTop w:val="0"/>
      <w:marBottom w:val="0"/>
      <w:divBdr>
        <w:top w:val="none" w:sz="0" w:space="0" w:color="auto"/>
        <w:left w:val="none" w:sz="0" w:space="0" w:color="auto"/>
        <w:bottom w:val="none" w:sz="0" w:space="0" w:color="auto"/>
        <w:right w:val="none" w:sz="0" w:space="0" w:color="auto"/>
      </w:divBdr>
    </w:div>
    <w:div w:id="2034308713">
      <w:bodyDiv w:val="1"/>
      <w:marLeft w:val="0"/>
      <w:marRight w:val="0"/>
      <w:marTop w:val="0"/>
      <w:marBottom w:val="0"/>
      <w:divBdr>
        <w:top w:val="none" w:sz="0" w:space="0" w:color="auto"/>
        <w:left w:val="none" w:sz="0" w:space="0" w:color="auto"/>
        <w:bottom w:val="none" w:sz="0" w:space="0" w:color="auto"/>
        <w:right w:val="none" w:sz="0" w:space="0" w:color="auto"/>
      </w:divBdr>
    </w:div>
    <w:div w:id="2050490831">
      <w:bodyDiv w:val="1"/>
      <w:marLeft w:val="0"/>
      <w:marRight w:val="0"/>
      <w:marTop w:val="0"/>
      <w:marBottom w:val="0"/>
      <w:divBdr>
        <w:top w:val="none" w:sz="0" w:space="0" w:color="auto"/>
        <w:left w:val="none" w:sz="0" w:space="0" w:color="auto"/>
        <w:bottom w:val="none" w:sz="0" w:space="0" w:color="auto"/>
        <w:right w:val="none" w:sz="0" w:space="0" w:color="auto"/>
      </w:divBdr>
    </w:div>
    <w:div w:id="20903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header" Target="header22.xml"/><Relationship Id="rId68" Type="http://schemas.openxmlformats.org/officeDocument/2006/relationships/footer" Target="footer30.xml"/><Relationship Id="rId84" Type="http://schemas.openxmlformats.org/officeDocument/2006/relationships/footer" Target="footer39.xml"/><Relationship Id="rId89" Type="http://schemas.openxmlformats.org/officeDocument/2006/relationships/footer" Target="footer42.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footer" Target="footer43.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8.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5.xml"/><Relationship Id="rId45" Type="http://schemas.openxmlformats.org/officeDocument/2006/relationships/header" Target="header14.xml"/><Relationship Id="rId53" Type="http://schemas.openxmlformats.org/officeDocument/2006/relationships/header" Target="header18.xml"/><Relationship Id="rId58" Type="http://schemas.openxmlformats.org/officeDocument/2006/relationships/header" Target="header20.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footer" Target="footer36.xml"/><Relationship Id="rId87" Type="http://schemas.openxmlformats.org/officeDocument/2006/relationships/footer" Target="footer40.xml"/><Relationship Id="rId102"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footer" Target="footer26.xml"/><Relationship Id="rId82" Type="http://schemas.openxmlformats.org/officeDocument/2006/relationships/footer" Target="footer37.xml"/><Relationship Id="rId90" Type="http://schemas.openxmlformats.org/officeDocument/2006/relationships/header" Target="header34.xml"/><Relationship Id="rId95" Type="http://schemas.openxmlformats.org/officeDocument/2006/relationships/footer" Target="footer45.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header" Target="header16.xml"/><Relationship Id="rId56" Type="http://schemas.openxmlformats.org/officeDocument/2006/relationships/footer" Target="footer23.xml"/><Relationship Id="rId64" Type="http://schemas.openxmlformats.org/officeDocument/2006/relationships/header" Target="header23.xml"/><Relationship Id="rId69" Type="http://schemas.openxmlformats.org/officeDocument/2006/relationships/header" Target="header25.xml"/><Relationship Id="rId77" Type="http://schemas.openxmlformats.org/officeDocument/2006/relationships/footer" Target="footer34.xml"/><Relationship Id="rId100" Type="http://schemas.openxmlformats.org/officeDocument/2006/relationships/header" Target="header39.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footer" Target="footer32.xml"/><Relationship Id="rId80" Type="http://schemas.openxmlformats.org/officeDocument/2006/relationships/header" Target="header30.xml"/><Relationship Id="rId85" Type="http://schemas.openxmlformats.org/officeDocument/2006/relationships/header" Target="header32.xml"/><Relationship Id="rId93" Type="http://schemas.openxmlformats.org/officeDocument/2006/relationships/footer" Target="footer44.xml"/><Relationship Id="rId98" Type="http://schemas.openxmlformats.org/officeDocument/2006/relationships/footer" Target="footer46.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18.xml"/><Relationship Id="rId59" Type="http://schemas.openxmlformats.org/officeDocument/2006/relationships/header" Target="header21.xml"/><Relationship Id="rId67" Type="http://schemas.openxmlformats.org/officeDocument/2006/relationships/header" Target="header24.xml"/><Relationship Id="rId103"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header" Target="header12.xml"/><Relationship Id="rId54" Type="http://schemas.openxmlformats.org/officeDocument/2006/relationships/header" Target="header19.xml"/><Relationship Id="rId62" Type="http://schemas.openxmlformats.org/officeDocument/2006/relationships/footer" Target="footer27.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1.xml"/><Relationship Id="rId91" Type="http://schemas.openxmlformats.org/officeDocument/2006/relationships/header" Target="header35.xml"/><Relationship Id="rId96" Type="http://schemas.openxmlformats.org/officeDocument/2006/relationships/header" Target="header37.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header" Target="header10.xml"/><Relationship Id="rId49" Type="http://schemas.openxmlformats.org/officeDocument/2006/relationships/footer" Target="footer19.xml"/><Relationship Id="rId57" Type="http://schemas.openxmlformats.org/officeDocument/2006/relationships/footer" Target="footer24.xml"/><Relationship Id="rId10" Type="http://schemas.openxmlformats.org/officeDocument/2006/relationships/settings" Target="settings.xml"/><Relationship Id="rId31" Type="http://schemas.openxmlformats.org/officeDocument/2006/relationships/header" Target="header8.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footer" Target="footer28.xml"/><Relationship Id="rId73" Type="http://schemas.openxmlformats.org/officeDocument/2006/relationships/header" Target="header27.xml"/><Relationship Id="rId78" Type="http://schemas.openxmlformats.org/officeDocument/2006/relationships/footer" Target="footer35.xml"/><Relationship Id="rId81" Type="http://schemas.openxmlformats.org/officeDocument/2006/relationships/header" Target="header31.xml"/><Relationship Id="rId86" Type="http://schemas.openxmlformats.org/officeDocument/2006/relationships/header" Target="header33.xml"/><Relationship Id="rId94" Type="http://schemas.openxmlformats.org/officeDocument/2006/relationships/header" Target="header36.xml"/><Relationship Id="rId99" Type="http://schemas.openxmlformats.org/officeDocument/2006/relationships/footer" Target="footer47.xml"/><Relationship Id="rId101" Type="http://schemas.openxmlformats.org/officeDocument/2006/relationships/footer" Target="footer48.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 Id="rId34" Type="http://schemas.openxmlformats.org/officeDocument/2006/relationships/footer" Target="footer11.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header" Target="header29.xml"/><Relationship Id="rId97" Type="http://schemas.openxmlformats.org/officeDocument/2006/relationships/header" Target="header38.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Jonson, Strömmer, Forssmed, Tenje, Forssell, Wykman, Kullgren, Liljestrand, Bohlin, Carlson, Dousa, Larsson,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2025/26:213</dokumentnummer>
  <titel>Stärkt lagstiftning mot hedersrelaterat våld och förtryck</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6VV7YVCVAJZ7-373442560-13923</_dlc_DocId>
    <_dlc_DocIdUrl xmlns="4f5ca95d-8798-43a8-9b50-3b2f8b9416bf">
      <Url>https://dhs.sp.regeringskansliet.se/yta/sb-gransk/_layouts/15/DocIdRedir.aspx?ID=6VV7YVCVAJZ7-373442560-13923</Url>
      <Description>6VV7YVCVAJZ7-373442560-13923</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DB43524-3C98-4157-A314-B7DBEEDB5BC8}">
  <ds:schemaRefs>
    <ds:schemaRef ds:uri="http://schemas.microsoft.com/sharepoint/v3/contenttype/forms"/>
  </ds:schemaRefs>
</ds:datastoreItem>
</file>

<file path=customXml/itemProps2.xml><?xml version="1.0" encoding="utf-8"?>
<ds:datastoreItem xmlns:ds="http://schemas.openxmlformats.org/officeDocument/2006/customXml" ds:itemID="{E54C32DC-5DDE-4550-B62E-4304AFAA6477}">
  <ds:schemaRefs>
    <ds:schemaRef ds:uri="http://schemas.openxmlformats.org/officeDocument/2006/bibliography"/>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FE81946B-9F79-4C31-9146-5B3112A0A96A}">
  <ds:schemaRefs>
    <ds:schemaRef ds:uri="http://schemas.microsoft.com/sharepoint/events"/>
  </ds:schemaRefs>
</ds:datastoreItem>
</file>

<file path=customXml/itemProps5.xml><?xml version="1.0" encoding="utf-8"?>
<ds:datastoreItem xmlns:ds="http://schemas.openxmlformats.org/officeDocument/2006/customXml" ds:itemID="{A07B3BF4-0AE3-40A5-ABA1-1DA4DD01C174}">
  <ds:schemaRefs>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http://purl.org/dc/elements/1.1/"/>
    <ds:schemaRef ds:uri="http://schemas.microsoft.com/office/2006/metadata/properties"/>
    <ds:schemaRef ds:uri="cc625d36-bb37-4650-91b9-0c96159295ba"/>
    <ds:schemaRef ds:uri="18f3d968-6251-40b0-9f11-012b293496c2"/>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DC6FB42D-1FDA-4A17-96A8-95FAAB7B5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3A18B37-28F2-4A96-9835-44394EDFD1D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52827</Words>
  <Characters>279988</Characters>
  <Application>Microsoft Office Word</Application>
  <DocSecurity>4</DocSecurity>
  <Lines>2333</Lines>
  <Paragraphs>664</Paragraphs>
  <ScaleCrop>false</ScaleCrop>
  <HeadingPairs>
    <vt:vector size="2" baseType="variant">
      <vt:variant>
        <vt:lpstr>Rubrik</vt:lpstr>
      </vt:variant>
      <vt:variant>
        <vt:i4>1</vt:i4>
      </vt:variant>
    </vt:vector>
  </HeadingPairs>
  <TitlesOfParts>
    <vt:vector size="1" baseType="lpstr">
      <vt:lpstr>Stärkt lagstiftning mot hedersrelaterat våld och förtryck</vt:lpstr>
    </vt:vector>
  </TitlesOfParts>
  <Company>Regeringskansliet</Company>
  <LinksUpToDate>false</LinksUpToDate>
  <CharactersWithSpaces>332151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Stärkt lagstiftning mot hedersrelaterat våld och förtryck</dc:title>
  <dc:creator>Jessica Sundqvist</dc:creator>
  <dc:description/>
  <cp:lastModifiedBy>Mona Wiklund</cp:lastModifiedBy>
  <cp:revision>2</cp:revision>
  <cp:lastPrinted>2026-03-19T08:46:00Z</cp:lastPrinted>
  <dcterms:created xsi:type="dcterms:W3CDTF">2026-03-19T10:13:00Z</dcterms:created>
  <dcterms:modified xsi:type="dcterms:W3CDTF">2026-03-19T10:13:00Z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d70aff8d-7c98-48e7-b77d-745de70a084f</vt:lpwstr>
  </property>
  <property fmtid="{D5CDD505-2E9C-101B-9397-08002B2CF9AE}" pid="4" name="Organisation">
    <vt:lpwstr>1;#Justitiedepartementet|75210908-dd30-49f2-afb6-71c3d988f75d</vt:lpwstr>
  </property>
  <property fmtid="{D5CDD505-2E9C-101B-9397-08002B2CF9AE}" pid="5" name="ActivityCategory">
    <vt:lpwstr/>
  </property>
</Properties>
</file>